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9B9106">
      <w:pPr>
        <w:rPr>
          <w:rFonts w:hint="eastAsia" w:ascii="黑体" w:hAnsi="黑体" w:eastAsia="黑体"/>
          <w:sz w:val="32"/>
          <w:szCs w:val="32"/>
        </w:rPr>
      </w:pPr>
    </w:p>
    <w:p w14:paraId="7217575D">
      <w:pPr>
        <w:jc w:val="center"/>
        <w:rPr>
          <w:rFonts w:hint="eastAsia" w:ascii="方正小标宋_GBK" w:hAnsi="宋体" w:eastAsia="方正小标宋_GBK"/>
          <w:sz w:val="44"/>
          <w:szCs w:val="44"/>
        </w:rPr>
      </w:pPr>
    </w:p>
    <w:p w14:paraId="047F6FD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乌鲁木齐市米东区商务局</w:t>
      </w:r>
    </w:p>
    <w:p w14:paraId="27F34C7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BC999F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0249B08">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75C56E0">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C7DA87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BB4B5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EB4E1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C2E5FA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A182C1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C5F23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8E590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9F2E7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6984CC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BC625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B9CED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E559A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503A6B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820551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B6DF2B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404D3E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8434AE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89E041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10EF33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59471A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AD9A94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B3FE1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CC693F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9268B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6B9C6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00241E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1A6DD0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97988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671548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4C51C8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8E4648C">
      <w:r>
        <w:rPr>
          <w:rFonts w:hint="eastAsia" w:ascii="仿宋_GB2312" w:hAnsi="仿宋_GB2312" w:eastAsia="仿宋_GB2312" w:cs="仿宋_GB2312"/>
          <w:sz w:val="32"/>
          <w:szCs w:val="32"/>
        </w:rPr>
        <w:fldChar w:fldCharType="end"/>
      </w:r>
    </w:p>
    <w:p w14:paraId="7CF23249">
      <w:pPr>
        <w:rPr>
          <w:rFonts w:ascii="仿宋_GB2312" w:eastAsia="仿宋_GB2312"/>
          <w:sz w:val="32"/>
          <w:szCs w:val="32"/>
        </w:rPr>
      </w:pPr>
      <w:r>
        <w:rPr>
          <w:rFonts w:hint="eastAsia" w:ascii="仿宋_GB2312" w:eastAsia="仿宋_GB2312"/>
          <w:sz w:val="32"/>
          <w:szCs w:val="32"/>
        </w:rPr>
        <w:br w:type="page"/>
      </w:r>
    </w:p>
    <w:p w14:paraId="72801C25">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7C49A93">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002C1C70">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1、宣传贯彻执行国家、自治区及本市有关商贸、流通方面的方针、政策及法律法规和规章。</w:t>
      </w:r>
    </w:p>
    <w:p w14:paraId="374B9701">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2、负责受理商务领域举报投诉并提供相关咨询服务。</w:t>
      </w:r>
    </w:p>
    <w:p w14:paraId="69ECE28B">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3、负责对成品油经营企业经营行为、再生资源回收经营活动、报废汽车回收活动进行日常监管。</w:t>
      </w:r>
    </w:p>
    <w:p w14:paraId="3FBBED46">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4、负责对酒类、洗染、餐饮、美容美发、人像摄影、沐浴、住宿、家电维修服务、家庭服务机构从业行为进行日常监管。</w:t>
      </w:r>
    </w:p>
    <w:p w14:paraId="278A7D28">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5、负责商贸批发市场、肉菜流通追溯监督管理工作。</w:t>
      </w:r>
    </w:p>
    <w:p w14:paraId="06F0427F">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6、负责开展大中型商场、超市安全生产监督管理工作。</w:t>
      </w:r>
    </w:p>
    <w:p w14:paraId="4A33C93E">
      <w:pPr>
        <w:shd w:val="clear" w:color="auto" w:fill="FFFFFF"/>
        <w:autoSpaceDE w:val="0"/>
        <w:autoSpaceDN w:val="0"/>
        <w:adjustRightInd w:val="0"/>
        <w:spacing w:before="100" w:line="520" w:lineRule="exact"/>
        <w:ind w:firstLine="480"/>
        <w:rPr>
          <w:rFonts w:ascii="仿宋_GB2312" w:eastAsia="仿宋_GB2312"/>
          <w:kern w:val="0"/>
          <w:sz w:val="32"/>
        </w:rPr>
      </w:pPr>
      <w:r>
        <w:rPr>
          <w:rFonts w:hint="eastAsia" w:ascii="仿宋_GB2312" w:eastAsia="仿宋_GB2312"/>
          <w:kern w:val="0"/>
          <w:sz w:val="32"/>
        </w:rPr>
        <w:t>7、社区蔬菜副食品直销点的选址建设，以及日常监管和协调服务。</w:t>
      </w:r>
    </w:p>
    <w:p w14:paraId="3FBC37D3">
      <w:pPr>
        <w:shd w:val="clear" w:color="auto" w:fill="FFFFFF"/>
        <w:autoSpaceDE w:val="0"/>
        <w:autoSpaceDN w:val="0"/>
        <w:adjustRightInd w:val="0"/>
        <w:spacing w:before="100" w:line="520" w:lineRule="exact"/>
        <w:ind w:firstLine="640" w:firstLineChars="200"/>
        <w:rPr>
          <w:rFonts w:ascii="仿宋_GB2312" w:eastAsia="仿宋_GB2312"/>
          <w:kern w:val="0"/>
          <w:sz w:val="32"/>
        </w:rPr>
      </w:pPr>
      <w:r>
        <w:rPr>
          <w:rFonts w:hint="eastAsia" w:ascii="仿宋_GB2312" w:eastAsia="仿宋_GB2312"/>
          <w:kern w:val="0"/>
          <w:sz w:val="32"/>
        </w:rPr>
        <w:t>8、储备肉菜投放的组织实施。</w:t>
      </w:r>
    </w:p>
    <w:p w14:paraId="32B66D80">
      <w:pPr>
        <w:shd w:val="clear" w:color="auto" w:fill="FFFFFF"/>
        <w:autoSpaceDE w:val="0"/>
        <w:autoSpaceDN w:val="0"/>
        <w:adjustRightInd w:val="0"/>
        <w:spacing w:before="100" w:line="520" w:lineRule="exact"/>
        <w:ind w:firstLine="640" w:firstLineChars="200"/>
        <w:rPr>
          <w:rFonts w:ascii="仿宋_GB2312" w:eastAsia="仿宋_GB2312"/>
          <w:kern w:val="0"/>
          <w:sz w:val="32"/>
        </w:rPr>
      </w:pPr>
      <w:r>
        <w:rPr>
          <w:rFonts w:hint="eastAsia" w:ascii="仿宋_GB2312" w:eastAsia="仿宋_GB2312"/>
          <w:kern w:val="0"/>
          <w:sz w:val="32"/>
        </w:rPr>
        <w:t>9、亚欧博览会、厦投会、津恰会的参展工作。</w:t>
      </w:r>
    </w:p>
    <w:p w14:paraId="0C6AB8DF">
      <w:pPr>
        <w:ind w:firstLine="640" w:firstLineChars="200"/>
        <w:jc w:val="left"/>
        <w:rPr>
          <w:rFonts w:ascii="仿宋_GB2312" w:eastAsia="仿宋_GB2312"/>
          <w:sz w:val="32"/>
          <w:szCs w:val="32"/>
        </w:rPr>
      </w:pPr>
      <w:r>
        <w:rPr>
          <w:rFonts w:hint="eastAsia" w:ascii="仿宋_GB2312" w:eastAsia="仿宋_GB2312"/>
          <w:kern w:val="0"/>
          <w:sz w:val="32"/>
        </w:rPr>
        <w:t>10、商贸流通领域服务业提档升级的组织实施</w:t>
      </w:r>
      <w:r>
        <w:rPr>
          <w:rFonts w:hint="eastAsia" w:ascii="仿宋_GB2312" w:eastAsia="仿宋_GB2312"/>
          <w:sz w:val="32"/>
          <w:szCs w:val="32"/>
        </w:rPr>
        <w:t>。</w:t>
      </w:r>
    </w:p>
    <w:p w14:paraId="7542F0B7">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419950B">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乌鲁木齐市米东区商务局2023年度，实有人数</w:t>
      </w:r>
      <w:r>
        <w:rPr>
          <w:rFonts w:hint="eastAsia" w:ascii="仿宋_GB2312" w:eastAsia="仿宋_GB2312"/>
          <w:sz w:val="32"/>
          <w:szCs w:val="32"/>
          <w:lang w:val="zh-CN"/>
        </w:rPr>
        <w:t>21</w:t>
      </w:r>
      <w:r>
        <w:rPr>
          <w:rFonts w:hint="eastAsia" w:ascii="仿宋_GB2312" w:eastAsia="仿宋_GB2312"/>
          <w:sz w:val="32"/>
          <w:szCs w:val="32"/>
        </w:rPr>
        <w:t>人，其中：在职人员</w:t>
      </w:r>
      <w:r>
        <w:rPr>
          <w:rFonts w:hint="eastAsia" w:ascii="仿宋_GB2312" w:eastAsia="仿宋_GB2312"/>
          <w:sz w:val="32"/>
          <w:szCs w:val="32"/>
          <w:lang w:val="zh-CN"/>
        </w:rPr>
        <w:t>15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14:paraId="74D9C0EB">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kern w:val="0"/>
          <w:sz w:val="32"/>
        </w:rPr>
        <w:t>党政办、综合业务科、蔬菜直销点管理科、商品流通科、财务室</w:t>
      </w:r>
      <w:r>
        <w:rPr>
          <w:rFonts w:hint="eastAsia" w:ascii="仿宋_GB2312" w:hAnsi="宋体" w:eastAsia="仿宋_GB2312" w:cs="宋体"/>
          <w:kern w:val="0"/>
          <w:sz w:val="32"/>
          <w:szCs w:val="32"/>
        </w:rPr>
        <w:t>。</w:t>
      </w:r>
    </w:p>
    <w:p w14:paraId="45209C96">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F2407E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44FE17C">
      <w:pPr>
        <w:ind w:firstLine="640" w:firstLineChars="200"/>
        <w:jc w:val="left"/>
        <w:rPr>
          <w:rFonts w:ascii="仿宋_GB2312" w:eastAsia="仿宋_GB2312"/>
          <w:sz w:val="32"/>
          <w:szCs w:val="32"/>
        </w:rPr>
      </w:pPr>
      <w:r>
        <w:rPr>
          <w:rFonts w:hint="eastAsia" w:ascii="仿宋_GB2312" w:eastAsia="仿宋_GB2312"/>
          <w:sz w:val="32"/>
          <w:szCs w:val="32"/>
        </w:rPr>
        <w:t>2023年度收入总计318.34万元，其中：本年收入合计277.49万元，使用非财政拨款结余0.00万元，年初结转和结余40.85万元。</w:t>
      </w:r>
    </w:p>
    <w:p w14:paraId="378A5792">
      <w:pPr>
        <w:ind w:firstLine="640" w:firstLineChars="200"/>
        <w:jc w:val="left"/>
        <w:rPr>
          <w:rFonts w:ascii="仿宋_GB2312" w:eastAsia="仿宋_GB2312"/>
          <w:sz w:val="32"/>
          <w:szCs w:val="32"/>
        </w:rPr>
      </w:pPr>
      <w:r>
        <w:rPr>
          <w:rFonts w:hint="eastAsia" w:ascii="仿宋_GB2312" w:eastAsia="仿宋_GB2312"/>
          <w:sz w:val="32"/>
          <w:szCs w:val="32"/>
        </w:rPr>
        <w:t>2023年度支出总计318.34万元，其中：本年支出合计271.94万元，结余分配0.00万元，年末结转和结余46.40万元。</w:t>
      </w:r>
    </w:p>
    <w:p w14:paraId="514E49E4">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增加30.60万元</w:t>
      </w:r>
      <w:r>
        <w:rPr>
          <w:rFonts w:hint="eastAsia" w:ascii="仿宋_GB2312" w:eastAsia="仿宋_GB2312"/>
          <w:sz w:val="32"/>
          <w:szCs w:val="32"/>
        </w:rPr>
        <w:t>，增长10.63%，主要原因是：</w:t>
      </w:r>
      <w:r>
        <w:rPr>
          <w:rFonts w:hint="eastAsia" w:ascii="仿宋_GB2312" w:hAnsi="仿宋" w:eastAsia="仿宋_GB2312"/>
          <w:sz w:val="32"/>
          <w:szCs w:val="32"/>
        </w:rPr>
        <w:t>新入编3个人员，增加相关人员工资社保等经费</w:t>
      </w:r>
      <w:r>
        <w:rPr>
          <w:rFonts w:hint="eastAsia" w:ascii="仿宋_GB2312" w:eastAsia="仿宋_GB2312"/>
          <w:sz w:val="32"/>
          <w:szCs w:val="32"/>
        </w:rPr>
        <w:t>。</w:t>
      </w:r>
    </w:p>
    <w:p w14:paraId="43757F1A">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0D99E908">
      <w:pPr>
        <w:ind w:firstLine="640" w:firstLineChars="200"/>
        <w:jc w:val="left"/>
        <w:rPr>
          <w:rFonts w:ascii="仿宋_GB2312" w:eastAsia="仿宋_GB2312"/>
          <w:sz w:val="32"/>
          <w:szCs w:val="32"/>
        </w:rPr>
      </w:pPr>
      <w:r>
        <w:rPr>
          <w:rFonts w:hint="eastAsia" w:ascii="仿宋_GB2312" w:eastAsia="仿宋_GB2312"/>
          <w:sz w:val="32"/>
          <w:szCs w:val="32"/>
        </w:rPr>
        <w:t>本年收入277.49万元，其中：财政拨款收入</w:t>
      </w:r>
      <w:r>
        <w:rPr>
          <w:rFonts w:hint="eastAsia" w:ascii="仿宋_GB2312" w:eastAsia="仿宋_GB2312"/>
          <w:sz w:val="32"/>
          <w:szCs w:val="32"/>
          <w:lang w:val="zh-CN"/>
        </w:rPr>
        <w:t>277.49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648D908D">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5EF575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本年支出271.94万元，其中：基本支出250.69万元，占92.19%；项目支出21.26万元，占7.82%；上缴上级支出0.00万元，占0.00%；经营支出0.00万元，占0.00%；对附属单位补助支出0.00万元，占0.00%。</w:t>
      </w:r>
    </w:p>
    <w:p w14:paraId="69F6E146">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3F2D2281">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315.54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38.04</w:t>
      </w:r>
      <w:r>
        <w:rPr>
          <w:rFonts w:hint="eastAsia" w:ascii="仿宋_GB2312" w:eastAsia="仿宋_GB2312"/>
          <w:sz w:val="32"/>
          <w:szCs w:val="32"/>
        </w:rPr>
        <w:t>万元，本年财政拨款收入</w:t>
      </w:r>
      <w:r>
        <w:rPr>
          <w:rFonts w:hint="eastAsia" w:ascii="仿宋_GB2312" w:eastAsia="仿宋_GB2312"/>
          <w:sz w:val="32"/>
          <w:szCs w:val="32"/>
          <w:lang w:val="zh-CN"/>
        </w:rPr>
        <w:t>277.49</w:t>
      </w:r>
      <w:r>
        <w:rPr>
          <w:rFonts w:hint="eastAsia" w:ascii="仿宋_GB2312" w:eastAsia="仿宋_GB2312"/>
          <w:sz w:val="32"/>
          <w:szCs w:val="32"/>
        </w:rPr>
        <w:t>万元。财政拨款支出总计</w:t>
      </w:r>
      <w:r>
        <w:rPr>
          <w:rFonts w:hint="eastAsia" w:ascii="仿宋_GB2312" w:eastAsia="仿宋_GB2312"/>
          <w:sz w:val="32"/>
          <w:szCs w:val="32"/>
          <w:lang w:val="zh-CN"/>
        </w:rPr>
        <w:t>315.54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43.59</w:t>
      </w:r>
      <w:r>
        <w:rPr>
          <w:rFonts w:hint="eastAsia" w:ascii="仿宋_GB2312" w:eastAsia="仿宋_GB2312"/>
          <w:sz w:val="32"/>
          <w:szCs w:val="32"/>
        </w:rPr>
        <w:t>万元，本年财政拨款支出</w:t>
      </w:r>
      <w:r>
        <w:rPr>
          <w:rFonts w:hint="eastAsia" w:ascii="仿宋_GB2312" w:eastAsia="仿宋_GB2312"/>
          <w:sz w:val="32"/>
          <w:szCs w:val="32"/>
          <w:lang w:val="zh-CN"/>
        </w:rPr>
        <w:t>271.94</w:t>
      </w:r>
      <w:r>
        <w:rPr>
          <w:rFonts w:hint="eastAsia" w:ascii="仿宋_GB2312" w:eastAsia="仿宋_GB2312"/>
          <w:sz w:val="32"/>
          <w:szCs w:val="32"/>
        </w:rPr>
        <w:t>万元。</w:t>
      </w:r>
    </w:p>
    <w:p w14:paraId="4191942B">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增加30.61万元</w:t>
      </w:r>
      <w:r>
        <w:rPr>
          <w:rFonts w:hint="eastAsia" w:ascii="仿宋_GB2312" w:eastAsia="仿宋_GB2312"/>
          <w:sz w:val="32"/>
          <w:szCs w:val="32"/>
        </w:rPr>
        <w:t>，增长10.74%,主要原因是：</w:t>
      </w:r>
      <w:r>
        <w:rPr>
          <w:rFonts w:hint="eastAsia" w:ascii="仿宋_GB2312" w:hAnsi="仿宋" w:eastAsia="仿宋_GB2312"/>
          <w:sz w:val="32"/>
          <w:szCs w:val="32"/>
        </w:rPr>
        <w:t>新入编3个人员，增加相关人员工资社保等经费</w:t>
      </w:r>
      <w:r>
        <w:rPr>
          <w:rFonts w:hint="eastAsia" w:ascii="仿宋_GB2312" w:eastAsia="仿宋_GB2312"/>
          <w:sz w:val="32"/>
          <w:szCs w:val="32"/>
        </w:rPr>
        <w:t>。与年初预算相比，年初预算数</w:t>
      </w:r>
      <w:r>
        <w:rPr>
          <w:rFonts w:hint="eastAsia" w:ascii="仿宋_GB2312" w:eastAsia="仿宋_GB2312"/>
          <w:sz w:val="32"/>
          <w:szCs w:val="32"/>
          <w:lang w:val="zh-CN"/>
        </w:rPr>
        <w:t>221.40</w:t>
      </w:r>
      <w:r>
        <w:rPr>
          <w:rFonts w:hint="eastAsia" w:ascii="仿宋_GB2312" w:eastAsia="仿宋_GB2312"/>
          <w:sz w:val="32"/>
          <w:szCs w:val="32"/>
        </w:rPr>
        <w:t>万元，决算数</w:t>
      </w:r>
      <w:r>
        <w:rPr>
          <w:rFonts w:hint="eastAsia" w:ascii="仿宋_GB2312" w:eastAsia="仿宋_GB2312"/>
          <w:sz w:val="32"/>
          <w:szCs w:val="32"/>
          <w:lang w:val="zh-CN"/>
        </w:rPr>
        <w:t>315.54</w:t>
      </w:r>
      <w:r>
        <w:rPr>
          <w:rFonts w:hint="eastAsia" w:ascii="仿宋_GB2312" w:eastAsia="仿宋_GB2312"/>
          <w:sz w:val="32"/>
          <w:szCs w:val="32"/>
        </w:rPr>
        <w:t>万元，预决算差异率42.52%，主要原因是：追加</w:t>
      </w:r>
      <w:r>
        <w:rPr>
          <w:rFonts w:hint="eastAsia" w:ascii="仿宋_GB2312" w:hAnsi="仿宋" w:eastAsia="仿宋_GB2312"/>
          <w:sz w:val="32"/>
          <w:szCs w:val="32"/>
        </w:rPr>
        <w:t>新入编3个人工资社保等经费预算</w:t>
      </w:r>
      <w:r>
        <w:rPr>
          <w:rFonts w:hint="eastAsia" w:ascii="仿宋_GB2312" w:eastAsia="仿宋_GB2312"/>
          <w:sz w:val="32"/>
          <w:szCs w:val="32"/>
        </w:rPr>
        <w:t>。</w:t>
      </w:r>
    </w:p>
    <w:p w14:paraId="08EDFF47">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2D670F7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5C97623">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2023年度一般公共预算财政拨款支出271.94万元，占本年支出合计的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增加25.05万元</w:t>
      </w:r>
      <w:r>
        <w:rPr>
          <w:rFonts w:hint="eastAsia" w:ascii="仿宋_GB2312" w:eastAsia="仿宋_GB2312"/>
          <w:sz w:val="32"/>
          <w:szCs w:val="32"/>
        </w:rPr>
        <w:t>，增长10.15%,主要原因是：</w:t>
      </w:r>
      <w:r>
        <w:rPr>
          <w:rFonts w:hint="eastAsia" w:ascii="仿宋_GB2312" w:hAnsi="仿宋" w:eastAsia="仿宋_GB2312"/>
          <w:sz w:val="32"/>
          <w:szCs w:val="32"/>
        </w:rPr>
        <w:t>新入编3个人员，增加相关人员工资经费社保等经费</w:t>
      </w:r>
      <w:r>
        <w:rPr>
          <w:rFonts w:hint="eastAsia" w:ascii="仿宋_GB2312" w:eastAsia="仿宋_GB2312"/>
          <w:sz w:val="32"/>
          <w:szCs w:val="32"/>
        </w:rPr>
        <w:t>。与年初预算相比，年初预算数</w:t>
      </w:r>
      <w:r>
        <w:rPr>
          <w:rFonts w:hint="eastAsia" w:ascii="仿宋_GB2312" w:eastAsia="仿宋_GB2312"/>
          <w:sz w:val="32"/>
          <w:szCs w:val="32"/>
          <w:lang w:val="zh-CN"/>
        </w:rPr>
        <w:t>221.40</w:t>
      </w:r>
      <w:r>
        <w:rPr>
          <w:rFonts w:hint="eastAsia" w:ascii="仿宋_GB2312" w:eastAsia="仿宋_GB2312"/>
          <w:sz w:val="32"/>
          <w:szCs w:val="32"/>
        </w:rPr>
        <w:t>万元，决算数</w:t>
      </w:r>
      <w:r>
        <w:rPr>
          <w:rFonts w:hint="eastAsia" w:ascii="仿宋_GB2312" w:eastAsia="仿宋_GB2312"/>
          <w:sz w:val="32"/>
          <w:szCs w:val="32"/>
          <w:lang w:val="zh-CN"/>
        </w:rPr>
        <w:t>271.94</w:t>
      </w:r>
      <w:r>
        <w:rPr>
          <w:rFonts w:hint="eastAsia" w:ascii="仿宋_GB2312" w:eastAsia="仿宋_GB2312"/>
          <w:sz w:val="32"/>
          <w:szCs w:val="32"/>
        </w:rPr>
        <w:t>万元，预决算差异率</w:t>
      </w:r>
      <w:r>
        <w:rPr>
          <w:rFonts w:hint="eastAsia" w:ascii="仿宋_GB2312" w:eastAsia="仿宋_GB2312"/>
          <w:sz w:val="32"/>
          <w:szCs w:val="32"/>
          <w:lang w:val="zh-CN"/>
        </w:rPr>
        <w:t>22.83%</w:t>
      </w:r>
      <w:r>
        <w:rPr>
          <w:rFonts w:hint="eastAsia" w:ascii="仿宋_GB2312" w:eastAsia="仿宋_GB2312"/>
          <w:sz w:val="32"/>
          <w:szCs w:val="32"/>
        </w:rPr>
        <w:t>，主要原因是：追加</w:t>
      </w:r>
      <w:r>
        <w:rPr>
          <w:rFonts w:hint="eastAsia" w:ascii="仿宋_GB2312" w:hAnsi="仿宋" w:eastAsia="仿宋_GB2312"/>
          <w:sz w:val="32"/>
          <w:szCs w:val="32"/>
        </w:rPr>
        <w:t>新入编3个人工资经费社保等经费预算</w:t>
      </w:r>
      <w:r>
        <w:rPr>
          <w:rFonts w:hint="eastAsia" w:ascii="仿宋_GB2312" w:eastAsia="仿宋_GB2312"/>
          <w:sz w:val="32"/>
          <w:szCs w:val="32"/>
        </w:rPr>
        <w:t>。</w:t>
      </w:r>
    </w:p>
    <w:p w14:paraId="7CC60D1B">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83F950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21.10</w:t>
      </w:r>
      <w:r>
        <w:rPr>
          <w:rFonts w:ascii="仿宋_GB2312" w:eastAsia="仿宋_GB2312"/>
          <w:kern w:val="2"/>
          <w:sz w:val="32"/>
          <w:szCs w:val="32"/>
          <w:lang w:val="zh-CN"/>
        </w:rPr>
        <w:t>万元，占</w:t>
      </w:r>
      <w:r>
        <w:rPr>
          <w:rFonts w:hint="eastAsia" w:ascii="仿宋_GB2312" w:eastAsia="仿宋_GB2312"/>
          <w:kern w:val="2"/>
          <w:sz w:val="32"/>
          <w:szCs w:val="32"/>
          <w:lang w:val="zh-CN"/>
        </w:rPr>
        <w:t>7.76%</w:t>
      </w:r>
      <w:r>
        <w:rPr>
          <w:rFonts w:ascii="仿宋_GB2312" w:eastAsia="仿宋_GB2312"/>
          <w:kern w:val="2"/>
          <w:sz w:val="32"/>
          <w:szCs w:val="32"/>
          <w:lang w:val="zh-CN"/>
        </w:rPr>
        <w:t>；</w:t>
      </w:r>
    </w:p>
    <w:p w14:paraId="4EB07AA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.粮油物资储备支出（类）</w:t>
      </w:r>
      <w:r>
        <w:rPr>
          <w:rFonts w:hint="eastAsia" w:ascii="仿宋_GB2312" w:eastAsia="仿宋_GB2312"/>
          <w:kern w:val="2"/>
          <w:sz w:val="32"/>
          <w:szCs w:val="32"/>
          <w:lang w:val="zh-CN"/>
        </w:rPr>
        <w:t>250.85</w:t>
      </w:r>
      <w:r>
        <w:rPr>
          <w:rFonts w:ascii="仿宋_GB2312" w:eastAsia="仿宋_GB2312"/>
          <w:kern w:val="2"/>
          <w:sz w:val="32"/>
          <w:szCs w:val="32"/>
          <w:lang w:val="zh-CN"/>
        </w:rPr>
        <w:t>万元，占</w:t>
      </w:r>
      <w:r>
        <w:rPr>
          <w:rFonts w:hint="eastAsia" w:ascii="仿宋_GB2312" w:eastAsia="仿宋_GB2312"/>
          <w:kern w:val="2"/>
          <w:sz w:val="32"/>
          <w:szCs w:val="32"/>
          <w:lang w:val="zh-CN"/>
        </w:rPr>
        <w:t>92.24%。</w:t>
      </w:r>
    </w:p>
    <w:p w14:paraId="273B9BB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4D0F79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1.粮油物资储备支出（类）粮油物资事务（款）一般行政管理事务（项）:支出决算数为21.26万元，比上年决算增加21.26万元，增长100%，主要原因是：新增</w:t>
      </w:r>
      <w:r>
        <w:rPr>
          <w:rFonts w:hint="eastAsia" w:ascii="仿宋_GB2312" w:hAnsi="仿宋_GB2312" w:eastAsia="仿宋_GB2312" w:cs="仿宋_GB2312"/>
          <w:sz w:val="32"/>
          <w:szCs w:val="32"/>
          <w:lang w:val="zh-CN"/>
        </w:rPr>
        <w:t>中国（新疆）自由贸易试验区乌鲁木齐片区申报方案编制费项目。</w:t>
      </w:r>
    </w:p>
    <w:p w14:paraId="4FB76CB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2.粮油物资储备支出（类）粮油物资事务（款）行政运行（项）:支出决算数为127.68万元，比上年决算增加4.60万元，增长3.74%，主要原因是：</w:t>
      </w:r>
      <w:r>
        <w:rPr>
          <w:rFonts w:hint="eastAsia" w:ascii="仿宋_GB2312" w:hAnsi="仿宋" w:eastAsia="仿宋_GB2312"/>
          <w:sz w:val="32"/>
          <w:szCs w:val="32"/>
        </w:rPr>
        <w:t>增加2个人员，增加相关人员工资经费社保等经费</w:t>
      </w:r>
      <w:r>
        <w:rPr>
          <w:rFonts w:hint="eastAsia" w:ascii="仿宋_GB2312" w:hAnsi="仿宋_GB2312" w:eastAsia="仿宋_GB2312" w:cs="仿宋_GB2312"/>
          <w:sz w:val="32"/>
          <w:szCs w:val="32"/>
          <w:lang w:val="zh-CN"/>
        </w:rPr>
        <w:t>。</w:t>
      </w:r>
    </w:p>
    <w:p w14:paraId="4AD1A06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21.10万元，比上年决算减少4.05万元，下降16.10%，主要原因是：2022年有4人调入相关养老保险增加较多，本年无人员调入，因此养老保险支出减少</w:t>
      </w:r>
      <w:r>
        <w:rPr>
          <w:rFonts w:hint="eastAsia" w:ascii="仿宋_GB2312" w:hAnsi="仿宋_GB2312" w:eastAsia="仿宋_GB2312" w:cs="仿宋_GB2312"/>
          <w:sz w:val="32"/>
          <w:szCs w:val="32"/>
          <w:lang w:val="zh-CN"/>
        </w:rPr>
        <w:t>。</w:t>
      </w:r>
    </w:p>
    <w:p w14:paraId="6703BB6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4.粮油物资储备支出（类）粮油物资事务（款）事业运行（项）:支出决算数为101.91万元，比上年决算增加3.25万元，增长3.29%，主要原因是：</w:t>
      </w:r>
      <w:r>
        <w:rPr>
          <w:rFonts w:hint="eastAsia" w:ascii="仿宋_GB2312" w:hAnsi="仿宋" w:eastAsia="仿宋_GB2312"/>
          <w:sz w:val="32"/>
          <w:szCs w:val="32"/>
        </w:rPr>
        <w:t>增加1人，增加相关人员工资社保等经费</w:t>
      </w:r>
      <w:r>
        <w:rPr>
          <w:rFonts w:hint="eastAsia" w:ascii="仿宋_GB2312" w:hAnsi="仿宋_GB2312" w:eastAsia="仿宋_GB2312" w:cs="仿宋_GB2312"/>
          <w:sz w:val="32"/>
          <w:szCs w:val="32"/>
          <w:lang w:val="zh-CN"/>
        </w:rPr>
        <w:t>。</w:t>
      </w:r>
    </w:p>
    <w:p w14:paraId="15384CE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BEB43D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250.69万元，其中：人员经费239.80万元，包括：基本工资、津贴补贴、奖金、机关事业单位基本养老保险缴费、职工基本医疗保险缴费、公务员医疗补助缴费、其他社会保障缴费、住房公积金、奖励金。</w:t>
      </w:r>
    </w:p>
    <w:p w14:paraId="7350D7FF">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公用经费10.88万元，包括：办公费、工会经费、福利费、其他交通费用。</w:t>
      </w:r>
    </w:p>
    <w:p w14:paraId="7F7B50A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8D178E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主要原因是：我单位本年无此项支出。其中：因公出国（境）费支出0.00万元，占0.00%，比上年增加0.00万元，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主要原因是：我单位本年无此项支出；公务用车购置及运行维护费支出0.00万元，占0.00%，比上年增加0.00万元，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主要原因是：我单位本年无此项支出；公务接待费支出0.00万元，占0.00%，比上年增加0.00万元，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主要原因是：我单位本年无此项支出。</w:t>
      </w:r>
    </w:p>
    <w:p w14:paraId="5718CB6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D3F135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因公出国（境）费支出0.00万元，开支内容包括我单位本年无此项支出。单位全年安排的因公出国（境）团组0个，因公出国（境）0人次。</w:t>
      </w:r>
    </w:p>
    <w:p w14:paraId="27D4E46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本年无此项支出。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14:paraId="2D4B963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公务接待费0.00万元，开支内容包括我单位本年无此项支出。单位全年安排的国内公务接待0批次，0人次。</w:t>
      </w:r>
    </w:p>
    <w:p w14:paraId="47CDADE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预算数0.00万元，决算数0.00万元，预决算差异率0.00%，主要原因是：我单位本年无此项支出。其中：因公出国（境）费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0.00万元，决算数0.00万元，预决算差异率0.00%，主要原因是：我单位本年无此项支出；公务用车购置费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预算数0.00万元，决算数0.00万元，预决算差异率0.00%，主要原因是：我单位本年无此项支出；公务用车运行费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预算数0.00万元，决算数0.00万元，预决算差异率0.00%，主要原因是：我单位本年无此项支出；公务接待费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预算数0.00万元，决算数0.00万元，预决算差异率0.00%，主要原因是：我单位本年无此项支出。</w:t>
      </w:r>
    </w:p>
    <w:p w14:paraId="3895DB3A">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6BA952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02318D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96413E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63A10F5">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4CA93CE0">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13914E38">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乌鲁木齐市米东区商务局（行政单位和参照公务员法管理事业单位）机关运行经费支出10.88万元，</w:t>
      </w:r>
      <w:r>
        <w:rPr>
          <w:rFonts w:hint="eastAsia" w:ascii="仿宋_GB2312" w:hAnsi="仿宋_GB2312" w:eastAsia="仿宋_GB2312" w:cs="仿宋_GB2312"/>
          <w:sz w:val="32"/>
          <w:szCs w:val="32"/>
          <w:lang w:val="zh-CN"/>
        </w:rPr>
        <w:t>比上年减少17.52万元，下降61.69%，主要原因是：单位本年办公费、工会经费、福利费减少。</w:t>
      </w:r>
    </w:p>
    <w:p w14:paraId="6C167E7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5FF75E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45BC9F5">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05F9311">
      <w:pPr>
        <w:ind w:firstLine="643" w:firstLineChars="200"/>
        <w:jc w:val="left"/>
        <w:rPr>
          <w:rFonts w:hint="eastAsia" w:ascii="仿宋_GB2312" w:hAnsi="仿宋_GB2312" w:eastAsia="仿宋_GB2312" w:cs="仿宋_GB2312"/>
          <w:b/>
          <w:bCs/>
          <w:sz w:val="32"/>
          <w:szCs w:val="30"/>
          <w:lang w:val="zh-CN"/>
        </w:rPr>
      </w:pPr>
      <w:bookmarkStart w:id="26" w:name="_Toc4591"/>
      <w:bookmarkStart w:id="27" w:name="_Toc8391"/>
      <w:r>
        <w:rPr>
          <w:rFonts w:hint="eastAsia" w:ascii="仿宋_GB2312" w:hAnsi="仿宋_GB2312" w:eastAsia="仿宋_GB2312" w:cs="仿宋_GB2312"/>
          <w:b/>
          <w:bCs/>
          <w:sz w:val="32"/>
          <w:szCs w:val="30"/>
          <w:lang w:val="zh-CN"/>
        </w:rPr>
        <w:t>（三）国有资产占用情况说明</w:t>
      </w:r>
      <w:bookmarkEnd w:id="26"/>
      <w:bookmarkEnd w:id="27"/>
    </w:p>
    <w:p w14:paraId="1D99F5E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44.38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屋0.00平方米，价值0.00万元。车辆1辆，价值13.88万元，其中：副部（省）级及以上领导用车0辆、主要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67C5D97">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5C1F313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318.34</w:t>
      </w:r>
      <w:r>
        <w:rPr>
          <w:rFonts w:hint="eastAsia" w:ascii="仿宋_GB2312" w:eastAsia="仿宋_GB2312"/>
          <w:sz w:val="32"/>
          <w:szCs w:val="32"/>
        </w:rPr>
        <w:t>万元，实际执行总额</w:t>
      </w:r>
      <w:r>
        <w:rPr>
          <w:rFonts w:ascii="仿宋_GB2312" w:eastAsia="仿宋_GB2312"/>
          <w:sz w:val="32"/>
          <w:szCs w:val="32"/>
        </w:rPr>
        <w:t>271.94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30</w:t>
      </w:r>
      <w:r>
        <w:rPr>
          <w:rFonts w:hint="eastAsia" w:ascii="仿宋_GB2312" w:eastAsia="仿宋_GB2312"/>
          <w:sz w:val="32"/>
          <w:szCs w:val="32"/>
        </w:rPr>
        <w:t>.00万元，全年执行数</w:t>
      </w:r>
      <w:r>
        <w:rPr>
          <w:rFonts w:ascii="仿宋_GB2312" w:eastAsia="仿宋_GB2312"/>
          <w:sz w:val="32"/>
          <w:szCs w:val="32"/>
        </w:rPr>
        <w:t>21.26</w:t>
      </w:r>
      <w:r>
        <w:rPr>
          <w:rFonts w:hint="eastAsia" w:ascii="仿宋_GB2312" w:eastAsia="仿宋_GB2312"/>
          <w:sz w:val="32"/>
          <w:szCs w:val="32"/>
        </w:rPr>
        <w:t>万元。预算绩效管理取得的成效：</w:t>
      </w:r>
      <w:r>
        <w:rPr>
          <w:rFonts w:hint="eastAsia" w:ascii="仿宋_GB2312" w:eastAsia="仿宋_GB2312"/>
          <w:sz w:val="32"/>
        </w:rPr>
        <w:t>一是有效使用财政资金使用率，完善资金使用的成果，</w:t>
      </w:r>
      <w:r>
        <w:rPr>
          <w:rFonts w:hint="eastAsia" w:ascii="仿宋_GB2312" w:eastAsia="仿宋_GB2312"/>
          <w:sz w:val="32"/>
          <w:szCs w:val="32"/>
        </w:rPr>
        <w:t>二是促进统筹规划和综合协调，提升人居环境质量,提升群众人居环境</w:t>
      </w:r>
      <w:r>
        <w:rPr>
          <w:rFonts w:hint="eastAsia" w:ascii="仿宋_GB2312" w:eastAsia="仿宋_GB2312"/>
          <w:sz w:val="32"/>
        </w:rPr>
        <w:t>。发现的问题及原因：一是财政资金使用效率还需提高，项目建设需要进一步强化管理，节约意识需要加强，</w:t>
      </w:r>
      <w:r>
        <w:rPr>
          <w:rFonts w:hint="eastAsia" w:ascii="仿宋_GB2312" w:eastAsia="仿宋_GB2312"/>
          <w:sz w:val="32"/>
          <w:szCs w:val="32"/>
        </w:rPr>
        <w:t>二是部门整体绩效指标应从单位全局高度出发，围绕部门单位履职的核心任务，分析提炼部门单位年度目标，再细化为具体的三级指标，以结果性、效益性指标为主</w:t>
      </w:r>
      <w:r>
        <w:rPr>
          <w:rFonts w:hint="eastAsia" w:ascii="仿宋_GB2312" w:eastAsia="仿宋_GB2312"/>
          <w:sz w:val="32"/>
        </w:rPr>
        <w:t>。下一步改进措施:一是切实履行我单位作为用款人的绩效评价主体责任，强化绩效理念，树立绩效意识；二是充分吸取、运用绩效自评成果，提高资金使用效率，牢固树立过紧日子思想，提高节约意识；三是强化项目管理。进一步科学论证、审查项目，全面跟踪项目实施进展情况，高效利用有限的财政资金，科学设置绩效评价标准，更加符合实际，客观科学</w:t>
      </w:r>
      <w:r>
        <w:rPr>
          <w:rFonts w:hint="eastAsia" w:ascii="仿宋_GB2312" w:eastAsia="仿宋_GB2312"/>
          <w:sz w:val="32"/>
          <w:szCs w:val="32"/>
        </w:rPr>
        <w:t>。具体项目自评情况附绩效自评表及自评报告。</w:t>
      </w:r>
    </w:p>
    <w:p w14:paraId="6414AB92">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0806DB3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2B84DB0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151C1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6E32D90">
            <w:pPr>
              <w:jc w:val="center"/>
            </w:pPr>
            <w:r>
              <w:rPr>
                <w:rFonts w:ascii="宋体" w:hAnsi="宋体"/>
                <w:sz w:val="18"/>
              </w:rPr>
              <w:t>米东区商务局</w:t>
            </w:r>
          </w:p>
        </w:tc>
        <w:tc>
          <w:tcPr>
            <w:tcW w:w="284" w:type="dxa"/>
            <w:tcBorders>
              <w:top w:val="nil"/>
              <w:left w:val="nil"/>
              <w:bottom w:val="nil"/>
              <w:right w:val="nil"/>
            </w:tcBorders>
            <w:shd w:val="clear" w:color="auto" w:fill="auto"/>
            <w:noWrap/>
            <w:vAlign w:val="center"/>
          </w:tcPr>
          <w:p w14:paraId="3457E8A5">
            <w:pPr>
              <w:widowControl/>
              <w:jc w:val="left"/>
              <w:rPr>
                <w:rFonts w:hint="eastAsia" w:ascii="宋体" w:hAnsi="宋体" w:cs="宋体"/>
                <w:b/>
                <w:bCs/>
                <w:kern w:val="0"/>
                <w:sz w:val="18"/>
                <w:szCs w:val="18"/>
              </w:rPr>
            </w:pPr>
          </w:p>
        </w:tc>
      </w:tr>
      <w:tr w14:paraId="417ECDC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D39AA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single" w:color="auto" w:sz="4" w:space="0"/>
              <w:left w:val="nil"/>
              <w:bottom w:val="single" w:color="auto" w:sz="4" w:space="0"/>
              <w:right w:val="single" w:color="auto" w:sz="4" w:space="0"/>
            </w:tcBorders>
            <w:shd w:val="clear" w:color="auto" w:fill="auto"/>
            <w:vAlign w:val="center"/>
          </w:tcPr>
          <w:p w14:paraId="2ADFA200">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single" w:color="auto" w:sz="4" w:space="0"/>
              <w:left w:val="nil"/>
              <w:bottom w:val="single" w:color="auto" w:sz="4" w:space="0"/>
              <w:right w:val="single" w:color="auto" w:sz="4" w:space="0"/>
            </w:tcBorders>
            <w:shd w:val="clear" w:color="auto" w:fill="auto"/>
            <w:vAlign w:val="center"/>
          </w:tcPr>
          <w:p w14:paraId="6056A47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single" w:color="auto" w:sz="4" w:space="0"/>
              <w:left w:val="nil"/>
              <w:bottom w:val="single" w:color="auto" w:sz="4" w:space="0"/>
              <w:right w:val="single" w:color="auto" w:sz="4" w:space="0"/>
            </w:tcBorders>
            <w:shd w:val="clear" w:color="auto" w:fill="auto"/>
            <w:vAlign w:val="center"/>
          </w:tcPr>
          <w:p w14:paraId="76F0CB4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single" w:color="auto" w:sz="4" w:space="0"/>
              <w:left w:val="nil"/>
              <w:bottom w:val="single" w:color="auto" w:sz="4" w:space="0"/>
              <w:right w:val="single" w:color="auto" w:sz="4" w:space="0"/>
            </w:tcBorders>
            <w:shd w:val="clear" w:color="auto" w:fill="auto"/>
            <w:vAlign w:val="center"/>
          </w:tcPr>
          <w:p w14:paraId="0EB3B01A">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single" w:color="auto" w:sz="4" w:space="0"/>
              <w:left w:val="nil"/>
              <w:bottom w:val="single" w:color="auto" w:sz="4" w:space="0"/>
              <w:right w:val="single" w:color="auto" w:sz="4" w:space="0"/>
            </w:tcBorders>
            <w:shd w:val="clear" w:color="auto" w:fill="auto"/>
            <w:vAlign w:val="center"/>
          </w:tcPr>
          <w:p w14:paraId="1E777D3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single" w:color="auto" w:sz="4" w:space="0"/>
              <w:left w:val="nil"/>
              <w:bottom w:val="single" w:color="auto" w:sz="4" w:space="0"/>
              <w:right w:val="single" w:color="auto" w:sz="4" w:space="0"/>
            </w:tcBorders>
            <w:shd w:val="clear" w:color="auto" w:fill="auto"/>
            <w:vAlign w:val="center"/>
          </w:tcPr>
          <w:p w14:paraId="690C2B9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single" w:color="auto" w:sz="4" w:space="0"/>
              <w:left w:val="nil"/>
              <w:bottom w:val="single" w:color="auto" w:sz="4" w:space="0"/>
              <w:right w:val="single" w:color="auto" w:sz="4" w:space="0"/>
            </w:tcBorders>
            <w:shd w:val="clear" w:color="auto" w:fill="auto"/>
            <w:vAlign w:val="center"/>
          </w:tcPr>
          <w:p w14:paraId="12F0C33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97E6894">
            <w:pPr>
              <w:widowControl/>
              <w:jc w:val="center"/>
              <w:rPr>
                <w:rFonts w:hint="eastAsia" w:ascii="宋体" w:hAnsi="宋体" w:cs="宋体"/>
                <w:b/>
                <w:bCs/>
                <w:kern w:val="0"/>
                <w:sz w:val="18"/>
                <w:szCs w:val="18"/>
              </w:rPr>
            </w:pPr>
          </w:p>
        </w:tc>
      </w:tr>
      <w:tr w14:paraId="7CF11A21">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AA4216">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noWrap/>
            <w:vAlign w:val="center"/>
          </w:tcPr>
          <w:p w14:paraId="76B60F32">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single" w:color="auto" w:sz="4" w:space="0"/>
              <w:left w:val="nil"/>
              <w:bottom w:val="single" w:color="auto" w:sz="4" w:space="0"/>
              <w:right w:val="single" w:color="auto" w:sz="4" w:space="0"/>
            </w:tcBorders>
            <w:shd w:val="clear" w:color="auto" w:fill="auto"/>
            <w:vAlign w:val="center"/>
          </w:tcPr>
          <w:p w14:paraId="4171DCC3">
            <w:pPr>
              <w:jc w:val="center"/>
            </w:pPr>
            <w:r>
              <w:rPr>
                <w:rFonts w:ascii="宋体" w:hAnsi="宋体"/>
                <w:sz w:val="18"/>
              </w:rPr>
              <w:t>222.30</w:t>
            </w:r>
          </w:p>
        </w:tc>
        <w:tc>
          <w:tcPr>
            <w:tcW w:w="1134" w:type="dxa"/>
            <w:tcBorders>
              <w:top w:val="single" w:color="auto" w:sz="4" w:space="0"/>
              <w:left w:val="nil"/>
              <w:bottom w:val="single" w:color="auto" w:sz="4" w:space="0"/>
              <w:right w:val="single" w:color="auto" w:sz="4" w:space="0"/>
            </w:tcBorders>
            <w:shd w:val="clear" w:color="auto" w:fill="auto"/>
            <w:vAlign w:val="center"/>
          </w:tcPr>
          <w:p w14:paraId="482EF862">
            <w:pPr>
              <w:jc w:val="center"/>
            </w:pPr>
            <w:bookmarkStart w:id="31" w:name="_Hlk180061089"/>
            <w:r>
              <w:rPr>
                <w:rFonts w:ascii="宋体" w:hAnsi="宋体"/>
                <w:sz w:val="18"/>
              </w:rPr>
              <w:t>318.34</w:t>
            </w:r>
            <w:bookmarkEnd w:id="31"/>
          </w:p>
        </w:tc>
        <w:tc>
          <w:tcPr>
            <w:tcW w:w="2126" w:type="dxa"/>
            <w:tcBorders>
              <w:top w:val="single" w:color="auto" w:sz="4" w:space="0"/>
              <w:left w:val="nil"/>
              <w:bottom w:val="single" w:color="auto" w:sz="4" w:space="0"/>
              <w:right w:val="single" w:color="auto" w:sz="4" w:space="0"/>
            </w:tcBorders>
            <w:shd w:val="clear" w:color="auto" w:fill="auto"/>
            <w:vAlign w:val="center"/>
          </w:tcPr>
          <w:p w14:paraId="4CFBB5BF">
            <w:pPr>
              <w:jc w:val="center"/>
            </w:pPr>
            <w:bookmarkStart w:id="32" w:name="_Hlk180061094"/>
            <w:r>
              <w:rPr>
                <w:rFonts w:ascii="宋体" w:hAnsi="宋体"/>
                <w:sz w:val="18"/>
              </w:rPr>
              <w:t>271.94</w:t>
            </w:r>
            <w:bookmarkEnd w:id="32"/>
          </w:p>
        </w:tc>
        <w:tc>
          <w:tcPr>
            <w:tcW w:w="1004" w:type="dxa"/>
            <w:tcBorders>
              <w:top w:val="single" w:color="auto" w:sz="4" w:space="0"/>
              <w:left w:val="nil"/>
              <w:bottom w:val="single" w:color="auto" w:sz="4" w:space="0"/>
              <w:right w:val="single" w:color="auto" w:sz="4" w:space="0"/>
            </w:tcBorders>
            <w:shd w:val="clear" w:color="auto" w:fill="auto"/>
            <w:vAlign w:val="center"/>
          </w:tcPr>
          <w:p w14:paraId="6F783AAC">
            <w:pPr>
              <w:jc w:val="center"/>
            </w:pPr>
            <w:r>
              <w:rPr>
                <w:rFonts w:ascii="宋体" w:hAnsi="宋体"/>
                <w:sz w:val="18"/>
              </w:rPr>
              <w:t>10</w:t>
            </w:r>
          </w:p>
        </w:tc>
        <w:tc>
          <w:tcPr>
            <w:tcW w:w="839" w:type="dxa"/>
            <w:tcBorders>
              <w:top w:val="single" w:color="auto" w:sz="4" w:space="0"/>
              <w:left w:val="nil"/>
              <w:bottom w:val="single" w:color="auto" w:sz="4" w:space="0"/>
              <w:right w:val="single" w:color="auto" w:sz="4" w:space="0"/>
            </w:tcBorders>
            <w:shd w:val="clear" w:color="auto" w:fill="auto"/>
            <w:vAlign w:val="center"/>
          </w:tcPr>
          <w:p w14:paraId="726FD3F7">
            <w:pPr>
              <w:jc w:val="center"/>
            </w:pPr>
            <w:r>
              <w:rPr>
                <w:rFonts w:ascii="宋体" w:hAnsi="宋体"/>
                <w:sz w:val="18"/>
              </w:rPr>
              <w:t>85.42%</w:t>
            </w:r>
          </w:p>
        </w:tc>
        <w:tc>
          <w:tcPr>
            <w:tcW w:w="720" w:type="dxa"/>
            <w:tcBorders>
              <w:top w:val="single" w:color="auto" w:sz="4" w:space="0"/>
              <w:left w:val="nil"/>
              <w:bottom w:val="single" w:color="auto" w:sz="4" w:space="0"/>
              <w:right w:val="single" w:color="auto" w:sz="4" w:space="0"/>
            </w:tcBorders>
            <w:shd w:val="clear" w:color="auto" w:fill="auto"/>
            <w:vAlign w:val="center"/>
          </w:tcPr>
          <w:p w14:paraId="472391C2">
            <w:pPr>
              <w:jc w:val="center"/>
            </w:pPr>
            <w:r>
              <w:rPr>
                <w:rFonts w:ascii="宋体" w:hAnsi="宋体"/>
                <w:sz w:val="18"/>
              </w:rPr>
              <w:t>8.54</w:t>
            </w:r>
          </w:p>
        </w:tc>
        <w:tc>
          <w:tcPr>
            <w:tcW w:w="284" w:type="dxa"/>
            <w:tcBorders>
              <w:top w:val="nil"/>
              <w:left w:val="nil"/>
              <w:bottom w:val="nil"/>
              <w:right w:val="nil"/>
            </w:tcBorders>
            <w:shd w:val="clear" w:color="auto" w:fill="auto"/>
            <w:noWrap/>
            <w:vAlign w:val="center"/>
          </w:tcPr>
          <w:p w14:paraId="3A9B9006">
            <w:pPr>
              <w:widowControl/>
              <w:jc w:val="center"/>
              <w:rPr>
                <w:rFonts w:hint="eastAsia" w:ascii="宋体" w:hAnsi="宋体" w:cs="宋体"/>
                <w:b/>
                <w:bCs/>
                <w:kern w:val="0"/>
                <w:sz w:val="18"/>
                <w:szCs w:val="18"/>
              </w:rPr>
            </w:pPr>
          </w:p>
        </w:tc>
      </w:tr>
      <w:tr w14:paraId="48207184">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847007">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vAlign w:val="center"/>
          </w:tcPr>
          <w:p w14:paraId="1BCAA91E">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single" w:color="auto" w:sz="4" w:space="0"/>
              <w:left w:val="nil"/>
              <w:bottom w:val="single" w:color="auto" w:sz="4" w:space="0"/>
              <w:right w:val="single" w:color="auto" w:sz="4" w:space="0"/>
            </w:tcBorders>
            <w:shd w:val="clear" w:color="auto" w:fill="auto"/>
            <w:vAlign w:val="center"/>
          </w:tcPr>
          <w:p w14:paraId="48C69EF1">
            <w:pPr>
              <w:jc w:val="center"/>
            </w:pPr>
            <w:r>
              <w:rPr>
                <w:rFonts w:ascii="宋体" w:hAnsi="宋体"/>
                <w:sz w:val="18"/>
              </w:rPr>
              <w:t>0.90</w:t>
            </w:r>
          </w:p>
        </w:tc>
        <w:tc>
          <w:tcPr>
            <w:tcW w:w="1134" w:type="dxa"/>
            <w:tcBorders>
              <w:top w:val="single" w:color="auto" w:sz="4" w:space="0"/>
              <w:left w:val="nil"/>
              <w:bottom w:val="single" w:color="auto" w:sz="4" w:space="0"/>
              <w:right w:val="single" w:color="auto" w:sz="4" w:space="0"/>
            </w:tcBorders>
            <w:shd w:val="clear" w:color="auto" w:fill="auto"/>
            <w:vAlign w:val="center"/>
          </w:tcPr>
          <w:p w14:paraId="06CC627D">
            <w:pPr>
              <w:jc w:val="center"/>
            </w:pPr>
            <w:r>
              <w:rPr>
                <w:rFonts w:ascii="宋体" w:hAnsi="宋体"/>
                <w:sz w:val="18"/>
              </w:rPr>
              <w:t>0.90</w:t>
            </w:r>
          </w:p>
        </w:tc>
        <w:tc>
          <w:tcPr>
            <w:tcW w:w="2126" w:type="dxa"/>
            <w:tcBorders>
              <w:top w:val="single" w:color="auto" w:sz="4" w:space="0"/>
              <w:left w:val="nil"/>
              <w:bottom w:val="single" w:color="auto" w:sz="4" w:space="0"/>
              <w:right w:val="single" w:color="auto" w:sz="4" w:space="0"/>
            </w:tcBorders>
            <w:shd w:val="clear" w:color="auto" w:fill="auto"/>
            <w:vAlign w:val="center"/>
          </w:tcPr>
          <w:p w14:paraId="69EB0E34">
            <w:pPr>
              <w:jc w:val="center"/>
            </w:pPr>
            <w:r>
              <w:rPr>
                <w:rFonts w:ascii="宋体" w:hAnsi="宋体"/>
                <w:sz w:val="18"/>
              </w:rPr>
              <w:t>0.90</w:t>
            </w:r>
          </w:p>
        </w:tc>
        <w:tc>
          <w:tcPr>
            <w:tcW w:w="1004" w:type="dxa"/>
            <w:tcBorders>
              <w:top w:val="single" w:color="auto" w:sz="4" w:space="0"/>
              <w:left w:val="nil"/>
              <w:bottom w:val="single" w:color="auto" w:sz="4" w:space="0"/>
              <w:right w:val="single" w:color="auto" w:sz="4" w:space="0"/>
            </w:tcBorders>
            <w:shd w:val="clear" w:color="auto" w:fill="auto"/>
            <w:vAlign w:val="center"/>
          </w:tcPr>
          <w:p w14:paraId="798CD4F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single" w:color="auto" w:sz="4" w:space="0"/>
              <w:left w:val="nil"/>
              <w:bottom w:val="single" w:color="auto" w:sz="4" w:space="0"/>
              <w:right w:val="single" w:color="auto" w:sz="4" w:space="0"/>
            </w:tcBorders>
            <w:shd w:val="clear" w:color="auto" w:fill="auto"/>
            <w:vAlign w:val="center"/>
          </w:tcPr>
          <w:p w14:paraId="2AD27C5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single" w:color="auto" w:sz="4" w:space="0"/>
              <w:left w:val="nil"/>
              <w:bottom w:val="single" w:color="auto" w:sz="4" w:space="0"/>
              <w:right w:val="single" w:color="auto" w:sz="4" w:space="0"/>
            </w:tcBorders>
            <w:shd w:val="clear" w:color="auto" w:fill="auto"/>
            <w:vAlign w:val="center"/>
          </w:tcPr>
          <w:p w14:paraId="67F8FE6E">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645A038">
            <w:pPr>
              <w:widowControl/>
              <w:jc w:val="center"/>
              <w:rPr>
                <w:rFonts w:hint="eastAsia" w:ascii="宋体" w:hAnsi="宋体" w:cs="宋体"/>
                <w:kern w:val="0"/>
                <w:sz w:val="18"/>
                <w:szCs w:val="18"/>
              </w:rPr>
            </w:pPr>
          </w:p>
        </w:tc>
      </w:tr>
      <w:tr w14:paraId="0E85107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AFA162">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vAlign w:val="center"/>
          </w:tcPr>
          <w:p w14:paraId="2FCEEA92">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single" w:color="auto" w:sz="4" w:space="0"/>
              <w:left w:val="nil"/>
              <w:bottom w:val="single" w:color="auto" w:sz="4" w:space="0"/>
              <w:right w:val="single" w:color="auto" w:sz="4" w:space="0"/>
            </w:tcBorders>
            <w:shd w:val="clear" w:color="auto" w:fill="auto"/>
            <w:vAlign w:val="center"/>
          </w:tcPr>
          <w:p w14:paraId="30099ED5">
            <w:pPr>
              <w:jc w:val="center"/>
            </w:pPr>
            <w:r>
              <w:rPr>
                <w:rFonts w:ascii="宋体" w:hAnsi="宋体"/>
                <w:sz w:val="18"/>
              </w:rPr>
              <w:t>0.00</w:t>
            </w:r>
          </w:p>
        </w:tc>
        <w:tc>
          <w:tcPr>
            <w:tcW w:w="1134" w:type="dxa"/>
            <w:tcBorders>
              <w:top w:val="single" w:color="auto" w:sz="4" w:space="0"/>
              <w:left w:val="nil"/>
              <w:bottom w:val="single" w:color="auto" w:sz="4" w:space="0"/>
              <w:right w:val="single" w:color="auto" w:sz="4" w:space="0"/>
            </w:tcBorders>
            <w:shd w:val="clear" w:color="auto" w:fill="auto"/>
            <w:vAlign w:val="center"/>
          </w:tcPr>
          <w:p w14:paraId="7C1F2944">
            <w:pPr>
              <w:jc w:val="center"/>
            </w:pPr>
            <w:r>
              <w:rPr>
                <w:rFonts w:ascii="宋体" w:hAnsi="宋体"/>
                <w:sz w:val="18"/>
              </w:rPr>
              <w:t>0.00</w:t>
            </w:r>
          </w:p>
        </w:tc>
        <w:tc>
          <w:tcPr>
            <w:tcW w:w="2126" w:type="dxa"/>
            <w:tcBorders>
              <w:top w:val="single" w:color="auto" w:sz="4" w:space="0"/>
              <w:left w:val="nil"/>
              <w:bottom w:val="single" w:color="auto" w:sz="4" w:space="0"/>
              <w:right w:val="single" w:color="auto" w:sz="4" w:space="0"/>
            </w:tcBorders>
            <w:shd w:val="clear" w:color="auto" w:fill="auto"/>
            <w:vAlign w:val="center"/>
          </w:tcPr>
          <w:p w14:paraId="527F1861">
            <w:pPr>
              <w:jc w:val="center"/>
            </w:pPr>
            <w:r>
              <w:rPr>
                <w:rFonts w:ascii="宋体" w:hAnsi="宋体"/>
                <w:sz w:val="18"/>
              </w:rPr>
              <w:t>0.00</w:t>
            </w:r>
          </w:p>
        </w:tc>
        <w:tc>
          <w:tcPr>
            <w:tcW w:w="1004" w:type="dxa"/>
            <w:tcBorders>
              <w:top w:val="single" w:color="auto" w:sz="4" w:space="0"/>
              <w:left w:val="nil"/>
              <w:bottom w:val="single" w:color="auto" w:sz="4" w:space="0"/>
              <w:right w:val="single" w:color="auto" w:sz="4" w:space="0"/>
            </w:tcBorders>
            <w:shd w:val="clear" w:color="auto" w:fill="auto"/>
            <w:vAlign w:val="center"/>
          </w:tcPr>
          <w:p w14:paraId="70D712AF">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single" w:color="auto" w:sz="4" w:space="0"/>
              <w:left w:val="nil"/>
              <w:bottom w:val="single" w:color="auto" w:sz="4" w:space="0"/>
              <w:right w:val="single" w:color="auto" w:sz="4" w:space="0"/>
            </w:tcBorders>
            <w:shd w:val="clear" w:color="auto" w:fill="auto"/>
            <w:vAlign w:val="center"/>
          </w:tcPr>
          <w:p w14:paraId="05F4AE6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single" w:color="auto" w:sz="4" w:space="0"/>
              <w:left w:val="nil"/>
              <w:bottom w:val="single" w:color="auto" w:sz="4" w:space="0"/>
              <w:right w:val="single" w:color="auto" w:sz="4" w:space="0"/>
            </w:tcBorders>
            <w:shd w:val="clear" w:color="auto" w:fill="auto"/>
            <w:vAlign w:val="center"/>
          </w:tcPr>
          <w:p w14:paraId="16D43FF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7A70C05">
            <w:pPr>
              <w:widowControl/>
              <w:jc w:val="center"/>
              <w:rPr>
                <w:rFonts w:hint="eastAsia" w:ascii="宋体" w:hAnsi="宋体" w:cs="宋体"/>
                <w:kern w:val="0"/>
                <w:sz w:val="18"/>
                <w:szCs w:val="18"/>
              </w:rPr>
            </w:pPr>
          </w:p>
        </w:tc>
      </w:tr>
      <w:tr w14:paraId="144F3FD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D61168">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vAlign w:val="center"/>
          </w:tcPr>
          <w:p w14:paraId="2C668AA4">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single" w:color="auto" w:sz="4" w:space="0"/>
              <w:left w:val="nil"/>
              <w:bottom w:val="single" w:color="auto" w:sz="4" w:space="0"/>
              <w:right w:val="single" w:color="auto" w:sz="4" w:space="0"/>
            </w:tcBorders>
            <w:shd w:val="clear" w:color="auto" w:fill="auto"/>
            <w:vAlign w:val="center"/>
          </w:tcPr>
          <w:p w14:paraId="74E17078">
            <w:pPr>
              <w:jc w:val="center"/>
            </w:pPr>
            <w:r>
              <w:rPr>
                <w:rFonts w:ascii="宋体" w:hAnsi="宋体"/>
                <w:sz w:val="18"/>
              </w:rPr>
              <w:t>0.00</w:t>
            </w:r>
          </w:p>
        </w:tc>
        <w:tc>
          <w:tcPr>
            <w:tcW w:w="1134" w:type="dxa"/>
            <w:tcBorders>
              <w:top w:val="single" w:color="auto" w:sz="4" w:space="0"/>
              <w:left w:val="nil"/>
              <w:bottom w:val="single" w:color="auto" w:sz="4" w:space="0"/>
              <w:right w:val="single" w:color="auto" w:sz="4" w:space="0"/>
            </w:tcBorders>
            <w:shd w:val="clear" w:color="auto" w:fill="auto"/>
            <w:vAlign w:val="center"/>
          </w:tcPr>
          <w:p w14:paraId="07A4A2F5">
            <w:pPr>
              <w:jc w:val="center"/>
            </w:pPr>
            <w:r>
              <w:rPr>
                <w:rFonts w:ascii="宋体" w:hAnsi="宋体"/>
                <w:sz w:val="18"/>
              </w:rPr>
              <w:t>0.00</w:t>
            </w:r>
          </w:p>
        </w:tc>
        <w:tc>
          <w:tcPr>
            <w:tcW w:w="2126" w:type="dxa"/>
            <w:tcBorders>
              <w:top w:val="single" w:color="auto" w:sz="4" w:space="0"/>
              <w:left w:val="nil"/>
              <w:bottom w:val="single" w:color="auto" w:sz="4" w:space="0"/>
              <w:right w:val="single" w:color="auto" w:sz="4" w:space="0"/>
            </w:tcBorders>
            <w:shd w:val="clear" w:color="auto" w:fill="auto"/>
            <w:vAlign w:val="center"/>
          </w:tcPr>
          <w:p w14:paraId="520C521E">
            <w:pPr>
              <w:jc w:val="center"/>
            </w:pPr>
            <w:r>
              <w:rPr>
                <w:rFonts w:ascii="宋体" w:hAnsi="宋体"/>
                <w:sz w:val="18"/>
              </w:rPr>
              <w:t>0.00</w:t>
            </w:r>
          </w:p>
        </w:tc>
        <w:tc>
          <w:tcPr>
            <w:tcW w:w="1004" w:type="dxa"/>
            <w:tcBorders>
              <w:top w:val="single" w:color="auto" w:sz="4" w:space="0"/>
              <w:left w:val="nil"/>
              <w:bottom w:val="single" w:color="auto" w:sz="4" w:space="0"/>
              <w:right w:val="single" w:color="auto" w:sz="4" w:space="0"/>
            </w:tcBorders>
            <w:shd w:val="clear" w:color="auto" w:fill="auto"/>
            <w:vAlign w:val="center"/>
          </w:tcPr>
          <w:p w14:paraId="3DB71CD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single" w:color="auto" w:sz="4" w:space="0"/>
              <w:left w:val="nil"/>
              <w:bottom w:val="single" w:color="auto" w:sz="4" w:space="0"/>
              <w:right w:val="single" w:color="auto" w:sz="4" w:space="0"/>
            </w:tcBorders>
            <w:shd w:val="clear" w:color="auto" w:fill="auto"/>
            <w:vAlign w:val="center"/>
          </w:tcPr>
          <w:p w14:paraId="34D9688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nil"/>
              <w:bottom w:val="single" w:color="auto" w:sz="4" w:space="0"/>
              <w:right w:val="single" w:color="auto" w:sz="4" w:space="0"/>
            </w:tcBorders>
            <w:shd w:val="clear" w:color="auto" w:fill="auto"/>
            <w:vAlign w:val="center"/>
          </w:tcPr>
          <w:p w14:paraId="138CAEE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71ED147">
            <w:pPr>
              <w:widowControl/>
              <w:jc w:val="center"/>
              <w:rPr>
                <w:rFonts w:hint="eastAsia" w:ascii="宋体" w:hAnsi="宋体" w:cs="宋体"/>
                <w:kern w:val="0"/>
                <w:sz w:val="18"/>
                <w:szCs w:val="18"/>
              </w:rPr>
            </w:pPr>
          </w:p>
        </w:tc>
      </w:tr>
      <w:tr w14:paraId="421646C6">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51445E">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vAlign w:val="center"/>
          </w:tcPr>
          <w:p w14:paraId="2BB8B081">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single" w:color="auto" w:sz="4" w:space="0"/>
              <w:left w:val="nil"/>
              <w:bottom w:val="single" w:color="auto" w:sz="4" w:space="0"/>
              <w:right w:val="single" w:color="auto" w:sz="4" w:space="0"/>
            </w:tcBorders>
            <w:shd w:val="clear" w:color="auto" w:fill="auto"/>
            <w:vAlign w:val="center"/>
          </w:tcPr>
          <w:p w14:paraId="6757FCFC">
            <w:pPr>
              <w:jc w:val="center"/>
            </w:pPr>
            <w:r>
              <w:rPr>
                <w:rFonts w:ascii="宋体" w:hAnsi="宋体"/>
                <w:sz w:val="18"/>
              </w:rPr>
              <w:t>221.40</w:t>
            </w:r>
          </w:p>
        </w:tc>
        <w:tc>
          <w:tcPr>
            <w:tcW w:w="1134" w:type="dxa"/>
            <w:tcBorders>
              <w:top w:val="single" w:color="auto" w:sz="4" w:space="0"/>
              <w:left w:val="nil"/>
              <w:bottom w:val="single" w:color="auto" w:sz="4" w:space="0"/>
              <w:right w:val="single" w:color="auto" w:sz="4" w:space="0"/>
            </w:tcBorders>
            <w:shd w:val="clear" w:color="auto" w:fill="auto"/>
            <w:vAlign w:val="center"/>
          </w:tcPr>
          <w:p w14:paraId="35912B43">
            <w:pPr>
              <w:jc w:val="center"/>
            </w:pPr>
            <w:r>
              <w:rPr>
                <w:rFonts w:ascii="宋体" w:hAnsi="宋体"/>
                <w:sz w:val="18"/>
              </w:rPr>
              <w:t>317.44</w:t>
            </w:r>
          </w:p>
        </w:tc>
        <w:tc>
          <w:tcPr>
            <w:tcW w:w="2126" w:type="dxa"/>
            <w:tcBorders>
              <w:top w:val="single" w:color="auto" w:sz="4" w:space="0"/>
              <w:left w:val="nil"/>
              <w:bottom w:val="single" w:color="auto" w:sz="4" w:space="0"/>
              <w:right w:val="single" w:color="auto" w:sz="4" w:space="0"/>
            </w:tcBorders>
            <w:shd w:val="clear" w:color="auto" w:fill="auto"/>
            <w:vAlign w:val="center"/>
          </w:tcPr>
          <w:p w14:paraId="1D356968">
            <w:pPr>
              <w:jc w:val="center"/>
            </w:pPr>
            <w:r>
              <w:rPr>
                <w:rFonts w:ascii="宋体" w:hAnsi="宋体"/>
                <w:sz w:val="18"/>
              </w:rPr>
              <w:t>271.04</w:t>
            </w:r>
          </w:p>
        </w:tc>
        <w:tc>
          <w:tcPr>
            <w:tcW w:w="1004" w:type="dxa"/>
            <w:tcBorders>
              <w:top w:val="single" w:color="auto" w:sz="4" w:space="0"/>
              <w:left w:val="nil"/>
              <w:bottom w:val="single" w:color="auto" w:sz="4" w:space="0"/>
              <w:right w:val="single" w:color="auto" w:sz="4" w:space="0"/>
            </w:tcBorders>
            <w:shd w:val="clear" w:color="auto" w:fill="auto"/>
            <w:vAlign w:val="center"/>
          </w:tcPr>
          <w:p w14:paraId="251979D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single" w:color="auto" w:sz="4" w:space="0"/>
              <w:left w:val="nil"/>
              <w:bottom w:val="single" w:color="auto" w:sz="4" w:space="0"/>
              <w:right w:val="single" w:color="auto" w:sz="4" w:space="0"/>
            </w:tcBorders>
            <w:shd w:val="clear" w:color="auto" w:fill="auto"/>
            <w:vAlign w:val="center"/>
          </w:tcPr>
          <w:p w14:paraId="5D65379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nil"/>
              <w:bottom w:val="single" w:color="auto" w:sz="4" w:space="0"/>
              <w:right w:val="single" w:color="auto" w:sz="4" w:space="0"/>
            </w:tcBorders>
            <w:shd w:val="clear" w:color="auto" w:fill="auto"/>
            <w:vAlign w:val="center"/>
          </w:tcPr>
          <w:p w14:paraId="0F12F5C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56A8251">
            <w:pPr>
              <w:widowControl/>
              <w:jc w:val="center"/>
              <w:rPr>
                <w:rFonts w:hint="eastAsia" w:ascii="宋体" w:hAnsi="宋体" w:cs="宋体"/>
                <w:kern w:val="0"/>
                <w:sz w:val="18"/>
                <w:szCs w:val="18"/>
              </w:rPr>
            </w:pPr>
          </w:p>
        </w:tc>
      </w:tr>
      <w:tr w14:paraId="2D1A7A00">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A6029A">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vAlign w:val="center"/>
          </w:tcPr>
          <w:p w14:paraId="5ABEC4A1">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single" w:color="auto" w:sz="4" w:space="0"/>
              <w:left w:val="nil"/>
              <w:bottom w:val="single" w:color="auto" w:sz="4" w:space="0"/>
              <w:right w:val="single" w:color="auto" w:sz="4" w:space="0"/>
            </w:tcBorders>
            <w:shd w:val="clear" w:color="auto" w:fill="auto"/>
            <w:vAlign w:val="center"/>
          </w:tcPr>
          <w:p w14:paraId="638A49E6">
            <w:pPr>
              <w:jc w:val="center"/>
            </w:pPr>
            <w:r>
              <w:rPr>
                <w:rFonts w:ascii="宋体" w:hAnsi="宋体"/>
                <w:sz w:val="18"/>
              </w:rPr>
              <w:t>0.00</w:t>
            </w:r>
          </w:p>
        </w:tc>
        <w:tc>
          <w:tcPr>
            <w:tcW w:w="1134" w:type="dxa"/>
            <w:tcBorders>
              <w:top w:val="single" w:color="auto" w:sz="4" w:space="0"/>
              <w:left w:val="nil"/>
              <w:bottom w:val="single" w:color="auto" w:sz="4" w:space="0"/>
              <w:right w:val="single" w:color="auto" w:sz="4" w:space="0"/>
            </w:tcBorders>
            <w:shd w:val="clear" w:color="auto" w:fill="auto"/>
            <w:vAlign w:val="center"/>
          </w:tcPr>
          <w:p w14:paraId="4B41EE98">
            <w:pPr>
              <w:jc w:val="center"/>
            </w:pPr>
            <w:r>
              <w:rPr>
                <w:rFonts w:ascii="宋体" w:hAnsi="宋体"/>
                <w:sz w:val="18"/>
              </w:rPr>
              <w:t>0.00</w:t>
            </w:r>
          </w:p>
        </w:tc>
        <w:tc>
          <w:tcPr>
            <w:tcW w:w="2126" w:type="dxa"/>
            <w:tcBorders>
              <w:top w:val="single" w:color="auto" w:sz="4" w:space="0"/>
              <w:left w:val="nil"/>
              <w:bottom w:val="single" w:color="auto" w:sz="4" w:space="0"/>
              <w:right w:val="single" w:color="auto" w:sz="4" w:space="0"/>
            </w:tcBorders>
            <w:shd w:val="clear" w:color="auto" w:fill="auto"/>
            <w:vAlign w:val="center"/>
          </w:tcPr>
          <w:p w14:paraId="3B6B2897">
            <w:pPr>
              <w:jc w:val="center"/>
            </w:pPr>
            <w:r>
              <w:rPr>
                <w:rFonts w:ascii="宋体" w:hAnsi="宋体"/>
                <w:sz w:val="18"/>
              </w:rPr>
              <w:t>0.00</w:t>
            </w:r>
          </w:p>
        </w:tc>
        <w:tc>
          <w:tcPr>
            <w:tcW w:w="1004" w:type="dxa"/>
            <w:tcBorders>
              <w:top w:val="single" w:color="auto" w:sz="4" w:space="0"/>
              <w:left w:val="nil"/>
              <w:bottom w:val="single" w:color="auto" w:sz="4" w:space="0"/>
              <w:right w:val="single" w:color="auto" w:sz="4" w:space="0"/>
            </w:tcBorders>
            <w:shd w:val="clear" w:color="auto" w:fill="auto"/>
            <w:vAlign w:val="center"/>
          </w:tcPr>
          <w:p w14:paraId="19010DD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single" w:color="auto" w:sz="4" w:space="0"/>
              <w:left w:val="nil"/>
              <w:bottom w:val="single" w:color="auto" w:sz="4" w:space="0"/>
              <w:right w:val="single" w:color="auto" w:sz="4" w:space="0"/>
            </w:tcBorders>
            <w:shd w:val="clear" w:color="auto" w:fill="auto"/>
            <w:vAlign w:val="center"/>
          </w:tcPr>
          <w:p w14:paraId="587D851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nil"/>
              <w:bottom w:val="single" w:color="auto" w:sz="4" w:space="0"/>
              <w:right w:val="single" w:color="auto" w:sz="4" w:space="0"/>
            </w:tcBorders>
            <w:shd w:val="clear" w:color="auto" w:fill="auto"/>
            <w:vAlign w:val="center"/>
          </w:tcPr>
          <w:p w14:paraId="6266B65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96E074B">
            <w:pPr>
              <w:widowControl/>
              <w:jc w:val="center"/>
              <w:rPr>
                <w:rFonts w:hint="eastAsia" w:ascii="宋体" w:hAnsi="宋体" w:cs="宋体"/>
                <w:kern w:val="0"/>
                <w:sz w:val="18"/>
                <w:szCs w:val="18"/>
              </w:rPr>
            </w:pPr>
          </w:p>
        </w:tc>
      </w:tr>
      <w:tr w14:paraId="7DD72C3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C71CDA">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50AAC2A4">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41F9F9B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DED25FD">
            <w:pPr>
              <w:widowControl/>
              <w:jc w:val="left"/>
              <w:rPr>
                <w:rFonts w:hint="eastAsia" w:ascii="宋体" w:hAnsi="宋体" w:cs="宋体"/>
                <w:b/>
                <w:bCs/>
                <w:kern w:val="0"/>
                <w:sz w:val="18"/>
                <w:szCs w:val="18"/>
              </w:rPr>
            </w:pPr>
          </w:p>
        </w:tc>
      </w:tr>
      <w:tr w14:paraId="454AFF7F">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C7CA2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5A39018">
            <w:pPr>
              <w:jc w:val="left"/>
            </w:pPr>
            <w:r>
              <w:rPr>
                <w:rFonts w:ascii="宋体" w:hAnsi="宋体"/>
                <w:sz w:val="18"/>
              </w:rPr>
              <w:t>一、推进安全生产常效常治。二、培育发展外经外贸企业。通过走访调研，了解当下企业的经营状况，存在的困难诉求，建立台账，并定期召开优化营商环境企业跨境贸易专项小组工作例会，利用《外资外贸工作》信息群，及时为企业解答业务方面的问题，形成信息共享、互通机制，加强外企间交流，形成产业配套，在职责范围内帮助企业解决困难。全面贯彻落实《外商投资准入特别管理措施（负面清单）》，完善营商环境，增强投资信心，吸引外商到我区投资发展，为我区“引进来”带来新的带来新的机遇和活力。三、继续推动重点项目建设。一是坚持项目引领，完善项目推进机制，全方位优化营商环境，形成投资带动，招商同步，全方位服务的良好局面，推动项目早开工、快开工、速达效。二是强化要素保障，完善项目审批流程，以政策、制度优先保障，强化建设、生活、生态一体统筹，加快构建多点支撑，多业并举，多元发展的经济格局。四、进一步加强直销点监督。继续加强对直销点的巡查力度，进一步规范直销点管理要求及服务标准，完善直销点的监督管理工作，积极做好节假日及疫情期间重要</w:t>
            </w:r>
            <w:bookmarkStart w:id="53" w:name="_GoBack"/>
            <w:bookmarkEnd w:id="53"/>
            <w:r>
              <w:rPr>
                <w:rFonts w:hint="eastAsia" w:ascii="宋体" w:hAnsi="宋体"/>
                <w:sz w:val="18"/>
                <w:lang w:eastAsia="zh-CN"/>
              </w:rPr>
              <w:t>生活必需品</w:t>
            </w:r>
            <w:r>
              <w:rPr>
                <w:rFonts w:ascii="宋体" w:hAnsi="宋体"/>
                <w:sz w:val="18"/>
              </w:rPr>
              <w:t>价格监测，协调运营企业做好蔬菜、牛羊肉等物资的储备工作，为群众守好“菜篮子”、“肉案子”，切实发挥直销点保供稳价惠民作用。五、持续推动夜间经济高品质发展。一是在大力挖掘新夜市点位的同时，贡米巷、米古里等夜市进行装修升级，不断完善新业态，招引新品牌入驻。二是加快推进米古里西域水游城二期建设，新增室内水上乐园、体育公园，星光停车场、观光玻璃栈道等游乐设施，满足群众日常娱乐需求。三是优化贡米巷特色街区夏季夜市经营模式、商户类别和经营环境等要素，科学布局，做到业态互补，防止同一街区形成竞争压力。四是各部门协调配合做好服务保障。城管、公安、消防等部门协调配合，完善夜间卫生、亮化、交通、安全等配套服务，施划临时停车位、灯光亮化、指导夜市完善安全硬件设施等，以良好的保障服务提供居民夜间消费的便利度、活跃度和安全性。六、优化消费结构，提升消费体验。组织开展汽车展销进小区、进商场、进房企、进公园、进农村、进景区等活动。</w:t>
            </w:r>
          </w:p>
        </w:tc>
        <w:tc>
          <w:tcPr>
            <w:tcW w:w="4689" w:type="dxa"/>
            <w:gridSpan w:val="4"/>
            <w:tcBorders>
              <w:top w:val="single" w:color="auto" w:sz="4" w:space="0"/>
              <w:left w:val="nil"/>
              <w:bottom w:val="single" w:color="auto" w:sz="4" w:space="0"/>
              <w:right w:val="single" w:color="auto" w:sz="4" w:space="0"/>
            </w:tcBorders>
            <w:shd w:val="clear" w:color="auto" w:fill="auto"/>
          </w:tcPr>
          <w:p w14:paraId="6EDB8C3B">
            <w:pPr>
              <w:jc w:val="left"/>
            </w:pPr>
            <w:r>
              <w:rPr>
                <w:rFonts w:ascii="宋体" w:hAnsi="宋体"/>
                <w:sz w:val="18"/>
              </w:rPr>
              <w:t>（一）经济指标1.社会消费品零售额。全年实现限上社会消费品零售额103.43亿元，同比增长22.5%。其中完成限上社会消费品零售总额82.64亿元，同比增长50.2%。2.外贸进出口总额。2023年外贸进出口总额达7.5亿元，同比增长108.9%。（二）提振消费出真招。一是以系列活动为保障，优化消费环境。把握节日消费热点，激活消费活动，充分利用春节、五一、十一等假期，精心指导爱家超市、米古里西域水游城、吾悦广场等企业，开展“冰风夏日”、“周末嗨购”、“开业盛典”等让利促销活动68场次，吸引消费者21万人次，实现营业额7900万元。进一步释放汽车消费潜力，鼓励汽车销售企业通过抖音、快手等短视频平台开展引流促销活动，2023年开展线上直播推广8000多场次，通过引流进行签约产生销售额近2亿元。开展汽车展销“六进”和“汽车下乡”等活动14场次，参展企业28家，参展车辆600台次。二是以商圈能级提升和发展夜间经济为途径，优化商业布局，丰富商业业态。推动米古里、米东吾悦广场商圈提升建设。米古里商圈引进必胜客、肯德基等国内外品牌连锁店，联动汽车展销活动，举办古风游园会、国潮市集等活动，激发夜间消费活力，年营业额预计将达2亿元。米东吾悦广场引进200余家国内外品牌，集购物、休闲、文化、娱乐、居住于一体，全方位满足消费者需求。其通过美食聚集地、潮流服饰、儿童零售、多元娱乐场景、运动建设等多种业态丰富夜间体验，已成为城北打卡新地标，截至目前营业额突破6000万元。三是以新领域消费为核心，激发消费潜力。加快培育电子商务作为产业转型升级的新增长点。邀请专业讲师开展电商培训2次，组织全区各乡镇、街道及相关部门、农业大学实习生等400余人报名参加培训，并组织前往电商直播基地开展研学活动。组织新疆哎呦喂食品有限公司和新疆中大佳瑞工贸有限公司积极参与东方甄选开展的“寻味新疆”专场助农直播带货活动，发挥直播电商在拓宽农产品上行渠道和打造消费新场景方面的优势作用。以新疆中大佳瑞工贸有限公司销售沙棘汁、蜂蜜等本地特色农产品为基础，以国家级电子商务示范企业新疆哎呦喂食品有限公司开发了红枣夹核桃仁、坚果脆、航食产品等混合型新产品为支撑，致力将新疆农副产品推向全国，2023年网上销售额达4200万元。新疆天极云仓供应链管理有限公司集仓储、打包、一件代发一体化，日均处理1.5万个包裹的优势，成为新疆电商供应链运行的有力支柱。（三）借力平台强展会。2023（中国）亚欧商品贸易博览会，米东区有26家企业参加，共展示了90多种名优产品。以双钱集团（新疆）昆仑轮胎有限公司、新疆胡杨线缆制造有限公司、新疆清泉绿洲科技有限公司、新疆金派利尔食品有限公司等为代表的参展企业共收到供需意向25个，其中收到国外企业采购意向2个，采购意向国家分别为巴基斯坦和刚果金，增强了我区企业向外发展的动力。米东区签约共4个项目，计划总投资108亿元，计划年度投资22亿元，4个项目分别为“博光乌鲁木齐“光伏自动化验证基地”项目、星龙·创新科技园项目、米东区东华南路综合开发项目、新疆兵团川渝商会总部基地项目。组织我区4家企业参加第十一届新疆国际食品餐饮博览会。新疆胡杨线缆有限公司和新疆金大禹环境科技有限公司参加2023年（第十二届）乌兹别克斯坦-中国新疆商品展览会，都收到国外企业洽谈合作意向信息。</w:t>
            </w:r>
          </w:p>
        </w:tc>
        <w:tc>
          <w:tcPr>
            <w:tcW w:w="284" w:type="dxa"/>
            <w:tcBorders>
              <w:top w:val="nil"/>
              <w:left w:val="nil"/>
              <w:bottom w:val="nil"/>
              <w:right w:val="nil"/>
            </w:tcBorders>
            <w:shd w:val="clear" w:color="auto" w:fill="auto"/>
            <w:noWrap/>
            <w:vAlign w:val="center"/>
          </w:tcPr>
          <w:p w14:paraId="779FB761">
            <w:pPr>
              <w:widowControl/>
              <w:jc w:val="left"/>
              <w:rPr>
                <w:rFonts w:hint="eastAsia" w:ascii="宋体" w:hAnsi="宋体" w:cs="宋体"/>
                <w:kern w:val="0"/>
                <w:sz w:val="18"/>
                <w:szCs w:val="18"/>
              </w:rPr>
            </w:pPr>
          </w:p>
        </w:tc>
      </w:tr>
      <w:tr w14:paraId="70563A4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9387D5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72D09A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5D9565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0DD12FC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2D23A52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4B83FFF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220094E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0B5D55C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6AFC646">
            <w:pPr>
              <w:widowControl/>
              <w:jc w:val="left"/>
              <w:rPr>
                <w:rFonts w:hint="eastAsia" w:ascii="宋体" w:hAnsi="宋体" w:cs="宋体"/>
                <w:b/>
                <w:bCs/>
                <w:kern w:val="0"/>
                <w:sz w:val="18"/>
                <w:szCs w:val="18"/>
              </w:rPr>
            </w:pPr>
          </w:p>
        </w:tc>
      </w:tr>
      <w:tr w14:paraId="3D96FFD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705ACC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FC11332">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D0A5003">
            <w:pPr>
              <w:jc w:val="center"/>
            </w:pPr>
            <w:r>
              <w:rPr>
                <w:rFonts w:ascii="宋体" w:hAnsi="宋体"/>
                <w:sz w:val="18"/>
              </w:rPr>
              <w:t>外资招商签约项目</w:t>
            </w:r>
          </w:p>
        </w:tc>
        <w:tc>
          <w:tcPr>
            <w:tcW w:w="1134" w:type="dxa"/>
            <w:tcBorders>
              <w:top w:val="nil"/>
              <w:left w:val="nil"/>
              <w:bottom w:val="single" w:color="auto" w:sz="4" w:space="0"/>
              <w:right w:val="single" w:color="auto" w:sz="4" w:space="0"/>
            </w:tcBorders>
            <w:shd w:val="clear" w:color="auto" w:fill="auto"/>
            <w:noWrap/>
            <w:vAlign w:val="center"/>
          </w:tcPr>
          <w:p w14:paraId="6FAC5DD3">
            <w:pPr>
              <w:jc w:val="center"/>
            </w:pPr>
            <w:r>
              <w:rPr>
                <w:rFonts w:ascii="宋体" w:hAnsi="宋体"/>
                <w:sz w:val="18"/>
              </w:rPr>
              <w:t>&gt;=1个</w:t>
            </w:r>
          </w:p>
        </w:tc>
        <w:tc>
          <w:tcPr>
            <w:tcW w:w="2126" w:type="dxa"/>
            <w:tcBorders>
              <w:top w:val="nil"/>
              <w:left w:val="nil"/>
              <w:bottom w:val="single" w:color="auto" w:sz="4" w:space="0"/>
              <w:right w:val="single" w:color="auto" w:sz="4" w:space="0"/>
            </w:tcBorders>
            <w:shd w:val="clear" w:color="auto" w:fill="auto"/>
            <w:noWrap/>
            <w:vAlign w:val="center"/>
          </w:tcPr>
          <w:p w14:paraId="42986695">
            <w:pPr>
              <w:jc w:val="center"/>
            </w:pPr>
            <w:r>
              <w:rPr>
                <w:rFonts w:ascii="宋体" w:hAnsi="宋体"/>
                <w:sz w:val="18"/>
              </w:rPr>
              <w:t>关于印发《2023年乌鲁木齐市外资招商工作指导目标》的通知</w:t>
            </w:r>
          </w:p>
        </w:tc>
        <w:tc>
          <w:tcPr>
            <w:tcW w:w="1004" w:type="dxa"/>
            <w:tcBorders>
              <w:top w:val="nil"/>
              <w:left w:val="nil"/>
              <w:bottom w:val="single" w:color="auto" w:sz="4" w:space="0"/>
              <w:right w:val="single" w:color="auto" w:sz="4" w:space="0"/>
            </w:tcBorders>
            <w:shd w:val="clear" w:color="auto" w:fill="auto"/>
            <w:noWrap/>
            <w:vAlign w:val="center"/>
          </w:tcPr>
          <w:p w14:paraId="6BA43094">
            <w:pPr>
              <w:jc w:val="center"/>
            </w:pPr>
            <w:r>
              <w:rPr>
                <w:rFonts w:ascii="宋体" w:hAnsi="宋体"/>
                <w:sz w:val="18"/>
              </w:rPr>
              <w:t>0</w:t>
            </w:r>
          </w:p>
        </w:tc>
        <w:tc>
          <w:tcPr>
            <w:tcW w:w="839" w:type="dxa"/>
            <w:tcBorders>
              <w:top w:val="nil"/>
              <w:left w:val="nil"/>
              <w:bottom w:val="single" w:color="auto" w:sz="4" w:space="0"/>
              <w:right w:val="single" w:color="auto" w:sz="4" w:space="0"/>
            </w:tcBorders>
            <w:shd w:val="clear" w:color="auto" w:fill="auto"/>
            <w:noWrap/>
            <w:vAlign w:val="center"/>
          </w:tcPr>
          <w:p w14:paraId="14E87E6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646DB5D">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575A485D">
            <w:pPr>
              <w:widowControl/>
              <w:jc w:val="center"/>
              <w:rPr>
                <w:rFonts w:hint="eastAsia" w:ascii="宋体" w:hAnsi="宋体" w:cs="宋体"/>
                <w:kern w:val="0"/>
                <w:sz w:val="18"/>
                <w:szCs w:val="18"/>
              </w:rPr>
            </w:pPr>
          </w:p>
        </w:tc>
      </w:tr>
      <w:tr w14:paraId="560354A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E2803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05DFAB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0687A41">
            <w:pPr>
              <w:jc w:val="center"/>
            </w:pPr>
            <w:r>
              <w:rPr>
                <w:rFonts w:ascii="宋体" w:hAnsi="宋体"/>
                <w:sz w:val="18"/>
              </w:rPr>
              <w:t>外资招商设立企业个数</w:t>
            </w:r>
          </w:p>
        </w:tc>
        <w:tc>
          <w:tcPr>
            <w:tcW w:w="1134" w:type="dxa"/>
            <w:tcBorders>
              <w:top w:val="nil"/>
              <w:left w:val="nil"/>
              <w:bottom w:val="single" w:color="auto" w:sz="4" w:space="0"/>
              <w:right w:val="single" w:color="auto" w:sz="4" w:space="0"/>
            </w:tcBorders>
            <w:shd w:val="clear" w:color="auto" w:fill="auto"/>
            <w:noWrap/>
            <w:vAlign w:val="center"/>
          </w:tcPr>
          <w:p w14:paraId="1326CA6F">
            <w:pPr>
              <w:jc w:val="center"/>
            </w:pPr>
            <w:r>
              <w:rPr>
                <w:rFonts w:ascii="宋体" w:hAnsi="宋体"/>
                <w:sz w:val="18"/>
              </w:rPr>
              <w:t>&gt;=1个</w:t>
            </w:r>
          </w:p>
        </w:tc>
        <w:tc>
          <w:tcPr>
            <w:tcW w:w="2126" w:type="dxa"/>
            <w:tcBorders>
              <w:top w:val="nil"/>
              <w:left w:val="nil"/>
              <w:bottom w:val="single" w:color="auto" w:sz="4" w:space="0"/>
              <w:right w:val="single" w:color="auto" w:sz="4" w:space="0"/>
            </w:tcBorders>
            <w:shd w:val="clear" w:color="auto" w:fill="auto"/>
            <w:noWrap/>
            <w:vAlign w:val="center"/>
          </w:tcPr>
          <w:p w14:paraId="5230CE5A">
            <w:pPr>
              <w:jc w:val="center"/>
            </w:pPr>
            <w:r>
              <w:rPr>
                <w:rFonts w:ascii="宋体" w:hAnsi="宋体"/>
                <w:sz w:val="18"/>
              </w:rPr>
              <w:t>关于印发《2023年乌鲁木齐市外资招商工作指导目标》的通知</w:t>
            </w:r>
          </w:p>
        </w:tc>
        <w:tc>
          <w:tcPr>
            <w:tcW w:w="1004" w:type="dxa"/>
            <w:tcBorders>
              <w:top w:val="nil"/>
              <w:left w:val="nil"/>
              <w:bottom w:val="single" w:color="auto" w:sz="4" w:space="0"/>
              <w:right w:val="single" w:color="auto" w:sz="4" w:space="0"/>
            </w:tcBorders>
            <w:shd w:val="clear" w:color="auto" w:fill="auto"/>
            <w:noWrap/>
            <w:vAlign w:val="center"/>
          </w:tcPr>
          <w:p w14:paraId="35693E38">
            <w:pPr>
              <w:jc w:val="center"/>
            </w:pPr>
            <w:r>
              <w:rPr>
                <w:rFonts w:ascii="宋体" w:hAnsi="宋体"/>
                <w:sz w:val="18"/>
              </w:rPr>
              <w:t>0</w:t>
            </w:r>
          </w:p>
        </w:tc>
        <w:tc>
          <w:tcPr>
            <w:tcW w:w="839" w:type="dxa"/>
            <w:tcBorders>
              <w:top w:val="nil"/>
              <w:left w:val="nil"/>
              <w:bottom w:val="single" w:color="auto" w:sz="4" w:space="0"/>
              <w:right w:val="single" w:color="auto" w:sz="4" w:space="0"/>
            </w:tcBorders>
            <w:shd w:val="clear" w:color="auto" w:fill="auto"/>
            <w:noWrap/>
            <w:vAlign w:val="center"/>
          </w:tcPr>
          <w:p w14:paraId="2184B6EC">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B6A47A2">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374B1221">
            <w:pPr>
              <w:widowControl/>
              <w:jc w:val="center"/>
              <w:rPr>
                <w:rFonts w:hint="eastAsia" w:ascii="宋体" w:hAnsi="宋体" w:cs="宋体"/>
                <w:kern w:val="0"/>
                <w:sz w:val="18"/>
                <w:szCs w:val="18"/>
              </w:rPr>
            </w:pPr>
          </w:p>
        </w:tc>
      </w:tr>
      <w:tr w14:paraId="5D242AB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D279C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D95D61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8428580">
            <w:pPr>
              <w:jc w:val="center"/>
            </w:pPr>
            <w:r>
              <w:rPr>
                <w:rFonts w:ascii="宋体" w:hAnsi="宋体"/>
                <w:sz w:val="18"/>
              </w:rPr>
              <w:t>外资招商签约金额数</w:t>
            </w:r>
          </w:p>
        </w:tc>
        <w:tc>
          <w:tcPr>
            <w:tcW w:w="1134" w:type="dxa"/>
            <w:tcBorders>
              <w:top w:val="nil"/>
              <w:left w:val="nil"/>
              <w:bottom w:val="single" w:color="auto" w:sz="4" w:space="0"/>
              <w:right w:val="single" w:color="auto" w:sz="4" w:space="0"/>
            </w:tcBorders>
            <w:shd w:val="clear" w:color="auto" w:fill="auto"/>
            <w:noWrap/>
            <w:vAlign w:val="center"/>
          </w:tcPr>
          <w:p w14:paraId="4B0836DF">
            <w:pPr>
              <w:jc w:val="center"/>
            </w:pPr>
            <w:r>
              <w:rPr>
                <w:rFonts w:ascii="宋体" w:hAnsi="宋体"/>
                <w:sz w:val="18"/>
              </w:rPr>
              <w:t>&gt;=200万美元</w:t>
            </w:r>
          </w:p>
        </w:tc>
        <w:tc>
          <w:tcPr>
            <w:tcW w:w="2126" w:type="dxa"/>
            <w:tcBorders>
              <w:top w:val="nil"/>
              <w:left w:val="nil"/>
              <w:bottom w:val="single" w:color="auto" w:sz="4" w:space="0"/>
              <w:right w:val="single" w:color="auto" w:sz="4" w:space="0"/>
            </w:tcBorders>
            <w:shd w:val="clear" w:color="auto" w:fill="auto"/>
            <w:noWrap/>
            <w:vAlign w:val="center"/>
          </w:tcPr>
          <w:p w14:paraId="152DEBC5">
            <w:pPr>
              <w:jc w:val="center"/>
            </w:pPr>
            <w:r>
              <w:rPr>
                <w:rFonts w:ascii="宋体" w:hAnsi="宋体"/>
                <w:sz w:val="18"/>
              </w:rPr>
              <w:t>关于印发《2023年乌鲁木齐市外资招商工作指导目标》的通知</w:t>
            </w:r>
          </w:p>
        </w:tc>
        <w:tc>
          <w:tcPr>
            <w:tcW w:w="1004" w:type="dxa"/>
            <w:tcBorders>
              <w:top w:val="nil"/>
              <w:left w:val="nil"/>
              <w:bottom w:val="single" w:color="auto" w:sz="4" w:space="0"/>
              <w:right w:val="single" w:color="auto" w:sz="4" w:space="0"/>
            </w:tcBorders>
            <w:shd w:val="clear" w:color="auto" w:fill="auto"/>
            <w:noWrap/>
            <w:vAlign w:val="center"/>
          </w:tcPr>
          <w:p w14:paraId="1DBAA77B">
            <w:pPr>
              <w:jc w:val="center"/>
            </w:pPr>
            <w:r>
              <w:rPr>
                <w:rFonts w:ascii="宋体" w:hAnsi="宋体"/>
                <w:sz w:val="18"/>
              </w:rPr>
              <w:t>0</w:t>
            </w:r>
          </w:p>
        </w:tc>
        <w:tc>
          <w:tcPr>
            <w:tcW w:w="839" w:type="dxa"/>
            <w:tcBorders>
              <w:top w:val="nil"/>
              <w:left w:val="nil"/>
              <w:bottom w:val="single" w:color="auto" w:sz="4" w:space="0"/>
              <w:right w:val="single" w:color="auto" w:sz="4" w:space="0"/>
            </w:tcBorders>
            <w:shd w:val="clear" w:color="auto" w:fill="auto"/>
            <w:noWrap/>
            <w:vAlign w:val="center"/>
          </w:tcPr>
          <w:p w14:paraId="1CB7D507">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37441FC">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2E145596">
            <w:pPr>
              <w:widowControl/>
              <w:jc w:val="center"/>
              <w:rPr>
                <w:rFonts w:hint="eastAsia" w:ascii="宋体" w:hAnsi="宋体" w:cs="宋体"/>
                <w:kern w:val="0"/>
                <w:sz w:val="18"/>
                <w:szCs w:val="18"/>
              </w:rPr>
            </w:pPr>
          </w:p>
        </w:tc>
      </w:tr>
      <w:tr w14:paraId="5B1E63B9">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4F86A1EA">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7AFE712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E473179">
            <w:pPr>
              <w:jc w:val="center"/>
            </w:pPr>
            <w:r>
              <w:rPr>
                <w:rFonts w:ascii="宋体" w:hAnsi="宋体"/>
                <w:sz w:val="18"/>
              </w:rPr>
              <w:t>8.54分</w:t>
            </w:r>
          </w:p>
        </w:tc>
        <w:tc>
          <w:tcPr>
            <w:tcW w:w="284" w:type="dxa"/>
            <w:tcBorders>
              <w:top w:val="nil"/>
              <w:left w:val="nil"/>
              <w:bottom w:val="nil"/>
              <w:right w:val="nil"/>
            </w:tcBorders>
            <w:shd w:val="clear" w:color="auto" w:fill="auto"/>
            <w:noWrap/>
            <w:vAlign w:val="center"/>
          </w:tcPr>
          <w:p w14:paraId="5C4195D8">
            <w:pPr>
              <w:widowControl/>
              <w:jc w:val="left"/>
              <w:rPr>
                <w:rFonts w:hint="eastAsia" w:ascii="宋体" w:hAnsi="宋体" w:cs="宋体"/>
                <w:kern w:val="0"/>
                <w:sz w:val="18"/>
                <w:szCs w:val="18"/>
              </w:rPr>
            </w:pPr>
          </w:p>
        </w:tc>
      </w:tr>
    </w:tbl>
    <w:p w14:paraId="37E48B6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5C47DB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634"/>
        <w:gridCol w:w="1417"/>
      </w:tblGrid>
      <w:tr w14:paraId="1442F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shd w:val="clear" w:color="auto" w:fill="auto"/>
            <w:vAlign w:val="center"/>
          </w:tcPr>
          <w:p w14:paraId="6E173E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14:paraId="0CBEF17D">
            <w:pPr>
              <w:jc w:val="center"/>
            </w:pPr>
            <w:r>
              <w:rPr>
                <w:rFonts w:ascii="宋体" w:hAnsi="宋体"/>
                <w:sz w:val="18"/>
              </w:rPr>
              <w:t>重大商贸会务会展经费及招商服务经费</w:t>
            </w:r>
          </w:p>
        </w:tc>
      </w:tr>
      <w:tr w14:paraId="6471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shd w:val="clear" w:color="auto" w:fill="auto"/>
            <w:vAlign w:val="center"/>
          </w:tcPr>
          <w:p w14:paraId="68AF06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14:paraId="1D8C99FB">
            <w:pPr>
              <w:jc w:val="center"/>
            </w:pPr>
            <w:r>
              <w:rPr>
                <w:rFonts w:ascii="宋体" w:hAnsi="宋体"/>
                <w:sz w:val="18"/>
              </w:rPr>
              <w:t>米东区商务局</w:t>
            </w:r>
          </w:p>
        </w:tc>
        <w:tc>
          <w:tcPr>
            <w:tcW w:w="1177" w:type="dxa"/>
            <w:shd w:val="clear" w:color="auto" w:fill="auto"/>
            <w:vAlign w:val="center"/>
          </w:tcPr>
          <w:p w14:paraId="35FBFD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14:paraId="1F358D13">
            <w:pPr>
              <w:jc w:val="center"/>
            </w:pPr>
            <w:r>
              <w:rPr>
                <w:rFonts w:ascii="宋体" w:hAnsi="宋体"/>
                <w:sz w:val="18"/>
              </w:rPr>
              <w:t>米东区商务局</w:t>
            </w:r>
          </w:p>
        </w:tc>
      </w:tr>
      <w:tr w14:paraId="39C9E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restart"/>
            <w:shd w:val="clear" w:color="auto" w:fill="auto"/>
            <w:vAlign w:val="center"/>
          </w:tcPr>
          <w:p w14:paraId="7B4F10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14:paraId="232C7CA5">
            <w:pPr>
              <w:widowControl/>
              <w:jc w:val="center"/>
              <w:rPr>
                <w:rFonts w:hint="eastAsia" w:ascii="宋体" w:hAnsi="宋体" w:cs="宋体"/>
                <w:color w:val="000000"/>
                <w:kern w:val="0"/>
                <w:sz w:val="18"/>
                <w:szCs w:val="18"/>
              </w:rPr>
            </w:pPr>
          </w:p>
        </w:tc>
        <w:tc>
          <w:tcPr>
            <w:tcW w:w="1239" w:type="dxa"/>
            <w:shd w:val="clear" w:color="auto" w:fill="auto"/>
            <w:vAlign w:val="center"/>
          </w:tcPr>
          <w:p w14:paraId="7CB687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14:paraId="0184B6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14:paraId="5B624C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14:paraId="650C19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14:paraId="1C35E2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14:paraId="5A318B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38C5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continue"/>
            <w:vAlign w:val="center"/>
          </w:tcPr>
          <w:p w14:paraId="120A4E42">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3068F9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14:paraId="463ED7BB">
            <w:pPr>
              <w:jc w:val="center"/>
            </w:pPr>
            <w:r>
              <w:rPr>
                <w:rFonts w:ascii="宋体" w:hAnsi="宋体"/>
                <w:sz w:val="18"/>
              </w:rPr>
              <w:t>10.00</w:t>
            </w:r>
          </w:p>
        </w:tc>
        <w:tc>
          <w:tcPr>
            <w:tcW w:w="1177" w:type="dxa"/>
            <w:shd w:val="clear" w:color="auto" w:fill="auto"/>
            <w:noWrap/>
            <w:vAlign w:val="center"/>
          </w:tcPr>
          <w:p w14:paraId="73E70D21">
            <w:pPr>
              <w:jc w:val="center"/>
            </w:pPr>
            <w:bookmarkStart w:id="33" w:name="_Hlk180061112"/>
            <w:r>
              <w:rPr>
                <w:rFonts w:ascii="宋体" w:hAnsi="宋体"/>
                <w:sz w:val="18"/>
              </w:rPr>
              <w:t>10.00</w:t>
            </w:r>
            <w:bookmarkEnd w:id="33"/>
          </w:p>
        </w:tc>
        <w:tc>
          <w:tcPr>
            <w:tcW w:w="1535" w:type="dxa"/>
            <w:gridSpan w:val="2"/>
            <w:shd w:val="clear" w:color="auto" w:fill="auto"/>
            <w:noWrap/>
            <w:vAlign w:val="center"/>
          </w:tcPr>
          <w:p w14:paraId="01EF8FEC">
            <w:pPr>
              <w:jc w:val="center"/>
            </w:pPr>
            <w:bookmarkStart w:id="34" w:name="_Hlk180061107"/>
            <w:r>
              <w:rPr>
                <w:rFonts w:ascii="宋体" w:hAnsi="宋体"/>
                <w:sz w:val="18"/>
              </w:rPr>
              <w:t>1.26</w:t>
            </w:r>
            <w:bookmarkEnd w:id="34"/>
          </w:p>
        </w:tc>
        <w:tc>
          <w:tcPr>
            <w:tcW w:w="689" w:type="dxa"/>
            <w:gridSpan w:val="2"/>
            <w:shd w:val="clear" w:color="auto" w:fill="auto"/>
            <w:vAlign w:val="center"/>
          </w:tcPr>
          <w:p w14:paraId="5E70F79F">
            <w:pPr>
              <w:jc w:val="center"/>
            </w:pPr>
            <w:r>
              <w:rPr>
                <w:rFonts w:ascii="宋体" w:hAnsi="宋体"/>
                <w:sz w:val="18"/>
              </w:rPr>
              <w:t>10</w:t>
            </w:r>
          </w:p>
        </w:tc>
        <w:tc>
          <w:tcPr>
            <w:tcW w:w="984" w:type="dxa"/>
            <w:gridSpan w:val="2"/>
            <w:shd w:val="clear" w:color="auto" w:fill="auto"/>
            <w:vAlign w:val="center"/>
          </w:tcPr>
          <w:p w14:paraId="2ED87305">
            <w:pPr>
              <w:jc w:val="center"/>
            </w:pPr>
            <w:r>
              <w:rPr>
                <w:rFonts w:ascii="宋体" w:hAnsi="宋体"/>
                <w:sz w:val="18"/>
              </w:rPr>
              <w:t>12.60%</w:t>
            </w:r>
          </w:p>
        </w:tc>
        <w:tc>
          <w:tcPr>
            <w:tcW w:w="1417" w:type="dxa"/>
            <w:shd w:val="clear" w:color="auto" w:fill="auto"/>
            <w:vAlign w:val="center"/>
          </w:tcPr>
          <w:p w14:paraId="40C152A5">
            <w:pPr>
              <w:jc w:val="center"/>
            </w:pPr>
            <w:r>
              <w:rPr>
                <w:rFonts w:ascii="宋体" w:hAnsi="宋体"/>
                <w:sz w:val="18"/>
              </w:rPr>
              <w:t>1.26分</w:t>
            </w:r>
          </w:p>
        </w:tc>
      </w:tr>
      <w:tr w14:paraId="53F16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continue"/>
            <w:vAlign w:val="center"/>
          </w:tcPr>
          <w:p w14:paraId="49EE1F3A">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4F30C8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14:paraId="1D9A7DDB">
            <w:pPr>
              <w:jc w:val="center"/>
            </w:pPr>
            <w:r>
              <w:rPr>
                <w:rFonts w:ascii="宋体" w:hAnsi="宋体"/>
                <w:sz w:val="18"/>
              </w:rPr>
              <w:t>10.00</w:t>
            </w:r>
          </w:p>
        </w:tc>
        <w:tc>
          <w:tcPr>
            <w:tcW w:w="1177" w:type="dxa"/>
            <w:shd w:val="clear" w:color="auto" w:fill="auto"/>
            <w:noWrap/>
            <w:vAlign w:val="center"/>
          </w:tcPr>
          <w:p w14:paraId="4ADAF108">
            <w:pPr>
              <w:jc w:val="center"/>
            </w:pPr>
            <w:r>
              <w:rPr>
                <w:rFonts w:ascii="宋体" w:hAnsi="宋体"/>
                <w:sz w:val="18"/>
              </w:rPr>
              <w:t>10.00</w:t>
            </w:r>
          </w:p>
        </w:tc>
        <w:tc>
          <w:tcPr>
            <w:tcW w:w="1535" w:type="dxa"/>
            <w:gridSpan w:val="2"/>
            <w:shd w:val="clear" w:color="auto" w:fill="auto"/>
            <w:noWrap/>
            <w:vAlign w:val="center"/>
          </w:tcPr>
          <w:p w14:paraId="4C5D9BC5">
            <w:pPr>
              <w:jc w:val="center"/>
            </w:pPr>
            <w:r>
              <w:rPr>
                <w:rFonts w:ascii="宋体" w:hAnsi="宋体"/>
                <w:sz w:val="18"/>
              </w:rPr>
              <w:t>1.26</w:t>
            </w:r>
          </w:p>
        </w:tc>
        <w:tc>
          <w:tcPr>
            <w:tcW w:w="689" w:type="dxa"/>
            <w:gridSpan w:val="2"/>
            <w:shd w:val="clear" w:color="auto" w:fill="auto"/>
            <w:vAlign w:val="center"/>
          </w:tcPr>
          <w:p w14:paraId="3E2DA2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77C271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7997E9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FD1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continue"/>
            <w:vAlign w:val="center"/>
          </w:tcPr>
          <w:p w14:paraId="6E897D3F">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2B96C9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14:paraId="52C9B23D">
            <w:pPr>
              <w:jc w:val="center"/>
            </w:pPr>
            <w:r>
              <w:rPr>
                <w:rFonts w:ascii="宋体" w:hAnsi="宋体"/>
                <w:sz w:val="18"/>
              </w:rPr>
              <w:t>0.00</w:t>
            </w:r>
          </w:p>
        </w:tc>
        <w:tc>
          <w:tcPr>
            <w:tcW w:w="1177" w:type="dxa"/>
            <w:shd w:val="clear" w:color="auto" w:fill="auto"/>
            <w:noWrap/>
            <w:vAlign w:val="center"/>
          </w:tcPr>
          <w:p w14:paraId="1EC7C167">
            <w:pPr>
              <w:jc w:val="center"/>
            </w:pPr>
            <w:r>
              <w:rPr>
                <w:rFonts w:ascii="宋体" w:hAnsi="宋体"/>
                <w:sz w:val="18"/>
              </w:rPr>
              <w:t>0.00</w:t>
            </w:r>
          </w:p>
        </w:tc>
        <w:tc>
          <w:tcPr>
            <w:tcW w:w="1535" w:type="dxa"/>
            <w:gridSpan w:val="2"/>
            <w:shd w:val="clear" w:color="auto" w:fill="auto"/>
            <w:noWrap/>
            <w:vAlign w:val="center"/>
          </w:tcPr>
          <w:p w14:paraId="70534DD4">
            <w:pPr>
              <w:jc w:val="center"/>
            </w:pPr>
            <w:r>
              <w:rPr>
                <w:rFonts w:ascii="宋体" w:hAnsi="宋体"/>
                <w:sz w:val="18"/>
              </w:rPr>
              <w:t>0.00</w:t>
            </w:r>
          </w:p>
        </w:tc>
        <w:tc>
          <w:tcPr>
            <w:tcW w:w="689" w:type="dxa"/>
            <w:gridSpan w:val="2"/>
            <w:shd w:val="clear" w:color="auto" w:fill="auto"/>
            <w:vAlign w:val="center"/>
          </w:tcPr>
          <w:p w14:paraId="46DDAD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4161B8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5CE9A8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6B2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98" w:type="dxa"/>
            <w:vMerge w:val="restart"/>
            <w:shd w:val="clear" w:color="auto" w:fill="auto"/>
            <w:vAlign w:val="center"/>
          </w:tcPr>
          <w:p w14:paraId="2A4CE4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14:paraId="62EAF2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14:paraId="6A5FB9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826A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598" w:type="dxa"/>
            <w:vMerge w:val="continue"/>
            <w:vAlign w:val="center"/>
          </w:tcPr>
          <w:p w14:paraId="29FE0FEC">
            <w:pPr>
              <w:widowControl/>
              <w:jc w:val="left"/>
              <w:rPr>
                <w:rFonts w:hint="eastAsia" w:ascii="宋体" w:hAnsi="宋体" w:cs="宋体"/>
                <w:color w:val="000000"/>
                <w:kern w:val="0"/>
                <w:sz w:val="18"/>
                <w:szCs w:val="18"/>
              </w:rPr>
            </w:pPr>
          </w:p>
        </w:tc>
        <w:tc>
          <w:tcPr>
            <w:tcW w:w="4459" w:type="dxa"/>
            <w:gridSpan w:val="5"/>
            <w:shd w:val="clear" w:color="auto" w:fill="auto"/>
          </w:tcPr>
          <w:p w14:paraId="12B589E8">
            <w:pPr>
              <w:jc w:val="left"/>
            </w:pPr>
            <w:r>
              <w:rPr>
                <w:rFonts w:ascii="宋体" w:hAnsi="宋体"/>
                <w:sz w:val="18"/>
              </w:rPr>
              <w:t>圆满完成2023年各项会务会展工作。2023年米东区商务局在区委区政府的领导下，在上级相关行业部门的指导下，根据本单位职责，后期需要参加自治区商务厅等上级单位统一安排的津洽会、中国厨师节、厦投会、丝绸之路国际食品展交会暨清真美食节及中外贸易治谈会等会展。</w:t>
            </w:r>
          </w:p>
        </w:tc>
        <w:tc>
          <w:tcPr>
            <w:tcW w:w="4625" w:type="dxa"/>
            <w:gridSpan w:val="7"/>
            <w:shd w:val="clear" w:color="auto" w:fill="auto"/>
          </w:tcPr>
          <w:p w14:paraId="59785376">
            <w:pPr>
              <w:jc w:val="left"/>
            </w:pPr>
            <w:r>
              <w:rPr>
                <w:rFonts w:ascii="宋体" w:hAnsi="宋体"/>
                <w:sz w:val="18"/>
              </w:rPr>
              <w:t>2023年米东区商务局在区委区政府的领导下，在上级相关行业部门的指导下，根据本单位职责，单位主要领导和区委区政府领导去内地参加调研，参加自治区商务厅上级单位统一安排的中国亚欧商品博览会会展</w:t>
            </w:r>
          </w:p>
        </w:tc>
      </w:tr>
      <w:tr w14:paraId="16C48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98" w:type="dxa"/>
            <w:vMerge w:val="restart"/>
            <w:shd w:val="clear" w:color="auto" w:fill="auto"/>
            <w:vAlign w:val="center"/>
          </w:tcPr>
          <w:p w14:paraId="7E2CD010">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14:paraId="1836E8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shd w:val="clear" w:color="auto" w:fill="auto"/>
            <w:vAlign w:val="center"/>
          </w:tcPr>
          <w:p w14:paraId="0D8EDF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shd w:val="clear" w:color="auto" w:fill="auto"/>
            <w:vAlign w:val="center"/>
          </w:tcPr>
          <w:p w14:paraId="3D32BD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14:paraId="5E8E6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14:paraId="196703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14:paraId="1FF37E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14:paraId="5B4A76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14:paraId="52AB75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69E9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98" w:type="dxa"/>
            <w:vMerge w:val="continue"/>
            <w:vAlign w:val="center"/>
          </w:tcPr>
          <w:p w14:paraId="0D7326C2">
            <w:pPr>
              <w:widowControl/>
              <w:jc w:val="left"/>
              <w:rPr>
                <w:rFonts w:hint="eastAsia" w:ascii="宋体" w:hAnsi="宋体" w:cs="宋体"/>
                <w:color w:val="000000"/>
                <w:kern w:val="0"/>
                <w:sz w:val="18"/>
                <w:szCs w:val="18"/>
              </w:rPr>
            </w:pPr>
          </w:p>
        </w:tc>
        <w:tc>
          <w:tcPr>
            <w:tcW w:w="707" w:type="dxa"/>
            <w:vMerge w:val="continue"/>
            <w:vAlign w:val="center"/>
          </w:tcPr>
          <w:p w14:paraId="15A299E0">
            <w:pPr>
              <w:widowControl/>
              <w:jc w:val="left"/>
              <w:rPr>
                <w:rFonts w:hint="eastAsia" w:ascii="宋体" w:hAnsi="宋体" w:cs="宋体"/>
                <w:color w:val="000000"/>
                <w:kern w:val="0"/>
                <w:sz w:val="18"/>
                <w:szCs w:val="18"/>
              </w:rPr>
            </w:pPr>
          </w:p>
        </w:tc>
        <w:tc>
          <w:tcPr>
            <w:tcW w:w="718" w:type="dxa"/>
            <w:vMerge w:val="continue"/>
            <w:vAlign w:val="center"/>
          </w:tcPr>
          <w:p w14:paraId="19F5DF19">
            <w:pPr>
              <w:widowControl/>
              <w:jc w:val="left"/>
              <w:rPr>
                <w:rFonts w:hint="eastAsia" w:ascii="宋体" w:hAnsi="宋体" w:cs="宋体"/>
                <w:color w:val="000000"/>
                <w:kern w:val="0"/>
                <w:sz w:val="18"/>
                <w:szCs w:val="18"/>
              </w:rPr>
            </w:pPr>
          </w:p>
        </w:tc>
        <w:tc>
          <w:tcPr>
            <w:tcW w:w="1857" w:type="dxa"/>
            <w:gridSpan w:val="2"/>
            <w:vMerge w:val="continue"/>
            <w:vAlign w:val="center"/>
          </w:tcPr>
          <w:p w14:paraId="087C88D1">
            <w:pPr>
              <w:widowControl/>
              <w:jc w:val="left"/>
              <w:rPr>
                <w:rFonts w:hint="eastAsia" w:ascii="宋体" w:hAnsi="宋体" w:cs="宋体"/>
                <w:color w:val="000000"/>
                <w:kern w:val="0"/>
                <w:sz w:val="18"/>
                <w:szCs w:val="18"/>
              </w:rPr>
            </w:pPr>
          </w:p>
        </w:tc>
        <w:tc>
          <w:tcPr>
            <w:tcW w:w="1177" w:type="dxa"/>
            <w:vMerge w:val="continue"/>
            <w:vAlign w:val="center"/>
          </w:tcPr>
          <w:p w14:paraId="2C997F63">
            <w:pPr>
              <w:widowControl/>
              <w:jc w:val="left"/>
              <w:rPr>
                <w:rFonts w:hint="eastAsia" w:ascii="宋体" w:hAnsi="宋体" w:cs="宋体"/>
                <w:color w:val="000000"/>
                <w:kern w:val="0"/>
                <w:sz w:val="18"/>
                <w:szCs w:val="18"/>
              </w:rPr>
            </w:pPr>
          </w:p>
        </w:tc>
        <w:tc>
          <w:tcPr>
            <w:tcW w:w="1177" w:type="dxa"/>
            <w:vMerge w:val="continue"/>
            <w:vAlign w:val="center"/>
          </w:tcPr>
          <w:p w14:paraId="17B8BB0E">
            <w:pPr>
              <w:widowControl/>
              <w:jc w:val="left"/>
              <w:rPr>
                <w:rFonts w:hint="eastAsia" w:ascii="宋体" w:hAnsi="宋体" w:cs="宋体"/>
                <w:color w:val="000000"/>
                <w:kern w:val="0"/>
                <w:sz w:val="18"/>
                <w:szCs w:val="18"/>
              </w:rPr>
            </w:pPr>
          </w:p>
        </w:tc>
        <w:tc>
          <w:tcPr>
            <w:tcW w:w="707" w:type="dxa"/>
            <w:gridSpan w:val="2"/>
            <w:vMerge w:val="continue"/>
            <w:vAlign w:val="center"/>
          </w:tcPr>
          <w:p w14:paraId="24ECC382">
            <w:pPr>
              <w:widowControl/>
              <w:jc w:val="left"/>
              <w:rPr>
                <w:rFonts w:hint="eastAsia" w:ascii="宋体" w:hAnsi="宋体" w:cs="宋体"/>
                <w:color w:val="000000"/>
                <w:kern w:val="0"/>
                <w:sz w:val="18"/>
                <w:szCs w:val="18"/>
              </w:rPr>
            </w:pPr>
          </w:p>
        </w:tc>
        <w:tc>
          <w:tcPr>
            <w:tcW w:w="690" w:type="dxa"/>
            <w:gridSpan w:val="2"/>
            <w:vMerge w:val="continue"/>
            <w:vAlign w:val="center"/>
          </w:tcPr>
          <w:p w14:paraId="2A150747">
            <w:pPr>
              <w:widowControl/>
              <w:jc w:val="left"/>
              <w:rPr>
                <w:rFonts w:hint="eastAsia" w:ascii="宋体" w:hAnsi="宋体" w:cs="宋体"/>
                <w:color w:val="000000"/>
                <w:kern w:val="0"/>
                <w:sz w:val="18"/>
                <w:szCs w:val="18"/>
              </w:rPr>
            </w:pPr>
          </w:p>
        </w:tc>
        <w:tc>
          <w:tcPr>
            <w:tcW w:w="2051" w:type="dxa"/>
            <w:gridSpan w:val="2"/>
            <w:vMerge w:val="continue"/>
            <w:vAlign w:val="center"/>
          </w:tcPr>
          <w:p w14:paraId="03C4F95A">
            <w:pPr>
              <w:widowControl/>
              <w:jc w:val="left"/>
              <w:rPr>
                <w:rFonts w:hint="eastAsia" w:ascii="宋体" w:hAnsi="宋体" w:cs="宋体"/>
                <w:color w:val="000000"/>
                <w:kern w:val="0"/>
                <w:sz w:val="18"/>
                <w:szCs w:val="18"/>
              </w:rPr>
            </w:pPr>
          </w:p>
        </w:tc>
      </w:tr>
      <w:tr w14:paraId="6137E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restart"/>
            <w:shd w:val="clear" w:color="auto" w:fill="auto"/>
            <w:vAlign w:val="center"/>
          </w:tcPr>
          <w:p w14:paraId="7DA98C5F">
            <w:pPr>
              <w:jc w:val="center"/>
            </w:pPr>
            <w:r>
              <w:rPr>
                <w:rFonts w:ascii="宋体" w:hAnsi="宋体"/>
                <w:sz w:val="18"/>
              </w:rPr>
              <w:t>年度绩效指标完成情况</w:t>
            </w:r>
          </w:p>
        </w:tc>
        <w:tc>
          <w:tcPr>
            <w:tcW w:w="707" w:type="dxa"/>
            <w:vMerge w:val="restart"/>
            <w:shd w:val="clear" w:color="auto" w:fill="auto"/>
            <w:vAlign w:val="center"/>
          </w:tcPr>
          <w:p w14:paraId="6C7B0D66">
            <w:pPr>
              <w:jc w:val="center"/>
            </w:pPr>
            <w:r>
              <w:rPr>
                <w:rFonts w:ascii="宋体" w:hAnsi="宋体"/>
                <w:sz w:val="18"/>
              </w:rPr>
              <w:t>产出指标</w:t>
            </w:r>
          </w:p>
        </w:tc>
        <w:tc>
          <w:tcPr>
            <w:tcW w:w="718" w:type="dxa"/>
            <w:vMerge w:val="restart"/>
            <w:shd w:val="clear" w:color="auto" w:fill="auto"/>
            <w:vAlign w:val="center"/>
          </w:tcPr>
          <w:p w14:paraId="47BDE9AE">
            <w:pPr>
              <w:jc w:val="center"/>
            </w:pPr>
            <w:r>
              <w:rPr>
                <w:rFonts w:ascii="宋体" w:hAnsi="宋体"/>
                <w:sz w:val="18"/>
              </w:rPr>
              <w:t>数量指标</w:t>
            </w:r>
          </w:p>
        </w:tc>
        <w:tc>
          <w:tcPr>
            <w:tcW w:w="1857" w:type="dxa"/>
            <w:gridSpan w:val="2"/>
            <w:shd w:val="clear" w:color="auto" w:fill="auto"/>
            <w:noWrap/>
            <w:vAlign w:val="center"/>
          </w:tcPr>
          <w:p w14:paraId="5BBA9A24">
            <w:pPr>
              <w:jc w:val="center"/>
            </w:pPr>
            <w:r>
              <w:rPr>
                <w:rFonts w:ascii="宋体" w:hAnsi="宋体"/>
                <w:sz w:val="18"/>
              </w:rPr>
              <w:t>参加展会或出差人数</w:t>
            </w:r>
          </w:p>
        </w:tc>
        <w:tc>
          <w:tcPr>
            <w:tcW w:w="1177" w:type="dxa"/>
            <w:shd w:val="clear" w:color="auto" w:fill="auto"/>
            <w:vAlign w:val="center"/>
          </w:tcPr>
          <w:p w14:paraId="20B8406E">
            <w:pPr>
              <w:jc w:val="center"/>
            </w:pPr>
            <w:r>
              <w:rPr>
                <w:rFonts w:ascii="宋体" w:hAnsi="宋体"/>
                <w:sz w:val="18"/>
              </w:rPr>
              <w:t>&gt;=1人</w:t>
            </w:r>
          </w:p>
        </w:tc>
        <w:tc>
          <w:tcPr>
            <w:tcW w:w="1177" w:type="dxa"/>
            <w:shd w:val="clear" w:color="auto" w:fill="auto"/>
            <w:vAlign w:val="center"/>
          </w:tcPr>
          <w:p w14:paraId="578C7E45">
            <w:pPr>
              <w:jc w:val="center"/>
            </w:pPr>
            <w:r>
              <w:rPr>
                <w:rFonts w:ascii="宋体" w:hAnsi="宋体"/>
                <w:sz w:val="18"/>
              </w:rPr>
              <w:t>1人</w:t>
            </w:r>
          </w:p>
        </w:tc>
        <w:tc>
          <w:tcPr>
            <w:tcW w:w="707" w:type="dxa"/>
            <w:gridSpan w:val="2"/>
            <w:shd w:val="clear" w:color="auto" w:fill="auto"/>
            <w:vAlign w:val="center"/>
          </w:tcPr>
          <w:p w14:paraId="43D513C1">
            <w:pPr>
              <w:jc w:val="center"/>
            </w:pPr>
            <w:r>
              <w:rPr>
                <w:rFonts w:ascii="宋体" w:hAnsi="宋体"/>
                <w:sz w:val="18"/>
              </w:rPr>
              <w:t>10</w:t>
            </w:r>
          </w:p>
        </w:tc>
        <w:tc>
          <w:tcPr>
            <w:tcW w:w="690" w:type="dxa"/>
            <w:gridSpan w:val="2"/>
            <w:shd w:val="clear" w:color="auto" w:fill="auto"/>
            <w:vAlign w:val="center"/>
          </w:tcPr>
          <w:p w14:paraId="6063A229">
            <w:pPr>
              <w:jc w:val="center"/>
            </w:pPr>
            <w:r>
              <w:rPr>
                <w:rFonts w:ascii="宋体" w:hAnsi="宋体"/>
                <w:sz w:val="18"/>
              </w:rPr>
              <w:t>10</w:t>
            </w:r>
          </w:p>
        </w:tc>
        <w:tc>
          <w:tcPr>
            <w:tcW w:w="2051" w:type="dxa"/>
            <w:gridSpan w:val="2"/>
            <w:shd w:val="clear" w:color="auto" w:fill="auto"/>
            <w:vAlign w:val="center"/>
          </w:tcPr>
          <w:p w14:paraId="6950F0EF">
            <w:pPr>
              <w:jc w:val="center"/>
            </w:pPr>
          </w:p>
        </w:tc>
      </w:tr>
      <w:tr w14:paraId="70FAB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396D1F2B">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2A5188C4">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14F8A05F">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12D15D6">
            <w:pPr>
              <w:jc w:val="center"/>
            </w:pPr>
            <w:r>
              <w:rPr>
                <w:rFonts w:ascii="宋体" w:hAnsi="宋体"/>
                <w:sz w:val="18"/>
              </w:rPr>
              <w:t>参加展会或出差次数</w:t>
            </w:r>
          </w:p>
        </w:tc>
        <w:tc>
          <w:tcPr>
            <w:tcW w:w="1177" w:type="dxa"/>
            <w:shd w:val="clear" w:color="auto" w:fill="auto"/>
            <w:vAlign w:val="center"/>
          </w:tcPr>
          <w:p w14:paraId="59AB647E">
            <w:pPr>
              <w:jc w:val="center"/>
            </w:pPr>
            <w:r>
              <w:rPr>
                <w:rFonts w:ascii="宋体" w:hAnsi="宋体"/>
                <w:sz w:val="18"/>
              </w:rPr>
              <w:t>&gt;=1次</w:t>
            </w:r>
          </w:p>
        </w:tc>
        <w:tc>
          <w:tcPr>
            <w:tcW w:w="1177" w:type="dxa"/>
            <w:shd w:val="clear" w:color="auto" w:fill="auto"/>
            <w:vAlign w:val="center"/>
          </w:tcPr>
          <w:p w14:paraId="1F3B26FE">
            <w:pPr>
              <w:jc w:val="center"/>
            </w:pPr>
            <w:r>
              <w:rPr>
                <w:rFonts w:ascii="宋体" w:hAnsi="宋体"/>
                <w:sz w:val="18"/>
              </w:rPr>
              <w:t>1次</w:t>
            </w:r>
          </w:p>
        </w:tc>
        <w:tc>
          <w:tcPr>
            <w:tcW w:w="707" w:type="dxa"/>
            <w:gridSpan w:val="2"/>
            <w:shd w:val="clear" w:color="auto" w:fill="auto"/>
            <w:vAlign w:val="center"/>
          </w:tcPr>
          <w:p w14:paraId="3B53A35C">
            <w:pPr>
              <w:jc w:val="center"/>
            </w:pPr>
            <w:r>
              <w:rPr>
                <w:rFonts w:ascii="宋体" w:hAnsi="宋体"/>
                <w:sz w:val="18"/>
              </w:rPr>
              <w:t>10</w:t>
            </w:r>
          </w:p>
        </w:tc>
        <w:tc>
          <w:tcPr>
            <w:tcW w:w="690" w:type="dxa"/>
            <w:gridSpan w:val="2"/>
            <w:shd w:val="clear" w:color="auto" w:fill="auto"/>
            <w:vAlign w:val="center"/>
          </w:tcPr>
          <w:p w14:paraId="12AEC609">
            <w:pPr>
              <w:jc w:val="center"/>
            </w:pPr>
            <w:r>
              <w:rPr>
                <w:rFonts w:ascii="宋体" w:hAnsi="宋体"/>
                <w:sz w:val="18"/>
              </w:rPr>
              <w:t>10</w:t>
            </w:r>
          </w:p>
        </w:tc>
        <w:tc>
          <w:tcPr>
            <w:tcW w:w="2051" w:type="dxa"/>
            <w:gridSpan w:val="2"/>
            <w:shd w:val="clear" w:color="auto" w:fill="auto"/>
            <w:vAlign w:val="center"/>
          </w:tcPr>
          <w:p w14:paraId="55EFF0EE">
            <w:pPr>
              <w:jc w:val="center"/>
            </w:pPr>
          </w:p>
        </w:tc>
      </w:tr>
      <w:tr w14:paraId="4F6A3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5CD84029">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6F224EEA">
            <w:pPr>
              <w:widowControl/>
              <w:jc w:val="center"/>
              <w:rPr>
                <w:rFonts w:hint="eastAsia" w:ascii="宋体" w:hAnsi="宋体" w:cs="宋体"/>
                <w:color w:val="000000"/>
                <w:kern w:val="0"/>
                <w:sz w:val="18"/>
                <w:szCs w:val="18"/>
              </w:rPr>
            </w:pPr>
          </w:p>
        </w:tc>
        <w:tc>
          <w:tcPr>
            <w:tcW w:w="718" w:type="dxa"/>
            <w:shd w:val="clear" w:color="auto" w:fill="auto"/>
            <w:vAlign w:val="center"/>
          </w:tcPr>
          <w:p w14:paraId="123A680A">
            <w:pPr>
              <w:jc w:val="center"/>
            </w:pPr>
            <w:r>
              <w:rPr>
                <w:rFonts w:ascii="宋体" w:hAnsi="宋体"/>
                <w:sz w:val="18"/>
              </w:rPr>
              <w:t>质量指标</w:t>
            </w:r>
          </w:p>
        </w:tc>
        <w:tc>
          <w:tcPr>
            <w:tcW w:w="1857" w:type="dxa"/>
            <w:gridSpan w:val="2"/>
            <w:shd w:val="clear" w:color="auto" w:fill="auto"/>
            <w:noWrap/>
            <w:vAlign w:val="center"/>
          </w:tcPr>
          <w:p w14:paraId="65B5F304">
            <w:pPr>
              <w:jc w:val="center"/>
            </w:pPr>
            <w:r>
              <w:rPr>
                <w:rFonts w:ascii="宋体" w:hAnsi="宋体"/>
                <w:sz w:val="18"/>
              </w:rPr>
              <w:t>资金使用合规率</w:t>
            </w:r>
          </w:p>
        </w:tc>
        <w:tc>
          <w:tcPr>
            <w:tcW w:w="1177" w:type="dxa"/>
            <w:shd w:val="clear" w:color="auto" w:fill="auto"/>
            <w:vAlign w:val="center"/>
          </w:tcPr>
          <w:p w14:paraId="1038C0D0">
            <w:pPr>
              <w:jc w:val="center"/>
            </w:pPr>
            <w:r>
              <w:rPr>
                <w:rFonts w:ascii="宋体" w:hAnsi="宋体"/>
                <w:sz w:val="18"/>
              </w:rPr>
              <w:t>&gt;=100%</w:t>
            </w:r>
          </w:p>
        </w:tc>
        <w:tc>
          <w:tcPr>
            <w:tcW w:w="1177" w:type="dxa"/>
            <w:shd w:val="clear" w:color="auto" w:fill="auto"/>
            <w:vAlign w:val="center"/>
          </w:tcPr>
          <w:p w14:paraId="6C49B5AA">
            <w:pPr>
              <w:jc w:val="center"/>
            </w:pPr>
            <w:r>
              <w:rPr>
                <w:rFonts w:ascii="宋体" w:hAnsi="宋体"/>
                <w:sz w:val="18"/>
              </w:rPr>
              <w:t>100%</w:t>
            </w:r>
          </w:p>
        </w:tc>
        <w:tc>
          <w:tcPr>
            <w:tcW w:w="707" w:type="dxa"/>
            <w:gridSpan w:val="2"/>
            <w:shd w:val="clear" w:color="auto" w:fill="auto"/>
            <w:vAlign w:val="center"/>
          </w:tcPr>
          <w:p w14:paraId="62CB2D3F">
            <w:pPr>
              <w:jc w:val="center"/>
            </w:pPr>
            <w:r>
              <w:rPr>
                <w:rFonts w:ascii="宋体" w:hAnsi="宋体"/>
                <w:sz w:val="18"/>
              </w:rPr>
              <w:t>10</w:t>
            </w:r>
          </w:p>
        </w:tc>
        <w:tc>
          <w:tcPr>
            <w:tcW w:w="690" w:type="dxa"/>
            <w:gridSpan w:val="2"/>
            <w:shd w:val="clear" w:color="auto" w:fill="auto"/>
            <w:vAlign w:val="center"/>
          </w:tcPr>
          <w:p w14:paraId="2793B8B5">
            <w:pPr>
              <w:jc w:val="center"/>
            </w:pPr>
            <w:r>
              <w:rPr>
                <w:rFonts w:ascii="宋体" w:hAnsi="宋体"/>
                <w:sz w:val="18"/>
              </w:rPr>
              <w:t>10</w:t>
            </w:r>
          </w:p>
        </w:tc>
        <w:tc>
          <w:tcPr>
            <w:tcW w:w="2051" w:type="dxa"/>
            <w:gridSpan w:val="2"/>
            <w:shd w:val="clear" w:color="auto" w:fill="auto"/>
            <w:vAlign w:val="center"/>
          </w:tcPr>
          <w:p w14:paraId="6921C407">
            <w:pPr>
              <w:jc w:val="center"/>
            </w:pPr>
          </w:p>
        </w:tc>
      </w:tr>
      <w:tr w14:paraId="1667F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39BE7702">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5AE85EDE">
            <w:pPr>
              <w:widowControl/>
              <w:jc w:val="center"/>
              <w:rPr>
                <w:rFonts w:hint="eastAsia" w:ascii="宋体" w:hAnsi="宋体" w:cs="宋体"/>
                <w:color w:val="000000"/>
                <w:kern w:val="0"/>
                <w:sz w:val="18"/>
                <w:szCs w:val="18"/>
              </w:rPr>
            </w:pPr>
          </w:p>
        </w:tc>
        <w:tc>
          <w:tcPr>
            <w:tcW w:w="718" w:type="dxa"/>
            <w:shd w:val="clear" w:color="auto" w:fill="auto"/>
            <w:vAlign w:val="center"/>
          </w:tcPr>
          <w:p w14:paraId="1F8C4E01">
            <w:pPr>
              <w:jc w:val="center"/>
            </w:pPr>
            <w:r>
              <w:rPr>
                <w:rFonts w:ascii="宋体" w:hAnsi="宋体"/>
                <w:sz w:val="18"/>
              </w:rPr>
              <w:t>时效指标</w:t>
            </w:r>
          </w:p>
        </w:tc>
        <w:tc>
          <w:tcPr>
            <w:tcW w:w="1857" w:type="dxa"/>
            <w:gridSpan w:val="2"/>
            <w:shd w:val="clear" w:color="auto" w:fill="auto"/>
            <w:noWrap/>
            <w:vAlign w:val="center"/>
          </w:tcPr>
          <w:p w14:paraId="649950A8">
            <w:pPr>
              <w:jc w:val="center"/>
            </w:pPr>
            <w:r>
              <w:rPr>
                <w:rFonts w:ascii="宋体" w:hAnsi="宋体"/>
                <w:sz w:val="18"/>
              </w:rPr>
              <w:t>资金拨付及时率</w:t>
            </w:r>
          </w:p>
        </w:tc>
        <w:tc>
          <w:tcPr>
            <w:tcW w:w="1177" w:type="dxa"/>
            <w:shd w:val="clear" w:color="auto" w:fill="auto"/>
            <w:vAlign w:val="center"/>
          </w:tcPr>
          <w:p w14:paraId="68B82421">
            <w:pPr>
              <w:jc w:val="center"/>
            </w:pPr>
            <w:r>
              <w:rPr>
                <w:rFonts w:ascii="宋体" w:hAnsi="宋体"/>
                <w:sz w:val="18"/>
              </w:rPr>
              <w:t>&gt;=90%</w:t>
            </w:r>
          </w:p>
        </w:tc>
        <w:tc>
          <w:tcPr>
            <w:tcW w:w="1177" w:type="dxa"/>
            <w:shd w:val="clear" w:color="auto" w:fill="auto"/>
            <w:vAlign w:val="center"/>
          </w:tcPr>
          <w:p w14:paraId="7B4F03CA">
            <w:pPr>
              <w:jc w:val="center"/>
            </w:pPr>
            <w:r>
              <w:rPr>
                <w:rFonts w:ascii="宋体" w:hAnsi="宋体"/>
                <w:sz w:val="18"/>
              </w:rPr>
              <w:t>100%</w:t>
            </w:r>
          </w:p>
        </w:tc>
        <w:tc>
          <w:tcPr>
            <w:tcW w:w="707" w:type="dxa"/>
            <w:gridSpan w:val="2"/>
            <w:shd w:val="clear" w:color="auto" w:fill="auto"/>
            <w:vAlign w:val="center"/>
          </w:tcPr>
          <w:p w14:paraId="21515B9D">
            <w:pPr>
              <w:jc w:val="center"/>
            </w:pPr>
            <w:r>
              <w:rPr>
                <w:rFonts w:ascii="宋体" w:hAnsi="宋体"/>
                <w:sz w:val="18"/>
              </w:rPr>
              <w:t>10</w:t>
            </w:r>
          </w:p>
        </w:tc>
        <w:tc>
          <w:tcPr>
            <w:tcW w:w="690" w:type="dxa"/>
            <w:gridSpan w:val="2"/>
            <w:shd w:val="clear" w:color="auto" w:fill="auto"/>
            <w:vAlign w:val="center"/>
          </w:tcPr>
          <w:p w14:paraId="493459FF">
            <w:pPr>
              <w:jc w:val="center"/>
            </w:pPr>
            <w:r>
              <w:rPr>
                <w:rFonts w:ascii="宋体" w:hAnsi="宋体"/>
                <w:sz w:val="18"/>
              </w:rPr>
              <w:t>10</w:t>
            </w:r>
          </w:p>
        </w:tc>
        <w:tc>
          <w:tcPr>
            <w:tcW w:w="2051" w:type="dxa"/>
            <w:gridSpan w:val="2"/>
            <w:shd w:val="clear" w:color="auto" w:fill="auto"/>
            <w:vAlign w:val="center"/>
          </w:tcPr>
          <w:p w14:paraId="786D5BCF">
            <w:pPr>
              <w:jc w:val="center"/>
            </w:pPr>
          </w:p>
        </w:tc>
      </w:tr>
      <w:tr w14:paraId="32847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2E2EEFD8">
            <w:pPr>
              <w:widowControl/>
              <w:jc w:val="left"/>
              <w:rPr>
                <w:rFonts w:hint="eastAsia" w:ascii="宋体" w:hAnsi="宋体" w:cs="宋体"/>
                <w:color w:val="000000"/>
                <w:kern w:val="0"/>
                <w:sz w:val="18"/>
                <w:szCs w:val="18"/>
              </w:rPr>
            </w:pPr>
          </w:p>
        </w:tc>
        <w:tc>
          <w:tcPr>
            <w:tcW w:w="707" w:type="dxa"/>
            <w:shd w:val="clear" w:color="auto" w:fill="auto"/>
            <w:vAlign w:val="center"/>
          </w:tcPr>
          <w:p w14:paraId="59B3FCB2">
            <w:pPr>
              <w:jc w:val="center"/>
            </w:pPr>
            <w:r>
              <w:rPr>
                <w:rFonts w:ascii="宋体" w:hAnsi="宋体"/>
                <w:sz w:val="18"/>
              </w:rPr>
              <w:t>成本指标</w:t>
            </w:r>
          </w:p>
        </w:tc>
        <w:tc>
          <w:tcPr>
            <w:tcW w:w="718" w:type="dxa"/>
            <w:shd w:val="clear" w:color="auto" w:fill="auto"/>
            <w:vAlign w:val="center"/>
          </w:tcPr>
          <w:p w14:paraId="68F22096">
            <w:pPr>
              <w:jc w:val="center"/>
            </w:pPr>
            <w:r>
              <w:rPr>
                <w:rFonts w:ascii="宋体" w:hAnsi="宋体"/>
                <w:sz w:val="18"/>
              </w:rPr>
              <w:t>经济成本指标</w:t>
            </w:r>
          </w:p>
        </w:tc>
        <w:tc>
          <w:tcPr>
            <w:tcW w:w="1857" w:type="dxa"/>
            <w:gridSpan w:val="2"/>
            <w:shd w:val="clear" w:color="auto" w:fill="auto"/>
            <w:noWrap/>
            <w:vAlign w:val="center"/>
          </w:tcPr>
          <w:p w14:paraId="2BD91839">
            <w:pPr>
              <w:jc w:val="center"/>
            </w:pPr>
            <w:r>
              <w:rPr>
                <w:rFonts w:ascii="宋体" w:hAnsi="宋体"/>
                <w:sz w:val="18"/>
              </w:rPr>
              <w:t>项目预算控制率</w:t>
            </w:r>
          </w:p>
        </w:tc>
        <w:tc>
          <w:tcPr>
            <w:tcW w:w="1177" w:type="dxa"/>
            <w:shd w:val="clear" w:color="auto" w:fill="auto"/>
            <w:vAlign w:val="center"/>
          </w:tcPr>
          <w:p w14:paraId="4283149B">
            <w:pPr>
              <w:jc w:val="center"/>
            </w:pPr>
            <w:r>
              <w:rPr>
                <w:rFonts w:ascii="宋体" w:hAnsi="宋体"/>
                <w:sz w:val="18"/>
              </w:rPr>
              <w:t>&lt;=100%</w:t>
            </w:r>
          </w:p>
        </w:tc>
        <w:tc>
          <w:tcPr>
            <w:tcW w:w="1177" w:type="dxa"/>
            <w:shd w:val="clear" w:color="auto" w:fill="auto"/>
            <w:vAlign w:val="center"/>
          </w:tcPr>
          <w:p w14:paraId="39BA463E">
            <w:pPr>
              <w:jc w:val="center"/>
            </w:pPr>
            <w:r>
              <w:rPr>
                <w:rFonts w:ascii="宋体" w:hAnsi="宋体"/>
                <w:sz w:val="18"/>
              </w:rPr>
              <w:t>12.6%</w:t>
            </w:r>
          </w:p>
        </w:tc>
        <w:tc>
          <w:tcPr>
            <w:tcW w:w="707" w:type="dxa"/>
            <w:gridSpan w:val="2"/>
            <w:shd w:val="clear" w:color="auto" w:fill="auto"/>
            <w:vAlign w:val="center"/>
          </w:tcPr>
          <w:p w14:paraId="3A257A63">
            <w:pPr>
              <w:jc w:val="center"/>
            </w:pPr>
            <w:r>
              <w:rPr>
                <w:rFonts w:ascii="宋体" w:hAnsi="宋体"/>
                <w:sz w:val="18"/>
              </w:rPr>
              <w:t>20</w:t>
            </w:r>
          </w:p>
        </w:tc>
        <w:tc>
          <w:tcPr>
            <w:tcW w:w="690" w:type="dxa"/>
            <w:gridSpan w:val="2"/>
            <w:shd w:val="clear" w:color="auto" w:fill="auto"/>
            <w:vAlign w:val="center"/>
          </w:tcPr>
          <w:p w14:paraId="4AD4F4D7">
            <w:pPr>
              <w:jc w:val="center"/>
            </w:pPr>
            <w:r>
              <w:rPr>
                <w:rFonts w:ascii="宋体" w:hAnsi="宋体"/>
                <w:sz w:val="18"/>
              </w:rPr>
              <w:t>2.52</w:t>
            </w:r>
          </w:p>
        </w:tc>
        <w:tc>
          <w:tcPr>
            <w:tcW w:w="2051" w:type="dxa"/>
            <w:gridSpan w:val="2"/>
            <w:shd w:val="clear" w:color="auto" w:fill="auto"/>
            <w:vAlign w:val="center"/>
          </w:tcPr>
          <w:p w14:paraId="66C1C3E1">
            <w:pPr>
              <w:jc w:val="center"/>
            </w:pPr>
            <w:r>
              <w:rPr>
                <w:rFonts w:ascii="宋体" w:hAnsi="宋体"/>
                <w:sz w:val="18"/>
              </w:rPr>
              <w:t>财政资金紧张，节约开支。</w:t>
            </w:r>
          </w:p>
        </w:tc>
      </w:tr>
      <w:tr w14:paraId="0C7C6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1FF7018C">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14:paraId="62031F0A">
            <w:pPr>
              <w:jc w:val="center"/>
            </w:pPr>
            <w:r>
              <w:rPr>
                <w:rFonts w:ascii="宋体" w:hAnsi="宋体"/>
                <w:sz w:val="18"/>
              </w:rPr>
              <w:t>效益指标</w:t>
            </w:r>
          </w:p>
        </w:tc>
        <w:tc>
          <w:tcPr>
            <w:tcW w:w="718" w:type="dxa"/>
            <w:vMerge w:val="restart"/>
            <w:shd w:val="clear" w:color="auto" w:fill="auto"/>
            <w:vAlign w:val="center"/>
          </w:tcPr>
          <w:p w14:paraId="2CCAB1E7">
            <w:pPr>
              <w:jc w:val="center"/>
            </w:pPr>
            <w:r>
              <w:rPr>
                <w:rFonts w:ascii="宋体" w:hAnsi="宋体"/>
                <w:sz w:val="18"/>
              </w:rPr>
              <w:t>社会效益指标</w:t>
            </w:r>
          </w:p>
        </w:tc>
        <w:tc>
          <w:tcPr>
            <w:tcW w:w="1857" w:type="dxa"/>
            <w:gridSpan w:val="2"/>
            <w:shd w:val="clear" w:color="auto" w:fill="auto"/>
            <w:noWrap/>
            <w:vAlign w:val="center"/>
          </w:tcPr>
          <w:p w14:paraId="7717BAA3">
            <w:pPr>
              <w:jc w:val="center"/>
            </w:pPr>
            <w:r>
              <w:rPr>
                <w:rFonts w:ascii="宋体" w:hAnsi="宋体"/>
                <w:sz w:val="18"/>
              </w:rPr>
              <w:t>促进当地经济扶苏</w:t>
            </w:r>
          </w:p>
        </w:tc>
        <w:tc>
          <w:tcPr>
            <w:tcW w:w="1177" w:type="dxa"/>
            <w:shd w:val="clear" w:color="auto" w:fill="auto"/>
            <w:vAlign w:val="center"/>
          </w:tcPr>
          <w:p w14:paraId="6460099B">
            <w:pPr>
              <w:jc w:val="center"/>
            </w:pPr>
            <w:r>
              <w:rPr>
                <w:rFonts w:ascii="宋体" w:hAnsi="宋体"/>
                <w:sz w:val="18"/>
              </w:rPr>
              <w:t>有效促进</w:t>
            </w:r>
          </w:p>
        </w:tc>
        <w:tc>
          <w:tcPr>
            <w:tcW w:w="1177" w:type="dxa"/>
            <w:shd w:val="clear" w:color="auto" w:fill="auto"/>
            <w:vAlign w:val="center"/>
          </w:tcPr>
          <w:p w14:paraId="535D6C07">
            <w:pPr>
              <w:jc w:val="center"/>
            </w:pPr>
            <w:r>
              <w:rPr>
                <w:rFonts w:ascii="宋体" w:hAnsi="宋体"/>
                <w:sz w:val="18"/>
              </w:rPr>
              <w:t>完全达到预期</w:t>
            </w:r>
          </w:p>
        </w:tc>
        <w:tc>
          <w:tcPr>
            <w:tcW w:w="707" w:type="dxa"/>
            <w:gridSpan w:val="2"/>
            <w:shd w:val="clear" w:color="auto" w:fill="auto"/>
            <w:vAlign w:val="center"/>
          </w:tcPr>
          <w:p w14:paraId="420637E3">
            <w:pPr>
              <w:jc w:val="center"/>
            </w:pPr>
            <w:r>
              <w:rPr>
                <w:rFonts w:ascii="宋体" w:hAnsi="宋体"/>
                <w:sz w:val="18"/>
              </w:rPr>
              <w:t>15</w:t>
            </w:r>
          </w:p>
        </w:tc>
        <w:tc>
          <w:tcPr>
            <w:tcW w:w="690" w:type="dxa"/>
            <w:gridSpan w:val="2"/>
            <w:shd w:val="clear" w:color="auto" w:fill="auto"/>
            <w:vAlign w:val="center"/>
          </w:tcPr>
          <w:p w14:paraId="039AD629">
            <w:pPr>
              <w:jc w:val="center"/>
            </w:pPr>
            <w:r>
              <w:rPr>
                <w:rFonts w:ascii="宋体" w:hAnsi="宋体"/>
                <w:sz w:val="18"/>
              </w:rPr>
              <w:t>15</w:t>
            </w:r>
          </w:p>
        </w:tc>
        <w:tc>
          <w:tcPr>
            <w:tcW w:w="2051" w:type="dxa"/>
            <w:gridSpan w:val="2"/>
            <w:shd w:val="clear" w:color="auto" w:fill="auto"/>
            <w:vAlign w:val="center"/>
          </w:tcPr>
          <w:p w14:paraId="66169C70">
            <w:pPr>
              <w:jc w:val="center"/>
            </w:pPr>
          </w:p>
        </w:tc>
      </w:tr>
      <w:tr w14:paraId="4EAA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1ABD419C">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698AC3E1">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0B897026">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32A01A60">
            <w:pPr>
              <w:jc w:val="center"/>
            </w:pPr>
            <w:r>
              <w:rPr>
                <w:rFonts w:ascii="宋体" w:hAnsi="宋体"/>
                <w:sz w:val="18"/>
              </w:rPr>
              <w:t>带动商品推广</w:t>
            </w:r>
          </w:p>
        </w:tc>
        <w:tc>
          <w:tcPr>
            <w:tcW w:w="1177" w:type="dxa"/>
            <w:shd w:val="clear" w:color="auto" w:fill="auto"/>
            <w:vAlign w:val="center"/>
          </w:tcPr>
          <w:p w14:paraId="4320B409">
            <w:pPr>
              <w:jc w:val="center"/>
            </w:pPr>
            <w:r>
              <w:rPr>
                <w:rFonts w:ascii="宋体" w:hAnsi="宋体"/>
                <w:sz w:val="18"/>
              </w:rPr>
              <w:t>有效带动</w:t>
            </w:r>
          </w:p>
        </w:tc>
        <w:tc>
          <w:tcPr>
            <w:tcW w:w="1177" w:type="dxa"/>
            <w:shd w:val="clear" w:color="auto" w:fill="auto"/>
            <w:vAlign w:val="center"/>
          </w:tcPr>
          <w:p w14:paraId="58A78AF8">
            <w:pPr>
              <w:jc w:val="center"/>
            </w:pPr>
            <w:r>
              <w:rPr>
                <w:rFonts w:ascii="宋体" w:hAnsi="宋体"/>
                <w:sz w:val="18"/>
              </w:rPr>
              <w:t>完全达到预期</w:t>
            </w:r>
          </w:p>
        </w:tc>
        <w:tc>
          <w:tcPr>
            <w:tcW w:w="707" w:type="dxa"/>
            <w:gridSpan w:val="2"/>
            <w:shd w:val="clear" w:color="auto" w:fill="auto"/>
            <w:vAlign w:val="center"/>
          </w:tcPr>
          <w:p w14:paraId="2E8B33CC">
            <w:pPr>
              <w:jc w:val="center"/>
            </w:pPr>
            <w:r>
              <w:rPr>
                <w:rFonts w:ascii="宋体" w:hAnsi="宋体"/>
                <w:sz w:val="18"/>
              </w:rPr>
              <w:t>15</w:t>
            </w:r>
          </w:p>
        </w:tc>
        <w:tc>
          <w:tcPr>
            <w:tcW w:w="690" w:type="dxa"/>
            <w:gridSpan w:val="2"/>
            <w:shd w:val="clear" w:color="auto" w:fill="auto"/>
            <w:vAlign w:val="center"/>
          </w:tcPr>
          <w:p w14:paraId="2D4EDB92">
            <w:pPr>
              <w:jc w:val="center"/>
            </w:pPr>
            <w:r>
              <w:rPr>
                <w:rFonts w:ascii="宋体" w:hAnsi="宋体"/>
                <w:sz w:val="18"/>
              </w:rPr>
              <w:t>15</w:t>
            </w:r>
          </w:p>
        </w:tc>
        <w:tc>
          <w:tcPr>
            <w:tcW w:w="2051" w:type="dxa"/>
            <w:gridSpan w:val="2"/>
            <w:shd w:val="clear" w:color="auto" w:fill="auto"/>
            <w:vAlign w:val="center"/>
          </w:tcPr>
          <w:p w14:paraId="454A4E4D">
            <w:pPr>
              <w:jc w:val="center"/>
            </w:pPr>
          </w:p>
        </w:tc>
      </w:tr>
      <w:tr w14:paraId="57CE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6234" w:type="dxa"/>
            <w:gridSpan w:val="7"/>
            <w:shd w:val="clear" w:color="auto" w:fill="auto"/>
            <w:vAlign w:val="center"/>
          </w:tcPr>
          <w:p w14:paraId="03CD1316">
            <w:pPr>
              <w:jc w:val="center"/>
            </w:pPr>
            <w:r>
              <w:rPr>
                <w:rFonts w:ascii="宋体" w:hAnsi="宋体"/>
                <w:sz w:val="18"/>
              </w:rPr>
              <w:t>总分</w:t>
            </w:r>
          </w:p>
        </w:tc>
        <w:tc>
          <w:tcPr>
            <w:tcW w:w="707" w:type="dxa"/>
            <w:gridSpan w:val="2"/>
            <w:shd w:val="clear" w:color="auto" w:fill="auto"/>
            <w:vAlign w:val="center"/>
          </w:tcPr>
          <w:p w14:paraId="6D61F0F5">
            <w:pPr>
              <w:jc w:val="center"/>
            </w:pPr>
            <w:r>
              <w:rPr>
                <w:rFonts w:ascii="宋体" w:hAnsi="宋体"/>
                <w:sz w:val="18"/>
              </w:rPr>
              <w:t>100</w:t>
            </w:r>
          </w:p>
        </w:tc>
        <w:tc>
          <w:tcPr>
            <w:tcW w:w="690" w:type="dxa"/>
            <w:gridSpan w:val="2"/>
            <w:shd w:val="clear" w:color="auto" w:fill="auto"/>
            <w:vAlign w:val="center"/>
          </w:tcPr>
          <w:p w14:paraId="6165C929">
            <w:pPr>
              <w:jc w:val="center"/>
            </w:pPr>
            <w:r>
              <w:rPr>
                <w:rFonts w:ascii="宋体" w:hAnsi="宋体"/>
                <w:sz w:val="18"/>
              </w:rPr>
              <w:t>73.78分</w:t>
            </w:r>
          </w:p>
        </w:tc>
        <w:tc>
          <w:tcPr>
            <w:tcW w:w="2051" w:type="dxa"/>
            <w:gridSpan w:val="2"/>
            <w:shd w:val="clear" w:color="auto" w:fill="auto"/>
            <w:vAlign w:val="center"/>
          </w:tcPr>
          <w:p w14:paraId="18E301F0">
            <w:pPr>
              <w:jc w:val="center"/>
            </w:pPr>
          </w:p>
        </w:tc>
      </w:tr>
      <w:bookmarkEnd w:id="30"/>
    </w:tbl>
    <w:p w14:paraId="187E5A1C">
      <w:pPr>
        <w:jc w:val="left"/>
        <w:rPr>
          <w:rFonts w:hint="eastAsia" w:ascii="宋体" w:hAnsi="宋体" w:cs="宋体"/>
          <w:b/>
          <w:bCs/>
          <w:kern w:val="0"/>
          <w:sz w:val="18"/>
          <w:szCs w:val="18"/>
        </w:rPr>
      </w:pPr>
    </w:p>
    <w:p w14:paraId="5538F2A3">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918B018">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本部门当年预算绩效评价项目有1个涉密项目，涉及全年预算数20.00万元，全年执行数20.00万元，未公开绩效自评表原因：涉密项目不公开项目绩效自评表。</w:t>
      </w:r>
    </w:p>
    <w:p w14:paraId="04C13BFF">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7655CAE6">
      <w:pPr>
        <w:jc w:val="center"/>
        <w:outlineLvl w:val="0"/>
        <w:rPr>
          <w:rFonts w:hint="eastAsia" w:ascii="黑体" w:hAnsi="黑体" w:eastAsia="黑体"/>
          <w:sz w:val="32"/>
          <w:szCs w:val="32"/>
        </w:rPr>
      </w:pPr>
      <w:bookmarkStart w:id="35" w:name="_Toc3250"/>
      <w:bookmarkStart w:id="36"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5"/>
      <w:bookmarkEnd w:id="36"/>
    </w:p>
    <w:p w14:paraId="5455DE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D44D1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4188F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D349D1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67B84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B95FF3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46D5C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277857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E481E1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FB830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823C32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F02ED4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E54F66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7EEB0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C0B11D5">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FB7EB3F">
      <w:pPr>
        <w:ind w:firstLine="640" w:firstLineChars="200"/>
        <w:outlineLvl w:val="1"/>
        <w:rPr>
          <w:rFonts w:hint="eastAsia" w:ascii="黑体" w:hAnsi="黑体" w:eastAsia="仿宋_GB2312" w:cs="宋体"/>
          <w:bCs/>
          <w:kern w:val="0"/>
          <w:sz w:val="32"/>
          <w:szCs w:val="32"/>
        </w:rPr>
      </w:pPr>
      <w:bookmarkStart w:id="37" w:name="_Toc6062"/>
      <w:bookmarkStart w:id="38" w:name="_Toc2183"/>
      <w:r>
        <w:rPr>
          <w:rFonts w:hint="eastAsia" w:ascii="黑体" w:hAnsi="黑体" w:eastAsia="仿宋_GB2312" w:cs="宋体"/>
          <w:bCs/>
          <w:kern w:val="0"/>
          <w:sz w:val="32"/>
          <w:szCs w:val="32"/>
        </w:rPr>
        <w:t>一、《收入支出决算总表》</w:t>
      </w:r>
      <w:bookmarkEnd w:id="37"/>
      <w:bookmarkEnd w:id="38"/>
    </w:p>
    <w:p w14:paraId="2DC8CC0B">
      <w:pPr>
        <w:ind w:firstLine="640" w:firstLineChars="200"/>
        <w:outlineLvl w:val="1"/>
        <w:rPr>
          <w:rFonts w:hint="eastAsia" w:ascii="黑体" w:hAnsi="黑体" w:eastAsia="仿宋_GB2312" w:cs="宋体"/>
          <w:bCs/>
          <w:kern w:val="0"/>
          <w:sz w:val="32"/>
          <w:szCs w:val="32"/>
        </w:rPr>
      </w:pPr>
      <w:bookmarkStart w:id="39" w:name="_Toc24532"/>
      <w:bookmarkStart w:id="40" w:name="_Toc30364"/>
      <w:r>
        <w:rPr>
          <w:rFonts w:hint="eastAsia" w:ascii="黑体" w:hAnsi="黑体" w:eastAsia="仿宋_GB2312" w:cs="宋体"/>
          <w:bCs/>
          <w:kern w:val="0"/>
          <w:sz w:val="32"/>
          <w:szCs w:val="32"/>
        </w:rPr>
        <w:t>二、《收入决算表》</w:t>
      </w:r>
      <w:bookmarkEnd w:id="39"/>
      <w:bookmarkEnd w:id="40"/>
    </w:p>
    <w:p w14:paraId="0B489B04">
      <w:pPr>
        <w:ind w:firstLine="640" w:firstLineChars="200"/>
        <w:outlineLvl w:val="1"/>
        <w:rPr>
          <w:rFonts w:hint="eastAsia" w:ascii="黑体" w:hAnsi="黑体" w:eastAsia="仿宋_GB2312" w:cs="宋体"/>
          <w:bCs/>
          <w:kern w:val="0"/>
          <w:sz w:val="32"/>
          <w:szCs w:val="32"/>
        </w:rPr>
      </w:pPr>
      <w:bookmarkStart w:id="41" w:name="_Toc32434"/>
      <w:bookmarkStart w:id="42" w:name="_Toc21304"/>
      <w:r>
        <w:rPr>
          <w:rFonts w:hint="eastAsia" w:ascii="黑体" w:hAnsi="黑体" w:eastAsia="仿宋_GB2312" w:cs="宋体"/>
          <w:bCs/>
          <w:kern w:val="0"/>
          <w:sz w:val="32"/>
          <w:szCs w:val="32"/>
        </w:rPr>
        <w:t>三、《支出决算表》</w:t>
      </w:r>
      <w:bookmarkEnd w:id="41"/>
      <w:bookmarkEnd w:id="42"/>
    </w:p>
    <w:p w14:paraId="7B6F93D5">
      <w:pPr>
        <w:ind w:firstLine="640" w:firstLineChars="200"/>
        <w:outlineLvl w:val="1"/>
        <w:rPr>
          <w:rFonts w:hint="eastAsia" w:ascii="黑体" w:hAnsi="黑体" w:eastAsia="仿宋_GB2312" w:cs="宋体"/>
          <w:bCs/>
          <w:kern w:val="0"/>
          <w:sz w:val="32"/>
          <w:szCs w:val="32"/>
        </w:rPr>
      </w:pPr>
      <w:bookmarkStart w:id="43" w:name="_Toc14238"/>
      <w:bookmarkStart w:id="44" w:name="_Toc28786"/>
      <w:r>
        <w:rPr>
          <w:rFonts w:hint="eastAsia" w:ascii="黑体" w:hAnsi="黑体" w:eastAsia="仿宋_GB2312" w:cs="宋体"/>
          <w:bCs/>
          <w:kern w:val="0"/>
          <w:sz w:val="32"/>
          <w:szCs w:val="32"/>
        </w:rPr>
        <w:t>四、《财政拨款收入支出决算总表》</w:t>
      </w:r>
      <w:bookmarkEnd w:id="43"/>
      <w:bookmarkEnd w:id="44"/>
    </w:p>
    <w:p w14:paraId="0287591B">
      <w:pPr>
        <w:ind w:firstLine="640" w:firstLineChars="200"/>
        <w:outlineLvl w:val="1"/>
        <w:rPr>
          <w:rFonts w:hint="eastAsia" w:ascii="黑体" w:hAnsi="黑体" w:eastAsia="仿宋_GB2312" w:cs="宋体"/>
          <w:bCs/>
          <w:kern w:val="0"/>
          <w:sz w:val="32"/>
          <w:szCs w:val="32"/>
        </w:rPr>
      </w:pPr>
      <w:bookmarkStart w:id="45" w:name="_Toc10347"/>
      <w:bookmarkStart w:id="46" w:name="_Toc14869"/>
      <w:r>
        <w:rPr>
          <w:rFonts w:hint="eastAsia" w:ascii="黑体" w:hAnsi="黑体" w:eastAsia="仿宋_GB2312" w:cs="宋体"/>
          <w:bCs/>
          <w:kern w:val="0"/>
          <w:sz w:val="32"/>
          <w:szCs w:val="32"/>
        </w:rPr>
        <w:t>五、《一般公共预算财政拨款支出决算表》</w:t>
      </w:r>
      <w:bookmarkEnd w:id="45"/>
      <w:bookmarkEnd w:id="46"/>
    </w:p>
    <w:p w14:paraId="1D7204B4">
      <w:pPr>
        <w:ind w:firstLine="640" w:firstLineChars="200"/>
        <w:outlineLvl w:val="1"/>
        <w:rPr>
          <w:rFonts w:hint="eastAsia" w:ascii="黑体" w:hAnsi="黑体" w:eastAsia="仿宋_GB2312" w:cs="宋体"/>
          <w:bCs/>
          <w:kern w:val="0"/>
          <w:sz w:val="32"/>
          <w:szCs w:val="32"/>
        </w:rPr>
      </w:pPr>
      <w:bookmarkStart w:id="47" w:name="_Toc5626"/>
      <w:bookmarkStart w:id="48" w:name="_Toc8884"/>
      <w:r>
        <w:rPr>
          <w:rFonts w:hint="eastAsia" w:ascii="黑体" w:hAnsi="黑体" w:eastAsia="仿宋_GB2312" w:cs="宋体"/>
          <w:bCs/>
          <w:kern w:val="0"/>
          <w:sz w:val="32"/>
          <w:szCs w:val="32"/>
        </w:rPr>
        <w:t>六、《一般公共预算财政拨款基本支出决算表》</w:t>
      </w:r>
      <w:bookmarkEnd w:id="47"/>
      <w:bookmarkEnd w:id="48"/>
    </w:p>
    <w:p w14:paraId="3A2B211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9" w:name="_Toc32663"/>
      <w:bookmarkStart w:id="50" w:name="_Toc29106"/>
      <w:r>
        <w:rPr>
          <w:rFonts w:hint="eastAsia" w:ascii="黑体" w:hAnsi="黑体" w:eastAsia="仿宋_GB2312" w:cs="宋体"/>
          <w:bCs/>
          <w:kern w:val="0"/>
          <w:sz w:val="32"/>
          <w:szCs w:val="32"/>
        </w:rPr>
        <w:t>《财政拨款“三公”经费支出决算表》</w:t>
      </w:r>
      <w:bookmarkEnd w:id="49"/>
      <w:bookmarkEnd w:id="50"/>
    </w:p>
    <w:p w14:paraId="23A16CF0">
      <w:pPr>
        <w:ind w:firstLine="640" w:firstLineChars="200"/>
        <w:outlineLvl w:val="1"/>
        <w:rPr>
          <w:rFonts w:hint="eastAsia" w:ascii="黑体" w:hAnsi="黑体" w:eastAsia="仿宋_GB2312" w:cs="宋体"/>
          <w:bCs/>
          <w:kern w:val="0"/>
          <w:sz w:val="32"/>
          <w:szCs w:val="32"/>
        </w:rPr>
      </w:pPr>
      <w:bookmarkStart w:id="51" w:name="_Toc5453"/>
      <w:bookmarkStart w:id="52" w:name="_Toc7643"/>
      <w:r>
        <w:rPr>
          <w:rFonts w:hint="eastAsia" w:ascii="黑体" w:hAnsi="黑体" w:eastAsia="仿宋_GB2312" w:cs="宋体"/>
          <w:bCs/>
          <w:kern w:val="0"/>
          <w:sz w:val="32"/>
          <w:szCs w:val="32"/>
        </w:rPr>
        <w:t>八、《政府性基金预算财政拨款收入支出决算表》</w:t>
      </w:r>
      <w:bookmarkEnd w:id="51"/>
      <w:bookmarkEnd w:id="52"/>
    </w:p>
    <w:p w14:paraId="02DCF72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2023CFA">
      <w:pPr>
        <w:ind w:firstLine="640" w:firstLineChars="200"/>
        <w:rPr>
          <w:rFonts w:ascii="仿宋_GB2312" w:eastAsia="仿宋_GB2312"/>
          <w:sz w:val="32"/>
          <w:szCs w:val="32"/>
        </w:rPr>
      </w:pPr>
    </w:p>
    <w:p w14:paraId="5AEA2A4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EDCB9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A9305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5A9305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84CA2"/>
    <w:rsid w:val="00084CA2"/>
    <w:rsid w:val="000C51F7"/>
    <w:rsid w:val="00152D2E"/>
    <w:rsid w:val="00213C59"/>
    <w:rsid w:val="002442C0"/>
    <w:rsid w:val="00264C6A"/>
    <w:rsid w:val="00284E1B"/>
    <w:rsid w:val="003210CE"/>
    <w:rsid w:val="004C4C9A"/>
    <w:rsid w:val="005032CB"/>
    <w:rsid w:val="00507F29"/>
    <w:rsid w:val="005933BA"/>
    <w:rsid w:val="00623E7A"/>
    <w:rsid w:val="00645BF1"/>
    <w:rsid w:val="00770FC1"/>
    <w:rsid w:val="00787B6C"/>
    <w:rsid w:val="008821D9"/>
    <w:rsid w:val="00941F7D"/>
    <w:rsid w:val="00962801"/>
    <w:rsid w:val="0097480D"/>
    <w:rsid w:val="00B70D59"/>
    <w:rsid w:val="00BB4B70"/>
    <w:rsid w:val="00C14FBA"/>
    <w:rsid w:val="00C51F0A"/>
    <w:rsid w:val="00D620C9"/>
    <w:rsid w:val="00D67531"/>
    <w:rsid w:val="00DB51B8"/>
    <w:rsid w:val="00DD5BD5"/>
    <w:rsid w:val="00F52A8D"/>
    <w:rsid w:val="00FD4EE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63351A"/>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1534</Words>
  <Characters>8744</Characters>
  <Lines>72</Lines>
  <Paragraphs>20</Paragraphs>
  <TotalTime>46</TotalTime>
  <ScaleCrop>false</ScaleCrop>
  <LinksUpToDate>false</LinksUpToDate>
  <CharactersWithSpaces>10258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2024-11-19T09:18:42Z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