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9D0C3">
      <w:pPr>
        <w:rPr>
          <w:rFonts w:hint="eastAsia" w:ascii="黑体" w:hAnsi="黑体" w:eastAsia="黑体"/>
          <w:sz w:val="32"/>
          <w:szCs w:val="32"/>
        </w:rPr>
      </w:pPr>
    </w:p>
    <w:p w14:paraId="6FBAB46F">
      <w:pPr>
        <w:jc w:val="center"/>
        <w:rPr>
          <w:rFonts w:hint="eastAsia" w:ascii="方正小标宋_GBK" w:hAnsi="宋体" w:eastAsia="方正小标宋_GBK"/>
          <w:sz w:val="44"/>
          <w:szCs w:val="44"/>
        </w:rPr>
      </w:pPr>
    </w:p>
    <w:p w14:paraId="661D96E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乌鲁木齐市米东区柏杨河哈萨克民族乡</w:t>
      </w:r>
    </w:p>
    <w:p w14:paraId="367AC5A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人民政府2023年度部门决算</w:t>
      </w:r>
    </w:p>
    <w:p w14:paraId="1EFD78E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D14ED17">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6D8991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E770736">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75C91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541621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85D0D3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4D17A7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353B52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D5A043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160AAC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483F38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523339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27F6A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D2366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2218EC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C6F4F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54E4CC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7E3080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BB83A8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5A93CA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888D20B">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3EEE81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F4B343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31FFF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D9D58B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862216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7A9399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2147F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76FEDB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BFF7D3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3738ADD">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2A2F8B5">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12C08FA">
      <w:r>
        <w:rPr>
          <w:rFonts w:hint="eastAsia" w:ascii="仿宋_GB2312" w:hAnsi="仿宋_GB2312" w:eastAsia="仿宋_GB2312" w:cs="仿宋_GB2312"/>
          <w:sz w:val="32"/>
          <w:szCs w:val="32"/>
        </w:rPr>
        <w:fldChar w:fldCharType="end"/>
      </w:r>
    </w:p>
    <w:p w14:paraId="216134C4">
      <w:pPr>
        <w:rPr>
          <w:rFonts w:ascii="仿宋_GB2312" w:eastAsia="仿宋_GB2312"/>
          <w:sz w:val="32"/>
          <w:szCs w:val="32"/>
        </w:rPr>
      </w:pPr>
      <w:r>
        <w:rPr>
          <w:rFonts w:hint="eastAsia" w:ascii="仿宋_GB2312" w:eastAsia="仿宋_GB2312"/>
          <w:sz w:val="32"/>
          <w:szCs w:val="32"/>
        </w:rPr>
        <w:br w:type="page"/>
      </w:r>
    </w:p>
    <w:p w14:paraId="293203CB">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7EC84C3F">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0406EF2B">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(1)贯彻执行国家和自治区、乌鲁木齐市有关财政、税收、行政事业单位国有资产管理的法规、制度和方针政策；组织拟定财政、财务、会计管理、行政事业单位国有资产管理等方面的规章、办法，并监督实施；参与有关税收制度和办法的拟定。</w:t>
      </w:r>
    </w:p>
    <w:p w14:paraId="1911FDB8">
      <w:pPr>
        <w:ind w:firstLine="640" w:firstLineChars="200"/>
        <w:jc w:val="left"/>
        <w:rPr>
          <w:rFonts w:ascii="仿宋_GB2312" w:eastAsia="仿宋_GB2312"/>
          <w:sz w:val="32"/>
          <w:szCs w:val="32"/>
        </w:rPr>
      </w:pPr>
      <w:r>
        <w:rPr>
          <w:rFonts w:hint="eastAsia" w:ascii="仿宋_GB2312" w:eastAsia="仿宋_GB2312"/>
          <w:sz w:val="32"/>
          <w:szCs w:val="32"/>
        </w:rPr>
        <w:t>(2)根据我区国民经济和社会发展战略，拟订财政发展战略和中长期规划，提出运用财税政策实施宏观经济调控和综合平衡社会财力的建议。</w:t>
      </w:r>
    </w:p>
    <w:p w14:paraId="623F3F0D">
      <w:pPr>
        <w:ind w:firstLine="640" w:firstLineChars="200"/>
        <w:jc w:val="left"/>
        <w:rPr>
          <w:rFonts w:ascii="仿宋_GB2312" w:eastAsia="仿宋_GB2312"/>
          <w:sz w:val="32"/>
          <w:szCs w:val="32"/>
        </w:rPr>
      </w:pPr>
      <w:r>
        <w:rPr>
          <w:rFonts w:hint="eastAsia" w:ascii="仿宋_GB2312" w:eastAsia="仿宋_GB2312"/>
          <w:sz w:val="32"/>
          <w:szCs w:val="32"/>
        </w:rPr>
        <w:t>(3)承担我乡各项财政收支管理责任；负责编制乡本级预决算草案并组织执行；受乡人民政府委托向镇人民代表大会报告乡本级和我乡预算及其执行情况，向乡人大常委会报告决算；组织实施专项资金绩效考核工作；组织实施经费开支标准、定额，负责财政预决算工作。</w:t>
      </w:r>
    </w:p>
    <w:p w14:paraId="2F62D34E">
      <w:pPr>
        <w:ind w:firstLine="640" w:firstLineChars="200"/>
        <w:jc w:val="left"/>
        <w:rPr>
          <w:rFonts w:ascii="仿宋_GB2312" w:eastAsia="仿宋_GB2312"/>
          <w:sz w:val="32"/>
          <w:szCs w:val="32"/>
        </w:rPr>
      </w:pPr>
      <w:r>
        <w:rPr>
          <w:rFonts w:hint="eastAsia" w:ascii="仿宋_GB2312" w:eastAsia="仿宋_GB2312"/>
          <w:sz w:val="32"/>
          <w:szCs w:val="32"/>
        </w:rPr>
        <w:t>(4)根据预算安排，拟定财政税收收入计划，并组织实施、管理和监督；负责政府非税收入和政府性基金管理；监管财政票据。</w:t>
      </w:r>
    </w:p>
    <w:p w14:paraId="7D511B4B">
      <w:pPr>
        <w:ind w:firstLine="640" w:firstLineChars="200"/>
        <w:jc w:val="left"/>
        <w:rPr>
          <w:rFonts w:ascii="仿宋_GB2312" w:eastAsia="仿宋_GB2312"/>
          <w:sz w:val="32"/>
          <w:szCs w:val="32"/>
        </w:rPr>
      </w:pPr>
      <w:r>
        <w:rPr>
          <w:rFonts w:hint="eastAsia" w:ascii="仿宋_GB2312" w:eastAsia="仿宋_GB2312"/>
          <w:sz w:val="32"/>
          <w:szCs w:val="32"/>
        </w:rPr>
        <w:t>(5)组织实施国库管理和国库集中收付制度，按规定开展本级国库现金管理工作，管理监督各部门国库资金缴拨使用；负责制定全镇政府采购制度并监督管理；管理财政统一发放工资工作。</w:t>
      </w:r>
    </w:p>
    <w:p w14:paraId="2B9102C9">
      <w:pPr>
        <w:ind w:firstLine="640" w:firstLineChars="200"/>
        <w:jc w:val="left"/>
        <w:rPr>
          <w:rFonts w:ascii="仿宋_GB2312" w:eastAsia="仿宋_GB2312"/>
          <w:sz w:val="32"/>
          <w:szCs w:val="32"/>
        </w:rPr>
      </w:pPr>
      <w:r>
        <w:rPr>
          <w:rFonts w:hint="eastAsia" w:ascii="仿宋_GB2312" w:eastAsia="仿宋_GB2312"/>
          <w:sz w:val="32"/>
          <w:szCs w:val="32"/>
        </w:rPr>
        <w:t>(6)负责制定我乡行政事业单位国有资产管理规章制度，按规定管理行政事业单位国有资产，拟定和执行需要全镇统一规定的开支标准和支出政策。</w:t>
      </w:r>
    </w:p>
    <w:p w14:paraId="75249A47">
      <w:pPr>
        <w:ind w:firstLine="640" w:firstLineChars="200"/>
        <w:jc w:val="left"/>
        <w:rPr>
          <w:rFonts w:ascii="仿宋_GB2312" w:eastAsia="仿宋_GB2312"/>
          <w:sz w:val="32"/>
          <w:szCs w:val="32"/>
        </w:rPr>
      </w:pPr>
      <w:r>
        <w:rPr>
          <w:rFonts w:hint="eastAsia" w:ascii="仿宋_GB2312" w:eastAsia="仿宋_GB2312"/>
          <w:sz w:val="32"/>
          <w:szCs w:val="32"/>
        </w:rPr>
        <w:t>(7)负责做好政府债务管理，合理安排偿债资金预算。</w:t>
      </w:r>
    </w:p>
    <w:p w14:paraId="183F9E04">
      <w:pPr>
        <w:ind w:firstLine="640" w:firstLineChars="200"/>
        <w:jc w:val="left"/>
        <w:rPr>
          <w:rFonts w:ascii="仿宋_GB2312" w:eastAsia="仿宋_GB2312"/>
          <w:sz w:val="32"/>
          <w:szCs w:val="32"/>
        </w:rPr>
      </w:pPr>
      <w:r>
        <w:rPr>
          <w:rFonts w:hint="eastAsia" w:ascii="仿宋_GB2312" w:eastAsia="仿宋_GB2312"/>
          <w:sz w:val="32"/>
          <w:szCs w:val="32"/>
        </w:rPr>
        <w:t>(8)参与制定全乡基本建设财务管理制度，负责政府性投资项目财政资金管理工作；承担有关政策性补贴和专项储备资金财政管理工作。</w:t>
      </w:r>
    </w:p>
    <w:p w14:paraId="5B9DBB9F">
      <w:pPr>
        <w:ind w:firstLine="640" w:firstLineChars="200"/>
        <w:jc w:val="left"/>
        <w:rPr>
          <w:rFonts w:ascii="仿宋_GB2312" w:eastAsia="仿宋_GB2312"/>
          <w:sz w:val="32"/>
          <w:szCs w:val="32"/>
        </w:rPr>
      </w:pPr>
      <w:r>
        <w:rPr>
          <w:rFonts w:hint="eastAsia" w:ascii="仿宋_GB2312" w:eastAsia="仿宋_GB2312"/>
          <w:sz w:val="32"/>
          <w:szCs w:val="32"/>
        </w:rPr>
        <w:t>(9)会同有关部门管理乡财政社会保障和就业及医疗卫生资金管理工作，会同有关部门研究制定社会保障资金有关的财务管理制度。</w:t>
      </w:r>
    </w:p>
    <w:p w14:paraId="4D339721">
      <w:pPr>
        <w:ind w:firstLine="640" w:firstLineChars="200"/>
        <w:jc w:val="left"/>
        <w:rPr>
          <w:rFonts w:ascii="仿宋_GB2312" w:eastAsia="仿宋_GB2312"/>
          <w:sz w:val="32"/>
          <w:szCs w:val="32"/>
        </w:rPr>
      </w:pPr>
      <w:r>
        <w:rPr>
          <w:rFonts w:hint="eastAsia" w:ascii="仿宋_GB2312" w:eastAsia="仿宋_GB2312"/>
          <w:sz w:val="32"/>
          <w:szCs w:val="32"/>
        </w:rPr>
        <w:t>(10)管理和指导全乡会计工作，规范会计行为；组织执行国家统一的会计制度和自治区相关补充规定；组织会计人员的业务培训和会计人员从业资格证书。</w:t>
      </w:r>
    </w:p>
    <w:p w14:paraId="4F39BB0F">
      <w:pPr>
        <w:ind w:firstLine="640" w:firstLineChars="200"/>
        <w:jc w:val="left"/>
        <w:rPr>
          <w:rFonts w:ascii="仿宋_GB2312" w:eastAsia="仿宋_GB2312"/>
          <w:sz w:val="32"/>
          <w:szCs w:val="32"/>
        </w:rPr>
      </w:pPr>
      <w:r>
        <w:rPr>
          <w:rFonts w:hint="eastAsia" w:ascii="仿宋_GB2312" w:eastAsia="仿宋_GB2312"/>
          <w:sz w:val="32"/>
          <w:szCs w:val="32"/>
        </w:rPr>
        <w:t>(11)承办乡人民政府交办的其他事项。</w:t>
      </w:r>
    </w:p>
    <w:p w14:paraId="6773D07B">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111EE53">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乌鲁木齐市米东区柏杨河哈萨克民族乡人民政府2023年度，实有人数</w:t>
      </w:r>
      <w:r>
        <w:rPr>
          <w:rFonts w:hint="eastAsia" w:ascii="仿宋_GB2312" w:eastAsia="仿宋_GB2312"/>
          <w:sz w:val="32"/>
          <w:szCs w:val="32"/>
          <w:lang w:val="zh-CN"/>
        </w:rPr>
        <w:t>85</w:t>
      </w:r>
      <w:r>
        <w:rPr>
          <w:rFonts w:hint="eastAsia" w:ascii="仿宋_GB2312" w:eastAsia="仿宋_GB2312"/>
          <w:sz w:val="32"/>
          <w:szCs w:val="32"/>
        </w:rPr>
        <w:t>人，其中：在职人员</w:t>
      </w:r>
      <w:r>
        <w:rPr>
          <w:rFonts w:hint="eastAsia" w:ascii="仿宋_GB2312" w:eastAsia="仿宋_GB2312"/>
          <w:sz w:val="32"/>
          <w:szCs w:val="32"/>
          <w:lang w:val="zh-CN"/>
        </w:rPr>
        <w:t>74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14:paraId="296AA1C2">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政府机关、</w:t>
      </w:r>
      <w:r>
        <w:rPr>
          <w:rFonts w:hint="eastAsia" w:ascii="仿宋_GB2312" w:hAnsi="黑体" w:eastAsia="仿宋_GB2312" w:cs="宋体"/>
          <w:bCs/>
          <w:kern w:val="0"/>
          <w:sz w:val="32"/>
          <w:szCs w:val="32"/>
        </w:rPr>
        <w:t>财政所、产业发展服务中心、教育文体广电服务中心、社会</w:t>
      </w:r>
      <w:r>
        <w:rPr>
          <w:rFonts w:hint="eastAsia" w:ascii="仿宋_GB2312" w:hAnsi="宋体" w:eastAsia="仿宋_GB2312" w:cs="宋体"/>
          <w:kern w:val="0"/>
          <w:sz w:val="32"/>
          <w:szCs w:val="32"/>
        </w:rPr>
        <w:t>保障（民政）服务中心、和瑞社区、防疫专员办公室。</w:t>
      </w:r>
    </w:p>
    <w:p w14:paraId="7ACC5CA6">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D0B4FF5">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6072307">
      <w:pPr>
        <w:ind w:firstLine="640" w:firstLineChars="200"/>
        <w:jc w:val="left"/>
        <w:rPr>
          <w:rFonts w:ascii="仿宋_GB2312" w:eastAsia="仿宋_GB2312"/>
          <w:sz w:val="32"/>
          <w:szCs w:val="32"/>
        </w:rPr>
      </w:pPr>
      <w:r>
        <w:rPr>
          <w:rFonts w:hint="eastAsia" w:ascii="仿宋_GB2312" w:eastAsia="仿宋_GB2312"/>
          <w:sz w:val="32"/>
          <w:szCs w:val="32"/>
        </w:rPr>
        <w:t>2023年度收入总计2,587.57万元，其中：本年收入合计2,587.57万元，使用非财政拨款结余0.00万元，年初结转和结余0.00万元。</w:t>
      </w:r>
    </w:p>
    <w:p w14:paraId="5AD77FC9">
      <w:pPr>
        <w:ind w:firstLine="640" w:firstLineChars="200"/>
        <w:jc w:val="left"/>
        <w:rPr>
          <w:rFonts w:ascii="仿宋_GB2312" w:eastAsia="仿宋_GB2312"/>
          <w:sz w:val="32"/>
          <w:szCs w:val="32"/>
        </w:rPr>
      </w:pPr>
      <w:r>
        <w:rPr>
          <w:rFonts w:hint="eastAsia" w:ascii="仿宋_GB2312" w:eastAsia="仿宋_GB2312"/>
          <w:sz w:val="32"/>
          <w:szCs w:val="32"/>
        </w:rPr>
        <w:t>2023年度支出总计2,587.57万元，其中：本年支出合计2,587.57万元，结余分配0.00万元，年末结转和结余0.00万元。</w:t>
      </w:r>
    </w:p>
    <w:p w14:paraId="184E1D5C">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增加103.78万元</w:t>
      </w:r>
      <w:r>
        <w:rPr>
          <w:rFonts w:hint="eastAsia" w:ascii="仿宋_GB2312" w:eastAsia="仿宋_GB2312"/>
          <w:sz w:val="32"/>
          <w:szCs w:val="32"/>
        </w:rPr>
        <w:t>，增长4.18%，主要原因是：人员增加，增加人员工资社保等，增加村级运转经费项目、农牧区投递员补贴项目经费。</w:t>
      </w:r>
    </w:p>
    <w:p w14:paraId="07C91603">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485E1E6C">
      <w:pPr>
        <w:ind w:firstLine="640" w:firstLineChars="200"/>
        <w:jc w:val="left"/>
        <w:rPr>
          <w:rFonts w:ascii="仿宋_GB2312" w:eastAsia="仿宋_GB2312"/>
          <w:sz w:val="32"/>
          <w:szCs w:val="32"/>
        </w:rPr>
      </w:pPr>
      <w:r>
        <w:rPr>
          <w:rFonts w:hint="eastAsia" w:ascii="仿宋_GB2312" w:eastAsia="仿宋_GB2312"/>
          <w:sz w:val="32"/>
          <w:szCs w:val="32"/>
        </w:rPr>
        <w:t>本年收入2,587.57万元，其中：财政拨款收入</w:t>
      </w:r>
      <w:r>
        <w:rPr>
          <w:rFonts w:hint="eastAsia" w:ascii="仿宋_GB2312" w:eastAsia="仿宋_GB2312"/>
          <w:sz w:val="32"/>
          <w:szCs w:val="32"/>
          <w:lang w:val="zh-CN"/>
        </w:rPr>
        <w:t>2,587.57</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5DC1EAF3">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735F64A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本年支出2,587.57万元，其中：基本支出2,529.73万元，占97.76%；项目支出57.84万元，占2.24%；上缴上级支出0.00万元，占0.00%；经营支出0.00万元，占0.00%；对附属单位补助支出0.00万元，占0.00%。</w:t>
      </w:r>
    </w:p>
    <w:p w14:paraId="2DA689CF">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690183F7">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2,587.57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2,587.57</w:t>
      </w:r>
      <w:r>
        <w:rPr>
          <w:rFonts w:hint="eastAsia" w:ascii="仿宋_GB2312" w:eastAsia="仿宋_GB2312"/>
          <w:sz w:val="32"/>
          <w:szCs w:val="32"/>
        </w:rPr>
        <w:t>万元。财政拨款支出总计</w:t>
      </w:r>
      <w:r>
        <w:rPr>
          <w:rFonts w:hint="eastAsia" w:ascii="仿宋_GB2312" w:eastAsia="仿宋_GB2312"/>
          <w:sz w:val="32"/>
          <w:szCs w:val="32"/>
          <w:lang w:val="zh-CN"/>
        </w:rPr>
        <w:t>2,587.57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2,587.57</w:t>
      </w:r>
      <w:r>
        <w:rPr>
          <w:rFonts w:hint="eastAsia" w:ascii="仿宋_GB2312" w:eastAsia="仿宋_GB2312"/>
          <w:sz w:val="32"/>
          <w:szCs w:val="32"/>
        </w:rPr>
        <w:t>万元。</w:t>
      </w:r>
    </w:p>
    <w:p w14:paraId="7A309CA7">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增加103.78万元</w:t>
      </w:r>
      <w:r>
        <w:rPr>
          <w:rFonts w:hint="eastAsia" w:ascii="仿宋_GB2312" w:eastAsia="仿宋_GB2312"/>
          <w:sz w:val="32"/>
          <w:szCs w:val="32"/>
        </w:rPr>
        <w:t>，增长4.18%,主要原因是：人员增加，增加人员工资社保等，增加村级运转经费项目、农牧区投递员补贴项目经费。与年初预算相比，年初预算数</w:t>
      </w:r>
      <w:r>
        <w:rPr>
          <w:rFonts w:hint="eastAsia" w:ascii="仿宋_GB2312" w:eastAsia="仿宋_GB2312"/>
          <w:sz w:val="32"/>
          <w:szCs w:val="32"/>
          <w:lang w:val="zh-CN"/>
        </w:rPr>
        <w:t>2,931.08</w:t>
      </w:r>
      <w:r>
        <w:rPr>
          <w:rFonts w:hint="eastAsia" w:ascii="仿宋_GB2312" w:eastAsia="仿宋_GB2312"/>
          <w:sz w:val="32"/>
          <w:szCs w:val="32"/>
        </w:rPr>
        <w:t>万元，决算数</w:t>
      </w:r>
      <w:r>
        <w:rPr>
          <w:rFonts w:hint="eastAsia" w:ascii="仿宋_GB2312" w:eastAsia="仿宋_GB2312"/>
          <w:sz w:val="32"/>
          <w:szCs w:val="32"/>
          <w:lang w:val="zh-CN"/>
        </w:rPr>
        <w:t>2,587.57</w:t>
      </w:r>
      <w:r>
        <w:rPr>
          <w:rFonts w:hint="eastAsia" w:ascii="仿宋_GB2312" w:eastAsia="仿宋_GB2312"/>
          <w:sz w:val="32"/>
          <w:szCs w:val="32"/>
        </w:rPr>
        <w:t>万元，预决算差异率-11.72%，主要原因是：办公费等公用经费小于年初预算，村级运转经费项目小于年初预算。</w:t>
      </w:r>
    </w:p>
    <w:p w14:paraId="35F6B186">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5405291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5060ECD">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2023年度一般公共预算财政拨款支出2,587.57万元，占本年支出合计的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增加103.78万元</w:t>
      </w:r>
      <w:r>
        <w:rPr>
          <w:rFonts w:hint="eastAsia" w:ascii="仿宋_GB2312" w:eastAsia="仿宋_GB2312"/>
          <w:sz w:val="32"/>
          <w:szCs w:val="32"/>
        </w:rPr>
        <w:t>，增长4.18%,主要原因是：人员增加，增加人员工资社保等，增加村级运转经费项目、农牧区投递员补贴项目经费。与年初预算相比，年初预算数</w:t>
      </w:r>
      <w:r>
        <w:rPr>
          <w:rFonts w:hint="eastAsia" w:ascii="仿宋_GB2312" w:eastAsia="仿宋_GB2312"/>
          <w:sz w:val="32"/>
          <w:szCs w:val="32"/>
          <w:lang w:val="zh-CN"/>
        </w:rPr>
        <w:t>2,931.08</w:t>
      </w:r>
      <w:r>
        <w:rPr>
          <w:rFonts w:hint="eastAsia" w:ascii="仿宋_GB2312" w:eastAsia="仿宋_GB2312"/>
          <w:sz w:val="32"/>
          <w:szCs w:val="32"/>
        </w:rPr>
        <w:t>万元，决算数</w:t>
      </w:r>
      <w:r>
        <w:rPr>
          <w:rFonts w:hint="eastAsia" w:ascii="仿宋_GB2312" w:eastAsia="仿宋_GB2312"/>
          <w:sz w:val="32"/>
          <w:szCs w:val="32"/>
          <w:lang w:val="zh-CN"/>
        </w:rPr>
        <w:t>2,587.57</w:t>
      </w:r>
      <w:r>
        <w:rPr>
          <w:rFonts w:hint="eastAsia" w:ascii="仿宋_GB2312" w:eastAsia="仿宋_GB2312"/>
          <w:sz w:val="32"/>
          <w:szCs w:val="32"/>
        </w:rPr>
        <w:t>万元，预决算差异率</w:t>
      </w:r>
      <w:r>
        <w:rPr>
          <w:rFonts w:hint="eastAsia" w:ascii="仿宋_GB2312" w:eastAsia="仿宋_GB2312"/>
          <w:sz w:val="32"/>
          <w:szCs w:val="32"/>
          <w:lang w:val="zh-CN"/>
        </w:rPr>
        <w:t>-11.72%</w:t>
      </w:r>
      <w:r>
        <w:rPr>
          <w:rFonts w:hint="eastAsia" w:ascii="仿宋_GB2312" w:eastAsia="仿宋_GB2312"/>
          <w:sz w:val="32"/>
          <w:szCs w:val="32"/>
        </w:rPr>
        <w:t>，主要原因是：办公费等公用经费小于年初预算，村级运转经费项目小于年初预算。</w:t>
      </w:r>
    </w:p>
    <w:p w14:paraId="3472B833">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0113B52">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1,356.55</w:t>
      </w:r>
      <w:r>
        <w:rPr>
          <w:rFonts w:ascii="仿宋_GB2312" w:eastAsia="仿宋_GB2312"/>
          <w:kern w:val="2"/>
          <w:sz w:val="32"/>
          <w:szCs w:val="32"/>
          <w:lang w:val="zh-CN"/>
        </w:rPr>
        <w:t>万元，占</w:t>
      </w:r>
      <w:r>
        <w:rPr>
          <w:rFonts w:hint="eastAsia" w:ascii="仿宋_GB2312" w:eastAsia="仿宋_GB2312"/>
          <w:kern w:val="2"/>
          <w:sz w:val="32"/>
          <w:szCs w:val="32"/>
          <w:lang w:val="zh-CN"/>
        </w:rPr>
        <w:t>52.43%</w:t>
      </w:r>
      <w:r>
        <w:rPr>
          <w:rFonts w:ascii="仿宋_GB2312" w:eastAsia="仿宋_GB2312"/>
          <w:kern w:val="2"/>
          <w:sz w:val="32"/>
          <w:szCs w:val="32"/>
          <w:lang w:val="zh-CN"/>
        </w:rPr>
        <w:t>；</w:t>
      </w:r>
    </w:p>
    <w:p w14:paraId="08E86BE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577.71</w:t>
      </w:r>
      <w:r>
        <w:rPr>
          <w:rFonts w:ascii="仿宋_GB2312" w:eastAsia="仿宋_GB2312"/>
          <w:kern w:val="2"/>
          <w:sz w:val="32"/>
          <w:szCs w:val="32"/>
          <w:lang w:val="zh-CN"/>
        </w:rPr>
        <w:t>万元，占</w:t>
      </w:r>
      <w:r>
        <w:rPr>
          <w:rFonts w:hint="eastAsia" w:ascii="仿宋_GB2312" w:eastAsia="仿宋_GB2312"/>
          <w:kern w:val="2"/>
          <w:sz w:val="32"/>
          <w:szCs w:val="32"/>
          <w:lang w:val="zh-CN"/>
        </w:rPr>
        <w:t>22.33%</w:t>
      </w:r>
      <w:r>
        <w:rPr>
          <w:rFonts w:ascii="仿宋_GB2312" w:eastAsia="仿宋_GB2312"/>
          <w:kern w:val="2"/>
          <w:sz w:val="32"/>
          <w:szCs w:val="32"/>
          <w:lang w:val="zh-CN"/>
        </w:rPr>
        <w:t>；</w:t>
      </w:r>
    </w:p>
    <w:p w14:paraId="577F588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52.84</w:t>
      </w:r>
      <w:r>
        <w:rPr>
          <w:rFonts w:ascii="仿宋_GB2312" w:eastAsia="仿宋_GB2312"/>
          <w:kern w:val="2"/>
          <w:sz w:val="32"/>
          <w:szCs w:val="32"/>
          <w:lang w:val="zh-CN"/>
        </w:rPr>
        <w:t>万元，占</w:t>
      </w:r>
      <w:r>
        <w:rPr>
          <w:rFonts w:hint="eastAsia" w:ascii="仿宋_GB2312" w:eastAsia="仿宋_GB2312"/>
          <w:kern w:val="2"/>
          <w:sz w:val="32"/>
          <w:szCs w:val="32"/>
          <w:lang w:val="zh-CN"/>
        </w:rPr>
        <w:t>2.04%</w:t>
      </w:r>
      <w:r>
        <w:rPr>
          <w:rFonts w:ascii="仿宋_GB2312" w:eastAsia="仿宋_GB2312"/>
          <w:kern w:val="2"/>
          <w:sz w:val="32"/>
          <w:szCs w:val="32"/>
          <w:lang w:val="zh-CN"/>
        </w:rPr>
        <w:t>；</w:t>
      </w:r>
    </w:p>
    <w:p w14:paraId="32E97D6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4.农林水支出（类）600.22万元，占</w:t>
      </w:r>
      <w:r>
        <w:rPr>
          <w:rFonts w:hint="eastAsia" w:ascii="仿宋_GB2312" w:eastAsia="仿宋_GB2312"/>
          <w:kern w:val="2"/>
          <w:sz w:val="32"/>
          <w:szCs w:val="32"/>
          <w:lang w:val="zh-CN"/>
        </w:rPr>
        <w:t>23.20%</w:t>
      </w:r>
      <w:r>
        <w:rPr>
          <w:rFonts w:ascii="仿宋_GB2312" w:eastAsia="仿宋_GB2312"/>
          <w:kern w:val="2"/>
          <w:sz w:val="32"/>
          <w:szCs w:val="32"/>
          <w:lang w:val="zh-CN"/>
        </w:rPr>
        <w:t>；</w:t>
      </w:r>
    </w:p>
    <w:p w14:paraId="427CB614">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.交通运输支出（类）</w:t>
      </w:r>
      <w:r>
        <w:rPr>
          <w:rFonts w:hint="eastAsia" w:ascii="仿宋_GB2312" w:eastAsia="仿宋_GB2312"/>
          <w:kern w:val="2"/>
          <w:sz w:val="32"/>
          <w:szCs w:val="32"/>
          <w:lang w:val="zh-CN"/>
        </w:rPr>
        <w:t>0.24</w:t>
      </w:r>
      <w:r>
        <w:rPr>
          <w:rFonts w:ascii="仿宋_GB2312" w:eastAsia="仿宋_GB2312"/>
          <w:kern w:val="2"/>
          <w:sz w:val="32"/>
          <w:szCs w:val="32"/>
          <w:lang w:val="zh-CN"/>
        </w:rPr>
        <w:t>万元，占</w:t>
      </w:r>
      <w:r>
        <w:rPr>
          <w:rFonts w:hint="eastAsia" w:ascii="仿宋_GB2312" w:eastAsia="仿宋_GB2312"/>
          <w:kern w:val="2"/>
          <w:sz w:val="32"/>
          <w:szCs w:val="32"/>
          <w:lang w:val="zh-CN"/>
        </w:rPr>
        <w:t>0.01%。</w:t>
      </w:r>
    </w:p>
    <w:p w14:paraId="2DC3512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390DA56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1.农林水支出（类）农业农村（款）事业运行（项）:支出决算数为521.92万元，比上年决算增加76.50万元，增长17.17%，主要原因是：</w:t>
      </w:r>
      <w:r>
        <w:rPr>
          <w:rFonts w:hint="eastAsia" w:ascii="仿宋_GB2312" w:hAnsi="仿宋_GB2312" w:eastAsia="仿宋_GB2312" w:cs="仿宋_GB2312"/>
          <w:sz w:val="32"/>
          <w:szCs w:val="32"/>
          <w:lang w:val="zh-CN"/>
        </w:rPr>
        <w:t>事业人员增加，增加人员工资、津补贴等。</w:t>
      </w:r>
    </w:p>
    <w:p w14:paraId="5B90396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2.卫生健康支出（类）公共卫生（款）突发公共卫生事件应急处理（项）:支出决算数为19.80万元，比上年决算增加15.88万元，增长405.10%，主要原因是：本年</w:t>
      </w:r>
      <w:r>
        <w:rPr>
          <w:rFonts w:hint="eastAsia" w:ascii="仿宋_GB2312" w:hAnsi="仿宋_GB2312" w:eastAsia="仿宋_GB2312" w:cs="仿宋_GB2312"/>
          <w:sz w:val="32"/>
          <w:szCs w:val="32"/>
          <w:lang w:val="zh-CN"/>
        </w:rPr>
        <w:t>增加应急防控物资项目经费。</w:t>
      </w:r>
    </w:p>
    <w:p w14:paraId="46F66F4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3.农林水支出（类）农村综合改革（款）对村级公益事业建设的补助（项）:支出决算数为40.50万元，比上年决算增加40.50万元，增长100%，主要原因是：</w:t>
      </w:r>
      <w:r>
        <w:rPr>
          <w:rFonts w:hint="eastAsia" w:ascii="仿宋_GB2312" w:hAnsi="仿宋_GB2312" w:eastAsia="仿宋_GB2312" w:cs="仿宋_GB2312"/>
          <w:sz w:val="32"/>
          <w:szCs w:val="32"/>
          <w:lang w:val="zh-CN"/>
        </w:rPr>
        <w:t>新增科目，增加村级办公经费。</w:t>
      </w:r>
    </w:p>
    <w:p w14:paraId="7718726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4.交通运输支出（类）邮政业支出（款）邮政普遍服务与特殊服务（项）:支出决算数为0.24万元，比上年决算增加0.24万元，增长100%，主要原因是：本年增加</w:t>
      </w:r>
      <w:r>
        <w:rPr>
          <w:rFonts w:hint="eastAsia" w:ascii="仿宋_GB2312" w:hAnsi="仿宋_GB2312" w:eastAsia="仿宋_GB2312" w:cs="仿宋_GB2312"/>
          <w:sz w:val="32"/>
          <w:szCs w:val="32"/>
          <w:lang w:val="zh-CN"/>
        </w:rPr>
        <w:t>农牧区投递员补贴项目经费。</w:t>
      </w:r>
    </w:p>
    <w:p w14:paraId="7FE9B14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5.农林水支出（类）农村综合改革（款）对村集体经济组织的补助（项）:支出决算数为37.80万元，比上年决算增加37.80万元，增长100%，主要原因是：本年增加</w:t>
      </w:r>
      <w:r>
        <w:rPr>
          <w:rFonts w:hint="eastAsia" w:ascii="仿宋_GB2312" w:hAnsi="仿宋_GB2312" w:eastAsia="仿宋_GB2312" w:cs="仿宋_GB2312"/>
          <w:sz w:val="32"/>
          <w:szCs w:val="32"/>
          <w:lang w:val="zh-CN"/>
        </w:rPr>
        <w:t>村级运转项目经费。</w:t>
      </w:r>
    </w:p>
    <w:p w14:paraId="4344001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6.一般公共服务支出（类）政府办公厅（室）及相关机构事务（款）行政运行（项）:支出决算数为1,356.55万元，比上年决算减少259.40万元，下降16.05%，主要原因是：</w:t>
      </w:r>
      <w:r>
        <w:rPr>
          <w:rFonts w:hint="eastAsia" w:ascii="仿宋_GB2312" w:hAnsi="仿宋_GB2312" w:eastAsia="仿宋_GB2312" w:cs="仿宋_GB2312"/>
          <w:sz w:val="32"/>
          <w:szCs w:val="32"/>
          <w:lang w:val="zh-CN"/>
        </w:rPr>
        <w:t>行政人员减少，减少人员工资津补贴等。</w:t>
      </w:r>
    </w:p>
    <w:p w14:paraId="22C4247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7.卫生健康支出（类）计划生育事务（款）计划生育服务（项）:支出决算数为33.04万元，比上年决算增加3.04万元，增长10.13%，主要原因是：</w:t>
      </w:r>
      <w:r>
        <w:rPr>
          <w:rFonts w:hint="eastAsia" w:ascii="仿宋_GB2312" w:hAnsi="仿宋_GB2312" w:eastAsia="仿宋_GB2312" w:cs="仿宋_GB2312"/>
          <w:sz w:val="32"/>
          <w:szCs w:val="32"/>
          <w:lang w:val="zh-CN"/>
        </w:rPr>
        <w:t>增加职工医疗缴费，公积金等。</w:t>
      </w:r>
    </w:p>
    <w:p w14:paraId="59B8706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8.社会保障和就业支出（类）民政管理事务（款）基层政权建设和社区治理（项）:支出决算数为447.24万元，比上年决算增加165.39万元，增长58.68%，主要原因是：</w:t>
      </w:r>
      <w:r>
        <w:rPr>
          <w:rFonts w:hint="eastAsia" w:ascii="仿宋_GB2312" w:hAnsi="仿宋_GB2312" w:eastAsia="仿宋_GB2312" w:cs="仿宋_GB2312"/>
          <w:sz w:val="32"/>
          <w:szCs w:val="32"/>
          <w:lang w:val="zh-CN"/>
        </w:rPr>
        <w:t>事业人员增加，增加人员工资社保等经费。</w:t>
      </w:r>
    </w:p>
    <w:p w14:paraId="13BC101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9.社会保障和就业支出（类）行政事业单位养老支出（款）机关事业单位基本养老保险缴费支出（项）:支出决算数为130.47万元，比上年决算增加25.82万元，增长24.67%，主要原因是：</w:t>
      </w:r>
      <w:r>
        <w:rPr>
          <w:rFonts w:hint="eastAsia" w:ascii="仿宋_GB2312" w:hAnsi="仿宋_GB2312" w:eastAsia="仿宋_GB2312" w:cs="仿宋_GB2312"/>
          <w:sz w:val="32"/>
          <w:szCs w:val="32"/>
          <w:lang w:val="zh-CN"/>
        </w:rPr>
        <w:t>养老保险缴费基数调增，相应经费增加。</w:t>
      </w:r>
    </w:p>
    <w:p w14:paraId="30C1BD1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10.社会保障和就业支出（类）其他生活救助（款）其他城市生活救助（项）:支出决算数为0.00万元，比上年决算减少2.00万元，下降100%，主要原因是：</w:t>
      </w:r>
      <w:r>
        <w:rPr>
          <w:rFonts w:hint="eastAsia" w:ascii="仿宋_GB2312" w:hAnsi="仿宋_GB2312" w:eastAsia="仿宋_GB2312" w:cs="仿宋_GB2312"/>
          <w:sz w:val="32"/>
          <w:szCs w:val="32"/>
          <w:lang w:val="zh-CN"/>
        </w:rPr>
        <w:t>本年我单位无低保人员救助经费。</w:t>
      </w:r>
    </w:p>
    <w:p w14:paraId="1380BFF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D50B2E1">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2,529.73万元，其中：人员经费1,893.79万元，包括：基本工资、津贴补贴、奖金、绩效工资、机关事业单位基本养老保险缴费、职业年金缴费、职工基本医疗保险缴费、公务员医疗补助缴费、其他社会保障缴费、住房公积金、其他工资福利支出、抚恤金、生活补助、奖励金。</w:t>
      </w:r>
    </w:p>
    <w:p w14:paraId="7C19DA42">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公用经费635.94万元，包括：办公费、印刷费、水费、电费、邮电费、取暖费、差旅费、维修（护）费、劳务费、工会经费、福利费、其他交通费用、其他商品和服务支出。</w:t>
      </w:r>
    </w:p>
    <w:p w14:paraId="06D71F0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5CDE53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46DE9BF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511FC5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7E0981FE">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原因是：差异车辆为一般业务用车17辆，车辆费用未使用财政拨款公务用车运行维护费支付。</w:t>
      </w:r>
    </w:p>
    <w:p w14:paraId="4DCCF3E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4AB667F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52BE8621">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31C2EF3D">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FBA229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2EB9B00">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7A0A507">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48E7EE3C">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04AB54D5">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乌鲁木齐市米东区柏杨河哈萨克民族乡人民政府（行政单位和参照公务员法管理事业单位）机关运行经费支出635.94万元，</w:t>
      </w:r>
      <w:r>
        <w:rPr>
          <w:rFonts w:hint="eastAsia" w:ascii="仿宋_GB2312" w:hAnsi="仿宋_GB2312" w:eastAsia="仿宋_GB2312" w:cs="仿宋_GB2312"/>
          <w:sz w:val="32"/>
          <w:szCs w:val="32"/>
          <w:lang w:val="zh-CN"/>
        </w:rPr>
        <w:t>比上年减少232.97万元，下降26.81%，主要原因是：本年</w:t>
      </w:r>
      <w:r>
        <w:rPr>
          <w:rFonts w:hint="eastAsia" w:ascii="仿宋_GB2312" w:eastAsia="仿宋_GB2312"/>
          <w:sz w:val="32"/>
          <w:szCs w:val="32"/>
        </w:rPr>
        <w:t>办公费、取暖费、差旅费、维修（护）费等减少</w:t>
      </w:r>
      <w:r>
        <w:rPr>
          <w:rFonts w:hint="eastAsia" w:ascii="仿宋_GB2312" w:hAnsi="仿宋_GB2312" w:eastAsia="仿宋_GB2312" w:cs="仿宋_GB2312"/>
          <w:sz w:val="32"/>
          <w:szCs w:val="32"/>
          <w:lang w:val="zh-CN"/>
        </w:rPr>
        <w:t>。</w:t>
      </w:r>
    </w:p>
    <w:p w14:paraId="6EAA8E5B">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20242B4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2023年度政府采购支出总额67.26万元，其中：政府采购货物支出34.14万元、政府采购工程支出0.00万元、政府采购服务支出33.12万元。</w:t>
      </w:r>
    </w:p>
    <w:p w14:paraId="269C093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授予中小企业合同金额9.95万元，占政府采购支出总额的14.79%，其中：授予小微企业合同金额9.95万元，占政府采购支出总额的14.79%</w:t>
      </w:r>
      <w:r>
        <w:rPr>
          <w:rFonts w:hint="eastAsia" w:ascii="仿宋_GB2312" w:hAnsi="仿宋_GB2312" w:eastAsia="仿宋_GB2312" w:cs="仿宋_GB2312"/>
          <w:sz w:val="32"/>
          <w:szCs w:val="32"/>
        </w:rPr>
        <w:t>。</w:t>
      </w:r>
    </w:p>
    <w:p w14:paraId="4B199FED">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31191BF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1,460.82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屋4,064.81平方米，价值296.01万元。车辆17辆，价值227.47万元，其中：副部（省）级及以上领导用车0辆、主要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用车2辆、机要通信用车0辆、应急保障用车1辆、执法执勤用车1辆、特种专业技术用车0辆、离退休干部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用车0辆、其他用车13辆，其他用车主要是：业务用车；单价100万元（含）以上设备（不含车辆）0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2B53B165">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44C94C8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根据预算绩效管理要求，我单位2023年度预算绩效管理整体支出绩效自评表1个，全年预算总额</w:t>
      </w:r>
      <w:r>
        <w:rPr>
          <w:rFonts w:ascii="仿宋_GB2312" w:hAnsi="仿宋_GB2312" w:eastAsia="仿宋_GB2312" w:cs="仿宋_GB2312"/>
          <w:sz w:val="32"/>
          <w:szCs w:val="32"/>
          <w:lang w:val="zh-CN"/>
        </w:rPr>
        <w:t>2,587.57</w:t>
      </w:r>
      <w:r>
        <w:rPr>
          <w:rFonts w:hint="eastAsia" w:ascii="仿宋_GB2312" w:hAnsi="仿宋_GB2312" w:eastAsia="仿宋_GB2312" w:cs="仿宋_GB2312"/>
          <w:sz w:val="32"/>
          <w:szCs w:val="32"/>
          <w:lang w:val="zh-CN"/>
        </w:rPr>
        <w:t>万元，实际执行总额</w:t>
      </w:r>
      <w:r>
        <w:rPr>
          <w:rFonts w:ascii="仿宋_GB2312" w:hAnsi="仿宋_GB2312" w:eastAsia="仿宋_GB2312" w:cs="仿宋_GB2312"/>
          <w:sz w:val="32"/>
          <w:szCs w:val="32"/>
          <w:lang w:val="zh-CN"/>
        </w:rPr>
        <w:t>2,587.57</w:t>
      </w:r>
      <w:r>
        <w:rPr>
          <w:rFonts w:hint="eastAsia" w:ascii="仿宋_GB2312" w:hAnsi="仿宋_GB2312" w:eastAsia="仿宋_GB2312" w:cs="仿宋_GB2312"/>
          <w:sz w:val="32"/>
          <w:szCs w:val="32"/>
          <w:lang w:val="zh-CN"/>
        </w:rPr>
        <w:t>万元；预算绩效评价项目3个，全年预算数</w:t>
      </w:r>
      <w:r>
        <w:rPr>
          <w:rFonts w:ascii="仿宋_GB2312" w:hAnsi="仿宋_GB2312" w:eastAsia="仿宋_GB2312" w:cs="仿宋_GB2312"/>
          <w:sz w:val="32"/>
          <w:szCs w:val="32"/>
          <w:lang w:val="zh-CN"/>
        </w:rPr>
        <w:t>109.55</w:t>
      </w:r>
      <w:r>
        <w:rPr>
          <w:rFonts w:hint="eastAsia" w:ascii="仿宋_GB2312" w:hAnsi="仿宋_GB2312" w:eastAsia="仿宋_GB2312" w:cs="仿宋_GB2312"/>
          <w:sz w:val="32"/>
          <w:szCs w:val="32"/>
          <w:lang w:val="zh-CN"/>
        </w:rPr>
        <w:t>万元，全年执行数</w:t>
      </w:r>
      <w:r>
        <w:rPr>
          <w:rFonts w:ascii="仿宋_GB2312" w:hAnsi="仿宋_GB2312" w:eastAsia="仿宋_GB2312" w:cs="仿宋_GB2312"/>
          <w:sz w:val="32"/>
          <w:szCs w:val="32"/>
          <w:lang w:val="zh-CN"/>
        </w:rPr>
        <w:t>81.35</w:t>
      </w:r>
      <w:r>
        <w:rPr>
          <w:rFonts w:hint="eastAsia" w:ascii="仿宋_GB2312" w:hAnsi="仿宋_GB2312" w:eastAsia="仿宋_GB2312" w:cs="仿宋_GB2312"/>
          <w:sz w:val="32"/>
          <w:szCs w:val="32"/>
          <w:lang w:val="zh-CN"/>
        </w:rPr>
        <w:t>万元。预算绩效管理取得的成效：一是绩效目标基本达成，取得了较好的社会效益；二是根据绩效目标设定的相较针对性的指标，明确性较强。发现的问题及原因：一是因财政资金未能及时足额拨付，只拨付了7个月的工作经费，村级运转只能做到基本维持，村组织表示存在不少应付账款未能及时支付；二是部门职能不明确，个别工作分工不清晰，且人员培训和绩效考核制度不够完善，考核方案部分内容和人员名单更新滞后。下一步改进措施：一是加强顶层设计，合理整合专项涉及的整体内容，强化项目立项决策管理。及时编制专项发展规划，完善前期需求论证和可研分析，合理划分部门正常履职和特定项目内容的边界，厘清项目支出与基本支出的界限、延续性项目和临时性（新增）项目之间的内容及界限，对于同类项目进行统筹整合管理；加强部门工作的统筹和战略规划，制定中长期发展规划统领部门工作及履职，确定年度重点工作安排的合理性；二是重视对项目和资金的过程化管理，加强对项目的延伸性监管，建立健全项日督管理制度，落实各级项目监督管理责任。一方面，主管部门应加强对项目实施过程的监管意识，建立重点项目实施过程的绩效反馈机制。另一方面，资金使用单位应加强对项目实施的风险管控意识，加强对项目实施的过程控制。及时归集绩效成果资料，注重绩效过程资料总结和数据汇总分析，注重建立满意度调查机制，听取专家和专业机构及上级主管部门的评价意见，全面展示项目实施效果。具体项目自评情况附绩效自评表及自评报告。</w:t>
      </w:r>
    </w:p>
    <w:p w14:paraId="721A3CBE">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7399308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2BBAB14D">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E83783">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5A66F8A">
            <w:pPr>
              <w:jc w:val="center"/>
            </w:pPr>
            <w:r>
              <w:rPr>
                <w:rFonts w:ascii="宋体" w:hAnsi="宋体"/>
                <w:sz w:val="18"/>
              </w:rPr>
              <w:t>米东区柏杨河乡政府</w:t>
            </w:r>
          </w:p>
        </w:tc>
        <w:tc>
          <w:tcPr>
            <w:tcW w:w="284" w:type="dxa"/>
            <w:tcBorders>
              <w:top w:val="nil"/>
              <w:left w:val="nil"/>
              <w:bottom w:val="nil"/>
              <w:right w:val="nil"/>
            </w:tcBorders>
            <w:shd w:val="clear" w:color="auto" w:fill="auto"/>
            <w:noWrap/>
            <w:vAlign w:val="center"/>
          </w:tcPr>
          <w:p w14:paraId="7D11B787">
            <w:pPr>
              <w:widowControl/>
              <w:jc w:val="left"/>
              <w:rPr>
                <w:rFonts w:hint="eastAsia" w:ascii="宋体" w:hAnsi="宋体" w:cs="宋体"/>
                <w:b/>
                <w:bCs/>
                <w:kern w:val="0"/>
                <w:sz w:val="18"/>
                <w:szCs w:val="18"/>
              </w:rPr>
            </w:pPr>
          </w:p>
        </w:tc>
      </w:tr>
      <w:tr w14:paraId="4E3CB1D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30A92C">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9D6BA6D">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4DBABF57">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104B3AF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312288E0">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14E9BD1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608BCC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83FF84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925E7DC">
            <w:pPr>
              <w:widowControl/>
              <w:jc w:val="center"/>
              <w:rPr>
                <w:rFonts w:hint="eastAsia" w:ascii="宋体" w:hAnsi="宋体" w:cs="宋体"/>
                <w:b/>
                <w:bCs/>
                <w:kern w:val="0"/>
                <w:sz w:val="18"/>
                <w:szCs w:val="18"/>
              </w:rPr>
            </w:pPr>
          </w:p>
        </w:tc>
      </w:tr>
      <w:tr w14:paraId="29CBC70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7EA96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B3554F1">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280885CE">
            <w:pPr>
              <w:jc w:val="center"/>
            </w:pPr>
            <w:r>
              <w:rPr>
                <w:rFonts w:ascii="宋体" w:hAnsi="宋体"/>
                <w:sz w:val="18"/>
              </w:rPr>
              <w:t>2,991.20</w:t>
            </w:r>
          </w:p>
        </w:tc>
        <w:tc>
          <w:tcPr>
            <w:tcW w:w="1134" w:type="dxa"/>
            <w:tcBorders>
              <w:top w:val="nil"/>
              <w:left w:val="nil"/>
              <w:bottom w:val="single" w:color="auto" w:sz="4" w:space="0"/>
              <w:right w:val="single" w:color="auto" w:sz="4" w:space="0"/>
            </w:tcBorders>
            <w:shd w:val="clear" w:color="auto" w:fill="auto"/>
            <w:vAlign w:val="center"/>
          </w:tcPr>
          <w:p w14:paraId="6A020B05">
            <w:pPr>
              <w:jc w:val="center"/>
            </w:pPr>
            <w:r>
              <w:rPr>
                <w:rFonts w:ascii="宋体" w:hAnsi="宋体"/>
                <w:sz w:val="18"/>
              </w:rPr>
              <w:t>2,587.57</w:t>
            </w:r>
          </w:p>
        </w:tc>
        <w:tc>
          <w:tcPr>
            <w:tcW w:w="2126" w:type="dxa"/>
            <w:tcBorders>
              <w:top w:val="nil"/>
              <w:left w:val="nil"/>
              <w:bottom w:val="single" w:color="auto" w:sz="4" w:space="0"/>
              <w:right w:val="single" w:color="auto" w:sz="4" w:space="0"/>
            </w:tcBorders>
            <w:shd w:val="clear" w:color="auto" w:fill="auto"/>
            <w:vAlign w:val="center"/>
          </w:tcPr>
          <w:p w14:paraId="6B6DC130">
            <w:pPr>
              <w:jc w:val="center"/>
            </w:pPr>
            <w:r>
              <w:rPr>
                <w:rFonts w:ascii="宋体" w:hAnsi="宋体"/>
                <w:sz w:val="18"/>
              </w:rPr>
              <w:t>2,587.57</w:t>
            </w:r>
          </w:p>
        </w:tc>
        <w:tc>
          <w:tcPr>
            <w:tcW w:w="1004" w:type="dxa"/>
            <w:tcBorders>
              <w:top w:val="nil"/>
              <w:left w:val="nil"/>
              <w:bottom w:val="single" w:color="auto" w:sz="4" w:space="0"/>
              <w:right w:val="single" w:color="auto" w:sz="4" w:space="0"/>
            </w:tcBorders>
            <w:shd w:val="clear" w:color="auto" w:fill="auto"/>
            <w:vAlign w:val="center"/>
          </w:tcPr>
          <w:p w14:paraId="6C9950BC">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50BB37B4">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3954D48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669F43F">
            <w:pPr>
              <w:widowControl/>
              <w:jc w:val="center"/>
              <w:rPr>
                <w:rFonts w:hint="eastAsia" w:ascii="宋体" w:hAnsi="宋体" w:cs="宋体"/>
                <w:b/>
                <w:bCs/>
                <w:kern w:val="0"/>
                <w:sz w:val="18"/>
                <w:szCs w:val="18"/>
              </w:rPr>
            </w:pPr>
          </w:p>
        </w:tc>
      </w:tr>
      <w:tr w14:paraId="24568DD1">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9EABC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73114DD">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20FA29C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82128F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B2E0AC9">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060A68C">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6E2277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D11F66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5276B92">
            <w:pPr>
              <w:widowControl/>
              <w:jc w:val="center"/>
              <w:rPr>
                <w:rFonts w:hint="eastAsia" w:ascii="宋体" w:hAnsi="宋体" w:cs="宋体"/>
                <w:kern w:val="0"/>
                <w:sz w:val="18"/>
                <w:szCs w:val="18"/>
              </w:rPr>
            </w:pPr>
          </w:p>
        </w:tc>
      </w:tr>
      <w:tr w14:paraId="7BA6B896">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8B533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704E324">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018A945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C6A03FB">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A27925F">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B2711D0">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4E3477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E3926C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1906605">
            <w:pPr>
              <w:widowControl/>
              <w:jc w:val="center"/>
              <w:rPr>
                <w:rFonts w:hint="eastAsia" w:ascii="宋体" w:hAnsi="宋体" w:cs="宋体"/>
                <w:kern w:val="0"/>
                <w:sz w:val="18"/>
                <w:szCs w:val="18"/>
              </w:rPr>
            </w:pPr>
          </w:p>
        </w:tc>
      </w:tr>
      <w:tr w14:paraId="4C9D5D1D">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044C7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DF6B312">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C408FB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3D5E840">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03B9C7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9EE6A6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A75D8B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607239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AED4C86">
            <w:pPr>
              <w:widowControl/>
              <w:jc w:val="center"/>
              <w:rPr>
                <w:rFonts w:hint="eastAsia" w:ascii="宋体" w:hAnsi="宋体" w:cs="宋体"/>
                <w:kern w:val="0"/>
                <w:sz w:val="18"/>
                <w:szCs w:val="18"/>
              </w:rPr>
            </w:pPr>
          </w:p>
        </w:tc>
      </w:tr>
      <w:tr w14:paraId="4D0AEEF2">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09F05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456D68F">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0271FD53">
            <w:pPr>
              <w:jc w:val="center"/>
            </w:pPr>
            <w:r>
              <w:rPr>
                <w:rFonts w:ascii="宋体" w:hAnsi="宋体"/>
                <w:sz w:val="18"/>
              </w:rPr>
              <w:t>2,991.20</w:t>
            </w:r>
          </w:p>
        </w:tc>
        <w:tc>
          <w:tcPr>
            <w:tcW w:w="1134" w:type="dxa"/>
            <w:tcBorders>
              <w:top w:val="nil"/>
              <w:left w:val="nil"/>
              <w:bottom w:val="single" w:color="auto" w:sz="4" w:space="0"/>
              <w:right w:val="single" w:color="auto" w:sz="4" w:space="0"/>
            </w:tcBorders>
            <w:shd w:val="clear" w:color="auto" w:fill="auto"/>
            <w:vAlign w:val="center"/>
          </w:tcPr>
          <w:p w14:paraId="6A1016AB">
            <w:pPr>
              <w:jc w:val="center"/>
            </w:pPr>
            <w:r>
              <w:rPr>
                <w:rFonts w:ascii="宋体" w:hAnsi="宋体"/>
                <w:sz w:val="18"/>
              </w:rPr>
              <w:t>2,587.57</w:t>
            </w:r>
          </w:p>
        </w:tc>
        <w:tc>
          <w:tcPr>
            <w:tcW w:w="2126" w:type="dxa"/>
            <w:tcBorders>
              <w:top w:val="nil"/>
              <w:left w:val="nil"/>
              <w:bottom w:val="single" w:color="auto" w:sz="4" w:space="0"/>
              <w:right w:val="single" w:color="auto" w:sz="4" w:space="0"/>
            </w:tcBorders>
            <w:shd w:val="clear" w:color="auto" w:fill="auto"/>
            <w:vAlign w:val="center"/>
          </w:tcPr>
          <w:p w14:paraId="06427CD6">
            <w:pPr>
              <w:jc w:val="center"/>
            </w:pPr>
            <w:r>
              <w:rPr>
                <w:rFonts w:ascii="宋体" w:hAnsi="宋体"/>
                <w:sz w:val="18"/>
              </w:rPr>
              <w:t>2,587.57</w:t>
            </w:r>
          </w:p>
        </w:tc>
        <w:tc>
          <w:tcPr>
            <w:tcW w:w="1004" w:type="dxa"/>
            <w:tcBorders>
              <w:top w:val="nil"/>
              <w:left w:val="nil"/>
              <w:bottom w:val="single" w:color="auto" w:sz="4" w:space="0"/>
              <w:right w:val="single" w:color="auto" w:sz="4" w:space="0"/>
            </w:tcBorders>
            <w:shd w:val="clear" w:color="auto" w:fill="auto"/>
            <w:vAlign w:val="center"/>
          </w:tcPr>
          <w:p w14:paraId="3FBBD8A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472B63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FC51D0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7F715C5">
            <w:pPr>
              <w:widowControl/>
              <w:jc w:val="center"/>
              <w:rPr>
                <w:rFonts w:hint="eastAsia" w:ascii="宋体" w:hAnsi="宋体" w:cs="宋体"/>
                <w:kern w:val="0"/>
                <w:sz w:val="18"/>
                <w:szCs w:val="18"/>
              </w:rPr>
            </w:pPr>
          </w:p>
        </w:tc>
      </w:tr>
      <w:tr w14:paraId="562E026E">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7DA59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A464601">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24F87E6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C1576A0">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E74D01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25FAE7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BB5CAB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82F08D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F727CE4">
            <w:pPr>
              <w:widowControl/>
              <w:jc w:val="center"/>
              <w:rPr>
                <w:rFonts w:hint="eastAsia" w:ascii="宋体" w:hAnsi="宋体" w:cs="宋体"/>
                <w:kern w:val="0"/>
                <w:sz w:val="18"/>
                <w:szCs w:val="18"/>
              </w:rPr>
            </w:pPr>
          </w:p>
        </w:tc>
      </w:tr>
      <w:tr w14:paraId="7D990ED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201A5E">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70A04AE8">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5066A06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C24DF59">
            <w:pPr>
              <w:widowControl/>
              <w:jc w:val="left"/>
              <w:rPr>
                <w:rFonts w:hint="eastAsia" w:ascii="宋体" w:hAnsi="宋体" w:cs="宋体"/>
                <w:b/>
                <w:bCs/>
                <w:kern w:val="0"/>
                <w:sz w:val="18"/>
                <w:szCs w:val="18"/>
              </w:rPr>
            </w:pPr>
          </w:p>
        </w:tc>
      </w:tr>
      <w:tr w14:paraId="61829D35">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DACF60">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2C529987">
            <w:pPr>
              <w:jc w:val="left"/>
            </w:pPr>
            <w:r>
              <w:rPr>
                <w:rFonts w:ascii="宋体" w:hAnsi="宋体"/>
                <w:sz w:val="18"/>
              </w:rPr>
              <w:t>大力实施乡村振兴战略，发挥我乡资源优势，大力发展特色产业，确保巩固拓展脱贫攻坚成果同乡村振兴有效衔接责任落实，工作落实，政策落实到位，巩固成果更加明显，乡村振兴全面推进，不断提升干部理论素养，增强干部乡村振兴工作能力。</w:t>
            </w:r>
          </w:p>
        </w:tc>
        <w:tc>
          <w:tcPr>
            <w:tcW w:w="4689" w:type="dxa"/>
            <w:gridSpan w:val="4"/>
            <w:tcBorders>
              <w:top w:val="single" w:color="auto" w:sz="4" w:space="0"/>
              <w:left w:val="nil"/>
              <w:bottom w:val="single" w:color="auto" w:sz="4" w:space="0"/>
              <w:right w:val="single" w:color="auto" w:sz="4" w:space="0"/>
            </w:tcBorders>
            <w:shd w:val="clear" w:color="auto" w:fill="auto"/>
          </w:tcPr>
          <w:p w14:paraId="77D8890F">
            <w:pPr>
              <w:jc w:val="left"/>
            </w:pPr>
            <w:r>
              <w:rPr>
                <w:rFonts w:ascii="宋体" w:hAnsi="宋体"/>
                <w:sz w:val="18"/>
              </w:rPr>
              <w:t>坚持精准发力，不断推进乡村振兴战略走深走实。乡党委统筹推进乡村振兴、农业经济和农旅融合发展，大力整治城乡人居环境、发展特色产业，坚持“三清三改两提升”与院内院外“六件事”相结合，以党建为抓手，打好乡村振兴</w:t>
            </w:r>
            <w:bookmarkStart w:id="49" w:name="_GoBack"/>
            <w:bookmarkEnd w:id="49"/>
            <w:r>
              <w:rPr>
                <w:rFonts w:ascii="宋体" w:hAnsi="宋体"/>
                <w:sz w:val="18"/>
              </w:rPr>
              <w:t>这张牌，带动全乡党员干部群众打造美丽新农村。保持了乡域经济稳健恢复增长、“三农”工作重心全面转向乡村振兴，加快构建现代产业融合发展体系，经济发展行稳致远，美丽乡村建设卓有成效、公共服务能力稳步提升，全面推进乡村振兴、促进农业高质高效、乡村宜居宜业、农民富裕富足、为打造新时代团结和谐、繁荣富裕、文明进步、安居乐业、生态良好的柏杨河乡而不懈努力奋斗一、2023年，将主动把握和积极适应经济发展新常态，落实积极的财政政策，提高财政宏观调控能力，扎实做好各项财政工作，为推动柏杨河乡乡村振兴奠定良好的财力基础。</w:t>
            </w:r>
          </w:p>
        </w:tc>
        <w:tc>
          <w:tcPr>
            <w:tcW w:w="284" w:type="dxa"/>
            <w:tcBorders>
              <w:top w:val="nil"/>
              <w:left w:val="nil"/>
              <w:bottom w:val="nil"/>
              <w:right w:val="nil"/>
            </w:tcBorders>
            <w:shd w:val="clear" w:color="auto" w:fill="auto"/>
            <w:noWrap/>
            <w:vAlign w:val="center"/>
          </w:tcPr>
          <w:p w14:paraId="490F0D6B">
            <w:pPr>
              <w:widowControl/>
              <w:jc w:val="left"/>
              <w:rPr>
                <w:rFonts w:hint="eastAsia" w:ascii="宋体" w:hAnsi="宋体" w:cs="宋体"/>
                <w:kern w:val="0"/>
                <w:sz w:val="18"/>
                <w:szCs w:val="18"/>
              </w:rPr>
            </w:pPr>
          </w:p>
        </w:tc>
      </w:tr>
      <w:tr w14:paraId="3E258B8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AD5E43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AA07296">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6858BA48">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2EEF5B89">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2F976885">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5E91704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0C8E772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507E78B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EEB2635">
            <w:pPr>
              <w:widowControl/>
              <w:jc w:val="left"/>
              <w:rPr>
                <w:rFonts w:hint="eastAsia" w:ascii="宋体" w:hAnsi="宋体" w:cs="宋体"/>
                <w:b/>
                <w:bCs/>
                <w:kern w:val="0"/>
                <w:sz w:val="18"/>
                <w:szCs w:val="18"/>
              </w:rPr>
            </w:pPr>
          </w:p>
        </w:tc>
      </w:tr>
      <w:tr w14:paraId="4F99597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166B6CC">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C7F9A83">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657445E">
            <w:pPr>
              <w:jc w:val="center"/>
            </w:pPr>
            <w:r>
              <w:rPr>
                <w:rFonts w:ascii="宋体" w:hAnsi="宋体"/>
                <w:sz w:val="18"/>
              </w:rPr>
              <w:t>乡村振兴保障规模化牧家乐数量</w:t>
            </w:r>
          </w:p>
        </w:tc>
        <w:tc>
          <w:tcPr>
            <w:tcW w:w="1134" w:type="dxa"/>
            <w:tcBorders>
              <w:top w:val="nil"/>
              <w:left w:val="nil"/>
              <w:bottom w:val="single" w:color="auto" w:sz="4" w:space="0"/>
              <w:right w:val="single" w:color="auto" w:sz="4" w:space="0"/>
            </w:tcBorders>
            <w:shd w:val="clear" w:color="auto" w:fill="auto"/>
            <w:noWrap/>
            <w:vAlign w:val="center"/>
          </w:tcPr>
          <w:p w14:paraId="3CE6AD81">
            <w:pPr>
              <w:jc w:val="center"/>
            </w:pPr>
            <w:r>
              <w:rPr>
                <w:rFonts w:ascii="宋体" w:hAnsi="宋体"/>
                <w:sz w:val="18"/>
              </w:rPr>
              <w:t>&gt;=50家</w:t>
            </w:r>
          </w:p>
        </w:tc>
        <w:tc>
          <w:tcPr>
            <w:tcW w:w="2126" w:type="dxa"/>
            <w:tcBorders>
              <w:top w:val="nil"/>
              <w:left w:val="nil"/>
              <w:bottom w:val="single" w:color="auto" w:sz="4" w:space="0"/>
              <w:right w:val="single" w:color="auto" w:sz="4" w:space="0"/>
            </w:tcBorders>
            <w:shd w:val="clear" w:color="auto" w:fill="auto"/>
            <w:noWrap/>
            <w:vAlign w:val="center"/>
          </w:tcPr>
          <w:p w14:paraId="789B0228">
            <w:pPr>
              <w:jc w:val="center"/>
            </w:pPr>
            <w:r>
              <w:rPr>
                <w:rFonts w:ascii="宋体" w:hAnsi="宋体"/>
                <w:sz w:val="18"/>
              </w:rPr>
              <w:t>乡村振兴办2023工作计划</w:t>
            </w:r>
          </w:p>
        </w:tc>
        <w:tc>
          <w:tcPr>
            <w:tcW w:w="1004" w:type="dxa"/>
            <w:tcBorders>
              <w:top w:val="nil"/>
              <w:left w:val="nil"/>
              <w:bottom w:val="single" w:color="auto" w:sz="4" w:space="0"/>
              <w:right w:val="single" w:color="auto" w:sz="4" w:space="0"/>
            </w:tcBorders>
            <w:shd w:val="clear" w:color="auto" w:fill="auto"/>
            <w:noWrap/>
            <w:vAlign w:val="center"/>
          </w:tcPr>
          <w:p w14:paraId="6DAE9FA1">
            <w:pPr>
              <w:jc w:val="center"/>
            </w:pPr>
            <w:r>
              <w:rPr>
                <w:rFonts w:ascii="宋体" w:hAnsi="宋体"/>
                <w:sz w:val="18"/>
              </w:rPr>
              <w:t>50家</w:t>
            </w:r>
          </w:p>
        </w:tc>
        <w:tc>
          <w:tcPr>
            <w:tcW w:w="839" w:type="dxa"/>
            <w:tcBorders>
              <w:top w:val="nil"/>
              <w:left w:val="nil"/>
              <w:bottom w:val="single" w:color="auto" w:sz="4" w:space="0"/>
              <w:right w:val="single" w:color="auto" w:sz="4" w:space="0"/>
            </w:tcBorders>
            <w:shd w:val="clear" w:color="auto" w:fill="auto"/>
            <w:noWrap/>
            <w:vAlign w:val="center"/>
          </w:tcPr>
          <w:p w14:paraId="5F2EE14B">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2485D33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D03A337">
            <w:pPr>
              <w:widowControl/>
              <w:jc w:val="center"/>
              <w:rPr>
                <w:rFonts w:hint="eastAsia" w:ascii="宋体" w:hAnsi="宋体" w:cs="宋体"/>
                <w:kern w:val="0"/>
                <w:sz w:val="18"/>
                <w:szCs w:val="18"/>
              </w:rPr>
            </w:pPr>
          </w:p>
        </w:tc>
      </w:tr>
      <w:tr w14:paraId="318153D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909CD9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821363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D2A527E">
            <w:pPr>
              <w:jc w:val="center"/>
            </w:pPr>
            <w:r>
              <w:rPr>
                <w:rFonts w:ascii="宋体" w:hAnsi="宋体"/>
                <w:sz w:val="18"/>
              </w:rPr>
              <w:t>重点节日大型文化展演活动次数</w:t>
            </w:r>
          </w:p>
        </w:tc>
        <w:tc>
          <w:tcPr>
            <w:tcW w:w="1134" w:type="dxa"/>
            <w:tcBorders>
              <w:top w:val="nil"/>
              <w:left w:val="nil"/>
              <w:bottom w:val="single" w:color="auto" w:sz="4" w:space="0"/>
              <w:right w:val="single" w:color="auto" w:sz="4" w:space="0"/>
            </w:tcBorders>
            <w:shd w:val="clear" w:color="auto" w:fill="auto"/>
            <w:noWrap/>
            <w:vAlign w:val="center"/>
          </w:tcPr>
          <w:p w14:paraId="6BAB9C8A">
            <w:pPr>
              <w:jc w:val="center"/>
            </w:pPr>
            <w:r>
              <w:rPr>
                <w:rFonts w:ascii="宋体" w:hAnsi="宋体"/>
                <w:sz w:val="18"/>
              </w:rPr>
              <w:t>&gt;=3次</w:t>
            </w:r>
          </w:p>
        </w:tc>
        <w:tc>
          <w:tcPr>
            <w:tcW w:w="2126" w:type="dxa"/>
            <w:tcBorders>
              <w:top w:val="nil"/>
              <w:left w:val="nil"/>
              <w:bottom w:val="single" w:color="auto" w:sz="4" w:space="0"/>
              <w:right w:val="single" w:color="auto" w:sz="4" w:space="0"/>
            </w:tcBorders>
            <w:shd w:val="clear" w:color="auto" w:fill="auto"/>
            <w:noWrap/>
            <w:vAlign w:val="center"/>
          </w:tcPr>
          <w:p w14:paraId="31A14222">
            <w:pPr>
              <w:jc w:val="center"/>
            </w:pPr>
            <w:r>
              <w:rPr>
                <w:rFonts w:ascii="宋体" w:hAnsi="宋体"/>
                <w:sz w:val="18"/>
              </w:rPr>
              <w:t>宣传办2023工作计划</w:t>
            </w:r>
          </w:p>
        </w:tc>
        <w:tc>
          <w:tcPr>
            <w:tcW w:w="1004" w:type="dxa"/>
            <w:tcBorders>
              <w:top w:val="nil"/>
              <w:left w:val="nil"/>
              <w:bottom w:val="single" w:color="auto" w:sz="4" w:space="0"/>
              <w:right w:val="single" w:color="auto" w:sz="4" w:space="0"/>
            </w:tcBorders>
            <w:shd w:val="clear" w:color="auto" w:fill="auto"/>
            <w:noWrap/>
            <w:vAlign w:val="center"/>
          </w:tcPr>
          <w:p w14:paraId="1272F0B0">
            <w:pPr>
              <w:jc w:val="center"/>
            </w:pPr>
            <w:r>
              <w:rPr>
                <w:rFonts w:ascii="宋体" w:hAnsi="宋体"/>
                <w:sz w:val="18"/>
              </w:rPr>
              <w:t>3次</w:t>
            </w:r>
          </w:p>
        </w:tc>
        <w:tc>
          <w:tcPr>
            <w:tcW w:w="839" w:type="dxa"/>
            <w:tcBorders>
              <w:top w:val="nil"/>
              <w:left w:val="nil"/>
              <w:bottom w:val="single" w:color="auto" w:sz="4" w:space="0"/>
              <w:right w:val="single" w:color="auto" w:sz="4" w:space="0"/>
            </w:tcBorders>
            <w:shd w:val="clear" w:color="auto" w:fill="auto"/>
            <w:noWrap/>
            <w:vAlign w:val="center"/>
          </w:tcPr>
          <w:p w14:paraId="5E885DB6">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07FFDC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937ECB9">
            <w:pPr>
              <w:widowControl/>
              <w:jc w:val="center"/>
              <w:rPr>
                <w:rFonts w:hint="eastAsia" w:ascii="宋体" w:hAnsi="宋体" w:cs="宋体"/>
                <w:kern w:val="0"/>
                <w:sz w:val="18"/>
                <w:szCs w:val="18"/>
              </w:rPr>
            </w:pPr>
          </w:p>
        </w:tc>
      </w:tr>
      <w:tr w14:paraId="38AB5B2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97A48C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345F24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D6D33CF">
            <w:pPr>
              <w:jc w:val="center"/>
            </w:pPr>
            <w:r>
              <w:rPr>
                <w:rFonts w:ascii="宋体" w:hAnsi="宋体"/>
                <w:sz w:val="18"/>
              </w:rPr>
              <w:t>乡河段长会议每月次数</w:t>
            </w:r>
          </w:p>
        </w:tc>
        <w:tc>
          <w:tcPr>
            <w:tcW w:w="1134" w:type="dxa"/>
            <w:tcBorders>
              <w:top w:val="nil"/>
              <w:left w:val="nil"/>
              <w:bottom w:val="single" w:color="auto" w:sz="4" w:space="0"/>
              <w:right w:val="single" w:color="auto" w:sz="4" w:space="0"/>
            </w:tcBorders>
            <w:shd w:val="clear" w:color="auto" w:fill="auto"/>
            <w:noWrap/>
            <w:vAlign w:val="center"/>
          </w:tcPr>
          <w:p w14:paraId="4169831C">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07D7AD21">
            <w:pPr>
              <w:jc w:val="center"/>
            </w:pPr>
            <w:r>
              <w:rPr>
                <w:rFonts w:ascii="宋体" w:hAnsi="宋体"/>
                <w:sz w:val="18"/>
              </w:rPr>
              <w:t>柏杨河乡2023年河长制工作实施方案</w:t>
            </w:r>
          </w:p>
        </w:tc>
        <w:tc>
          <w:tcPr>
            <w:tcW w:w="1004" w:type="dxa"/>
            <w:tcBorders>
              <w:top w:val="nil"/>
              <w:left w:val="nil"/>
              <w:bottom w:val="single" w:color="auto" w:sz="4" w:space="0"/>
              <w:right w:val="single" w:color="auto" w:sz="4" w:space="0"/>
            </w:tcBorders>
            <w:shd w:val="clear" w:color="auto" w:fill="auto"/>
            <w:noWrap/>
            <w:vAlign w:val="center"/>
          </w:tcPr>
          <w:p w14:paraId="78198A4D">
            <w:pPr>
              <w:jc w:val="center"/>
            </w:pPr>
            <w:r>
              <w:rPr>
                <w:rFonts w:ascii="宋体" w:hAnsi="宋体"/>
                <w:sz w:val="18"/>
              </w:rPr>
              <w:t>1次</w:t>
            </w:r>
          </w:p>
        </w:tc>
        <w:tc>
          <w:tcPr>
            <w:tcW w:w="839" w:type="dxa"/>
            <w:tcBorders>
              <w:top w:val="nil"/>
              <w:left w:val="nil"/>
              <w:bottom w:val="single" w:color="auto" w:sz="4" w:space="0"/>
              <w:right w:val="single" w:color="auto" w:sz="4" w:space="0"/>
            </w:tcBorders>
            <w:shd w:val="clear" w:color="auto" w:fill="auto"/>
            <w:noWrap/>
            <w:vAlign w:val="center"/>
          </w:tcPr>
          <w:p w14:paraId="06DB9879">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1750E09">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2A82BF5">
            <w:pPr>
              <w:widowControl/>
              <w:jc w:val="center"/>
              <w:rPr>
                <w:rFonts w:hint="eastAsia" w:ascii="宋体" w:hAnsi="宋体" w:cs="宋体"/>
                <w:kern w:val="0"/>
                <w:sz w:val="18"/>
                <w:szCs w:val="18"/>
              </w:rPr>
            </w:pPr>
          </w:p>
        </w:tc>
      </w:tr>
      <w:tr w14:paraId="654DC743">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20D4B878">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1BB58A25">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1E8169E9">
            <w:pPr>
              <w:jc w:val="center"/>
            </w:pPr>
            <w:r>
              <w:rPr>
                <w:rFonts w:ascii="宋体" w:hAnsi="宋体"/>
                <w:sz w:val="18"/>
              </w:rPr>
              <w:t>100分</w:t>
            </w:r>
          </w:p>
        </w:tc>
        <w:tc>
          <w:tcPr>
            <w:tcW w:w="284" w:type="dxa"/>
            <w:tcBorders>
              <w:top w:val="nil"/>
              <w:left w:val="nil"/>
              <w:bottom w:val="nil"/>
              <w:right w:val="nil"/>
            </w:tcBorders>
            <w:shd w:val="clear" w:color="auto" w:fill="auto"/>
            <w:noWrap/>
            <w:vAlign w:val="center"/>
          </w:tcPr>
          <w:p w14:paraId="65C8D986">
            <w:pPr>
              <w:widowControl/>
              <w:jc w:val="left"/>
              <w:rPr>
                <w:rFonts w:hint="eastAsia" w:ascii="宋体" w:hAnsi="宋体" w:cs="宋体"/>
                <w:kern w:val="0"/>
                <w:sz w:val="18"/>
                <w:szCs w:val="18"/>
              </w:rPr>
            </w:pPr>
          </w:p>
        </w:tc>
      </w:tr>
    </w:tbl>
    <w:p w14:paraId="73E2508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C37EFD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D951E5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F89F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508619A">
            <w:pPr>
              <w:jc w:val="center"/>
            </w:pPr>
            <w:r>
              <w:rPr>
                <w:rFonts w:ascii="宋体" w:hAnsi="宋体"/>
                <w:sz w:val="18"/>
              </w:rPr>
              <w:t>乌财资环【2023】48号2023年农牧区投递员补贴</w:t>
            </w:r>
          </w:p>
        </w:tc>
      </w:tr>
      <w:tr w14:paraId="572ECA9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BA08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7D7DFD7">
            <w:pPr>
              <w:jc w:val="center"/>
            </w:pPr>
            <w:r>
              <w:rPr>
                <w:rFonts w:ascii="宋体" w:hAnsi="宋体"/>
                <w:sz w:val="18"/>
              </w:rPr>
              <w:t>米东区柏杨河哈萨克民族乡人民政府</w:t>
            </w:r>
          </w:p>
        </w:tc>
        <w:tc>
          <w:tcPr>
            <w:tcW w:w="1177" w:type="dxa"/>
            <w:tcBorders>
              <w:top w:val="nil"/>
              <w:left w:val="nil"/>
              <w:bottom w:val="single" w:color="auto" w:sz="4" w:space="0"/>
              <w:right w:val="single" w:color="auto" w:sz="4" w:space="0"/>
            </w:tcBorders>
            <w:shd w:val="clear" w:color="auto" w:fill="auto"/>
            <w:vAlign w:val="center"/>
          </w:tcPr>
          <w:p w14:paraId="5FB317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4A7748A">
            <w:pPr>
              <w:jc w:val="center"/>
            </w:pPr>
            <w:r>
              <w:rPr>
                <w:rFonts w:ascii="宋体" w:hAnsi="宋体"/>
                <w:sz w:val="18"/>
              </w:rPr>
              <w:t>米东区柏杨河乡政府</w:t>
            </w:r>
          </w:p>
        </w:tc>
      </w:tr>
      <w:tr w14:paraId="12ED23E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1FEC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B695A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F9842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F37F9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17AEB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3A022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16445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EC191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5A9B6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8739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C307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F0B504">
            <w:pPr>
              <w:jc w:val="center"/>
            </w:pPr>
            <w:r>
              <w:rPr>
                <w:rFonts w:ascii="宋体" w:hAnsi="宋体"/>
                <w:sz w:val="18"/>
              </w:rPr>
              <w:t>0.24</w:t>
            </w:r>
          </w:p>
        </w:tc>
        <w:tc>
          <w:tcPr>
            <w:tcW w:w="1177" w:type="dxa"/>
            <w:tcBorders>
              <w:top w:val="nil"/>
              <w:left w:val="nil"/>
              <w:bottom w:val="single" w:color="auto" w:sz="4" w:space="0"/>
              <w:right w:val="single" w:color="auto" w:sz="4" w:space="0"/>
            </w:tcBorders>
            <w:shd w:val="clear" w:color="auto" w:fill="auto"/>
            <w:noWrap/>
            <w:vAlign w:val="center"/>
          </w:tcPr>
          <w:p w14:paraId="655D1366">
            <w:pPr>
              <w:jc w:val="center"/>
            </w:pPr>
            <w:r>
              <w:rPr>
                <w:rFonts w:ascii="宋体" w:hAnsi="宋体"/>
                <w:sz w:val="18"/>
              </w:rPr>
              <w:t>0.24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EBE0BB1">
            <w:pPr>
              <w:jc w:val="center"/>
            </w:pPr>
            <w:r>
              <w:rPr>
                <w:rFonts w:ascii="宋体" w:hAnsi="宋体"/>
                <w:sz w:val="18"/>
              </w:rPr>
              <w:t>0.24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BD364C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7CD500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A84D9F1">
            <w:pPr>
              <w:jc w:val="center"/>
            </w:pPr>
            <w:r>
              <w:rPr>
                <w:rFonts w:ascii="宋体" w:hAnsi="宋体"/>
                <w:sz w:val="18"/>
              </w:rPr>
              <w:t>10.00分</w:t>
            </w:r>
          </w:p>
        </w:tc>
      </w:tr>
      <w:tr w14:paraId="03F946B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CB8FC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E5713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8CDE58">
            <w:pPr>
              <w:jc w:val="center"/>
            </w:pPr>
            <w:r>
              <w:rPr>
                <w:rFonts w:ascii="宋体" w:hAnsi="宋体"/>
                <w:sz w:val="18"/>
              </w:rPr>
              <w:t>0.12</w:t>
            </w:r>
          </w:p>
        </w:tc>
        <w:tc>
          <w:tcPr>
            <w:tcW w:w="1177" w:type="dxa"/>
            <w:tcBorders>
              <w:top w:val="nil"/>
              <w:left w:val="nil"/>
              <w:bottom w:val="single" w:color="auto" w:sz="4" w:space="0"/>
              <w:right w:val="single" w:color="auto" w:sz="4" w:space="0"/>
            </w:tcBorders>
            <w:shd w:val="clear" w:color="auto" w:fill="auto"/>
            <w:noWrap/>
            <w:vAlign w:val="center"/>
          </w:tcPr>
          <w:p w14:paraId="303AC098">
            <w:pPr>
              <w:jc w:val="center"/>
            </w:pPr>
            <w:r>
              <w:rPr>
                <w:rFonts w:ascii="宋体" w:hAnsi="宋体"/>
                <w:sz w:val="18"/>
              </w:rPr>
              <w:t>0.12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FB4CE7">
            <w:pPr>
              <w:jc w:val="center"/>
            </w:pPr>
            <w:r>
              <w:rPr>
                <w:rFonts w:ascii="宋体" w:hAnsi="宋体"/>
                <w:sz w:val="18"/>
              </w:rPr>
              <w:t>0.24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BC210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F0F90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31692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5F080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19861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38C9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8A1052">
            <w:pPr>
              <w:jc w:val="center"/>
            </w:pPr>
            <w:r>
              <w:rPr>
                <w:rFonts w:ascii="宋体" w:hAnsi="宋体"/>
                <w:sz w:val="18"/>
              </w:rPr>
              <w:t>0.12</w:t>
            </w:r>
          </w:p>
        </w:tc>
        <w:tc>
          <w:tcPr>
            <w:tcW w:w="1177" w:type="dxa"/>
            <w:tcBorders>
              <w:top w:val="nil"/>
              <w:left w:val="nil"/>
              <w:bottom w:val="single" w:color="auto" w:sz="4" w:space="0"/>
              <w:right w:val="single" w:color="auto" w:sz="4" w:space="0"/>
            </w:tcBorders>
            <w:shd w:val="clear" w:color="auto" w:fill="auto"/>
            <w:noWrap/>
            <w:vAlign w:val="center"/>
          </w:tcPr>
          <w:p w14:paraId="73A0FF3D">
            <w:pPr>
              <w:jc w:val="center"/>
            </w:pPr>
            <w:r>
              <w:rPr>
                <w:rFonts w:ascii="宋体" w:hAnsi="宋体"/>
                <w:sz w:val="18"/>
              </w:rPr>
              <w:t>0.12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26CC51E">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1D2D0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F9235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709E33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1CE992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C4CE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A3AFC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402FD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32A2B6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D7440A">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65A14AB">
            <w:pPr>
              <w:jc w:val="left"/>
            </w:pPr>
            <w:r>
              <w:rPr>
                <w:rFonts w:ascii="宋体" w:hAnsi="宋体"/>
                <w:sz w:val="18"/>
              </w:rPr>
              <w:t>我乡2023年需支付农牧区投递员1人，1200元/人/年，共计补贴资金1200元。补贴资金到位后，我乡及时发放补助。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25" w:type="dxa"/>
            <w:gridSpan w:val="7"/>
            <w:tcBorders>
              <w:top w:val="single" w:color="auto" w:sz="4" w:space="0"/>
              <w:left w:val="nil"/>
              <w:bottom w:val="single" w:color="auto" w:sz="4" w:space="0"/>
              <w:right w:val="single" w:color="000000" w:sz="4" w:space="0"/>
            </w:tcBorders>
            <w:shd w:val="clear" w:color="auto" w:fill="auto"/>
          </w:tcPr>
          <w:p w14:paraId="48D7A037">
            <w:pPr>
              <w:jc w:val="left"/>
            </w:pPr>
            <w:r>
              <w:rPr>
                <w:rFonts w:ascii="宋体" w:hAnsi="宋体"/>
                <w:sz w:val="18"/>
              </w:rPr>
              <w:t>2023年我乡有农牧区投递员1人，1200元/年/人，共计补贴资金1200元，补贴资金补贴到位后，我镇及时发放补助到1名投递员银行卡内，合理解决农牧区投递员报酬问题，切实加强了农牧区投递员建设，积极推进农牧区通邮服务。</w:t>
            </w:r>
          </w:p>
        </w:tc>
      </w:tr>
      <w:tr w14:paraId="26A11F2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CF1A6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B35C0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83661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35B7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CDC77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0F282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766E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78EC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2619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8B0612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E34F76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1041B4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596A1F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ECF9B2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D7F0F2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E749CE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AB57A4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F1FEC2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6B35429">
            <w:pPr>
              <w:widowControl/>
              <w:jc w:val="left"/>
              <w:rPr>
                <w:rFonts w:hint="eastAsia" w:ascii="宋体" w:hAnsi="宋体" w:cs="宋体"/>
                <w:color w:val="000000"/>
                <w:kern w:val="0"/>
                <w:sz w:val="18"/>
                <w:szCs w:val="18"/>
              </w:rPr>
            </w:pPr>
          </w:p>
        </w:tc>
      </w:tr>
      <w:tr w14:paraId="02E59B3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8C71E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3FAAF7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32A4E6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0FC8E0">
            <w:pPr>
              <w:jc w:val="center"/>
            </w:pPr>
            <w:r>
              <w:rPr>
                <w:rFonts w:ascii="宋体" w:hAnsi="宋体"/>
                <w:sz w:val="18"/>
              </w:rPr>
              <w:t>农牧区投递员补助数</w:t>
            </w:r>
          </w:p>
        </w:tc>
        <w:tc>
          <w:tcPr>
            <w:tcW w:w="1177" w:type="dxa"/>
            <w:tcBorders>
              <w:top w:val="nil"/>
              <w:left w:val="nil"/>
              <w:bottom w:val="single" w:color="auto" w:sz="4" w:space="0"/>
              <w:right w:val="single" w:color="auto" w:sz="4" w:space="0"/>
            </w:tcBorders>
            <w:shd w:val="clear" w:color="auto" w:fill="auto"/>
            <w:vAlign w:val="center"/>
          </w:tcPr>
          <w:p w14:paraId="0D99F6F8">
            <w:pPr>
              <w:jc w:val="center"/>
            </w:pPr>
            <w:r>
              <w:rPr>
                <w:rFonts w:ascii="宋体" w:hAnsi="宋体"/>
                <w:sz w:val="18"/>
              </w:rPr>
              <w:t>=1人</w:t>
            </w:r>
          </w:p>
        </w:tc>
        <w:tc>
          <w:tcPr>
            <w:tcW w:w="1177" w:type="dxa"/>
            <w:tcBorders>
              <w:top w:val="nil"/>
              <w:left w:val="nil"/>
              <w:bottom w:val="single" w:color="auto" w:sz="4" w:space="0"/>
              <w:right w:val="single" w:color="auto" w:sz="4" w:space="0"/>
            </w:tcBorders>
            <w:shd w:val="clear" w:color="auto" w:fill="auto"/>
            <w:vAlign w:val="center"/>
          </w:tcPr>
          <w:p w14:paraId="66A44768">
            <w:pPr>
              <w:jc w:val="center"/>
            </w:pPr>
            <w:r>
              <w:rPr>
                <w:rFonts w:ascii="宋体" w:hAnsi="宋体"/>
                <w:sz w:val="18"/>
              </w:rPr>
              <w:t>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544D4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25773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5BF57E">
            <w:pPr>
              <w:jc w:val="center"/>
            </w:pPr>
          </w:p>
        </w:tc>
      </w:tr>
      <w:tr w14:paraId="196324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7F9E6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EC11E8">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7277EF3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21B798">
            <w:pPr>
              <w:jc w:val="center"/>
            </w:pPr>
            <w:r>
              <w:rPr>
                <w:rFonts w:ascii="宋体" w:hAnsi="宋体"/>
                <w:sz w:val="18"/>
              </w:rPr>
              <w:t>职工队伍稳定性</w:t>
            </w:r>
          </w:p>
        </w:tc>
        <w:tc>
          <w:tcPr>
            <w:tcW w:w="1177" w:type="dxa"/>
            <w:tcBorders>
              <w:top w:val="nil"/>
              <w:left w:val="nil"/>
              <w:bottom w:val="single" w:color="auto" w:sz="4" w:space="0"/>
              <w:right w:val="single" w:color="auto" w:sz="4" w:space="0"/>
            </w:tcBorders>
            <w:shd w:val="clear" w:color="auto" w:fill="auto"/>
            <w:vAlign w:val="center"/>
          </w:tcPr>
          <w:p w14:paraId="6E8D4A83">
            <w:pPr>
              <w:jc w:val="center"/>
            </w:pPr>
            <w:r>
              <w:rPr>
                <w:rFonts w:ascii="宋体" w:hAnsi="宋体"/>
                <w:sz w:val="18"/>
              </w:rPr>
              <w:t>明显提升</w:t>
            </w:r>
          </w:p>
        </w:tc>
        <w:tc>
          <w:tcPr>
            <w:tcW w:w="1177" w:type="dxa"/>
            <w:tcBorders>
              <w:top w:val="nil"/>
              <w:left w:val="nil"/>
              <w:bottom w:val="single" w:color="auto" w:sz="4" w:space="0"/>
              <w:right w:val="single" w:color="auto" w:sz="4" w:space="0"/>
            </w:tcBorders>
            <w:shd w:val="clear" w:color="auto" w:fill="auto"/>
            <w:vAlign w:val="center"/>
          </w:tcPr>
          <w:p w14:paraId="3D706D04">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12FBC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53075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4E92D1">
            <w:pPr>
              <w:jc w:val="center"/>
            </w:pPr>
          </w:p>
        </w:tc>
      </w:tr>
      <w:tr w14:paraId="45E7BD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7D4FA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16454E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11A59C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F390D8">
            <w:pPr>
              <w:jc w:val="center"/>
            </w:pPr>
            <w:r>
              <w:rPr>
                <w:rFonts w:ascii="宋体" w:hAnsi="宋体"/>
                <w:sz w:val="18"/>
              </w:rPr>
              <w:t>资金使用合格率</w:t>
            </w:r>
          </w:p>
        </w:tc>
        <w:tc>
          <w:tcPr>
            <w:tcW w:w="1177" w:type="dxa"/>
            <w:tcBorders>
              <w:top w:val="nil"/>
              <w:left w:val="nil"/>
              <w:bottom w:val="single" w:color="auto" w:sz="4" w:space="0"/>
              <w:right w:val="single" w:color="auto" w:sz="4" w:space="0"/>
            </w:tcBorders>
            <w:shd w:val="clear" w:color="auto" w:fill="auto"/>
            <w:vAlign w:val="center"/>
          </w:tcPr>
          <w:p w14:paraId="7D088EF9">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C61E4DC">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95B63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7D5F1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B4A9EC">
            <w:pPr>
              <w:jc w:val="center"/>
            </w:pPr>
          </w:p>
        </w:tc>
      </w:tr>
      <w:tr w14:paraId="377857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4B2D1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0D1DF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42CA4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568E8F">
            <w:pPr>
              <w:jc w:val="center"/>
            </w:pPr>
            <w:r>
              <w:rPr>
                <w:rFonts w:ascii="宋体" w:hAnsi="宋体"/>
                <w:sz w:val="18"/>
              </w:rPr>
              <w:t>补贴按期发放率</w:t>
            </w:r>
          </w:p>
        </w:tc>
        <w:tc>
          <w:tcPr>
            <w:tcW w:w="1177" w:type="dxa"/>
            <w:tcBorders>
              <w:top w:val="nil"/>
              <w:left w:val="nil"/>
              <w:bottom w:val="single" w:color="auto" w:sz="4" w:space="0"/>
              <w:right w:val="single" w:color="auto" w:sz="4" w:space="0"/>
            </w:tcBorders>
            <w:shd w:val="clear" w:color="auto" w:fill="auto"/>
            <w:vAlign w:val="center"/>
          </w:tcPr>
          <w:p w14:paraId="5FA7E774">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7672F5F">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912E5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ACCAB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E92D37">
            <w:pPr>
              <w:jc w:val="center"/>
            </w:pPr>
          </w:p>
        </w:tc>
      </w:tr>
      <w:tr w14:paraId="417B27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D2A4E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20CD80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1C97C6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B599A2">
            <w:pPr>
              <w:jc w:val="center"/>
            </w:pPr>
            <w:r>
              <w:rPr>
                <w:rFonts w:ascii="宋体" w:hAnsi="宋体"/>
                <w:sz w:val="18"/>
              </w:rPr>
              <w:t>人员每月补贴金额</w:t>
            </w:r>
          </w:p>
        </w:tc>
        <w:tc>
          <w:tcPr>
            <w:tcW w:w="1177" w:type="dxa"/>
            <w:tcBorders>
              <w:top w:val="nil"/>
              <w:left w:val="nil"/>
              <w:bottom w:val="single" w:color="auto" w:sz="4" w:space="0"/>
              <w:right w:val="single" w:color="auto" w:sz="4" w:space="0"/>
            </w:tcBorders>
            <w:shd w:val="clear" w:color="auto" w:fill="auto"/>
            <w:vAlign w:val="center"/>
          </w:tcPr>
          <w:p w14:paraId="46D3DA7B">
            <w:pPr>
              <w:jc w:val="center"/>
            </w:pPr>
            <w:r>
              <w:rPr>
                <w:rFonts w:ascii="宋体" w:hAnsi="宋体"/>
                <w:sz w:val="18"/>
              </w:rPr>
              <w:t>=100元</w:t>
            </w:r>
          </w:p>
        </w:tc>
        <w:tc>
          <w:tcPr>
            <w:tcW w:w="1177" w:type="dxa"/>
            <w:tcBorders>
              <w:top w:val="nil"/>
              <w:left w:val="nil"/>
              <w:bottom w:val="single" w:color="auto" w:sz="4" w:space="0"/>
              <w:right w:val="single" w:color="auto" w:sz="4" w:space="0"/>
            </w:tcBorders>
            <w:shd w:val="clear" w:color="auto" w:fill="auto"/>
            <w:vAlign w:val="center"/>
          </w:tcPr>
          <w:p w14:paraId="487179A0">
            <w:pPr>
              <w:jc w:val="center"/>
            </w:pPr>
            <w:r>
              <w:rPr>
                <w:rFonts w:ascii="宋体" w:hAnsi="宋体"/>
                <w:sz w:val="18"/>
              </w:rPr>
              <w:t>100元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53B9E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0FB76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FB8DCA">
            <w:pPr>
              <w:jc w:val="center"/>
            </w:pPr>
          </w:p>
        </w:tc>
      </w:tr>
      <w:tr w14:paraId="1DA5CB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ADA8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D19DD7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452795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051D1F">
            <w:pPr>
              <w:jc w:val="center"/>
            </w:pPr>
            <w:r>
              <w:rPr>
                <w:rFonts w:ascii="宋体" w:hAnsi="宋体"/>
                <w:sz w:val="18"/>
              </w:rPr>
              <w:t>提高农牧区邮政服务能力</w:t>
            </w:r>
          </w:p>
        </w:tc>
        <w:tc>
          <w:tcPr>
            <w:tcW w:w="1177" w:type="dxa"/>
            <w:tcBorders>
              <w:top w:val="nil"/>
              <w:left w:val="nil"/>
              <w:bottom w:val="single" w:color="auto" w:sz="4" w:space="0"/>
              <w:right w:val="single" w:color="auto" w:sz="4" w:space="0"/>
            </w:tcBorders>
            <w:shd w:val="clear" w:color="auto" w:fill="auto"/>
            <w:vAlign w:val="center"/>
          </w:tcPr>
          <w:p w14:paraId="3E3B2267">
            <w:pPr>
              <w:jc w:val="center"/>
            </w:pPr>
            <w:r>
              <w:rPr>
                <w:rFonts w:ascii="宋体" w:hAnsi="宋体"/>
                <w:sz w:val="18"/>
              </w:rPr>
              <w:t>明显提高</w:t>
            </w:r>
          </w:p>
        </w:tc>
        <w:tc>
          <w:tcPr>
            <w:tcW w:w="1177" w:type="dxa"/>
            <w:tcBorders>
              <w:top w:val="nil"/>
              <w:left w:val="nil"/>
              <w:bottom w:val="single" w:color="auto" w:sz="4" w:space="0"/>
              <w:right w:val="single" w:color="auto" w:sz="4" w:space="0"/>
            </w:tcBorders>
            <w:shd w:val="clear" w:color="auto" w:fill="auto"/>
            <w:vAlign w:val="center"/>
          </w:tcPr>
          <w:p w14:paraId="7DA391DF">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200AA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457F3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2E0C97">
            <w:pPr>
              <w:jc w:val="center"/>
            </w:pPr>
          </w:p>
        </w:tc>
      </w:tr>
      <w:tr w14:paraId="5B2FF6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8C4EF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DBDF86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BEE5FF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E3EEC1">
            <w:pPr>
              <w:jc w:val="center"/>
            </w:pPr>
            <w:r>
              <w:rPr>
                <w:rFonts w:ascii="宋体" w:hAnsi="宋体"/>
                <w:sz w:val="18"/>
              </w:rPr>
              <w:t>农牧区投递员满意度</w:t>
            </w:r>
          </w:p>
        </w:tc>
        <w:tc>
          <w:tcPr>
            <w:tcW w:w="1177" w:type="dxa"/>
            <w:tcBorders>
              <w:top w:val="nil"/>
              <w:left w:val="nil"/>
              <w:bottom w:val="single" w:color="auto" w:sz="4" w:space="0"/>
              <w:right w:val="single" w:color="auto" w:sz="4" w:space="0"/>
            </w:tcBorders>
            <w:shd w:val="clear" w:color="auto" w:fill="auto"/>
            <w:vAlign w:val="center"/>
          </w:tcPr>
          <w:p w14:paraId="6D4B3728">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798FD996">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9B4A9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89BA3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B948F0">
            <w:pPr>
              <w:jc w:val="center"/>
            </w:pPr>
          </w:p>
        </w:tc>
      </w:tr>
      <w:tr w14:paraId="4E3AB60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A04182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A1E868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01BA908">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307664">
            <w:pPr>
              <w:jc w:val="center"/>
            </w:pPr>
          </w:p>
        </w:tc>
      </w:tr>
      <w:bookmarkEnd w:id="30"/>
    </w:tbl>
    <w:p w14:paraId="3D66840F">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0E518E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83ADD7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F92D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553BB07">
            <w:pPr>
              <w:jc w:val="center"/>
            </w:pPr>
            <w:r>
              <w:rPr>
                <w:rFonts w:ascii="宋体" w:hAnsi="宋体"/>
                <w:sz w:val="18"/>
              </w:rPr>
              <w:t>村级支出</w:t>
            </w:r>
          </w:p>
        </w:tc>
      </w:tr>
      <w:tr w14:paraId="3647B2A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4F54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F621D03">
            <w:pPr>
              <w:jc w:val="center"/>
            </w:pPr>
            <w:r>
              <w:rPr>
                <w:rFonts w:ascii="宋体" w:hAnsi="宋体"/>
                <w:sz w:val="18"/>
              </w:rPr>
              <w:t>乌鲁木齐市米东区柏杨河哈萨克民族乡人民政府</w:t>
            </w:r>
          </w:p>
        </w:tc>
        <w:tc>
          <w:tcPr>
            <w:tcW w:w="1177" w:type="dxa"/>
            <w:tcBorders>
              <w:top w:val="nil"/>
              <w:left w:val="nil"/>
              <w:bottom w:val="single" w:color="auto" w:sz="4" w:space="0"/>
              <w:right w:val="single" w:color="auto" w:sz="4" w:space="0"/>
            </w:tcBorders>
            <w:shd w:val="clear" w:color="auto" w:fill="auto"/>
            <w:vAlign w:val="center"/>
          </w:tcPr>
          <w:p w14:paraId="61FFCC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D51CD8F">
            <w:pPr>
              <w:jc w:val="center"/>
            </w:pPr>
            <w:r>
              <w:rPr>
                <w:rFonts w:ascii="宋体" w:hAnsi="宋体"/>
                <w:sz w:val="18"/>
              </w:rPr>
              <w:t>米东区柏杨河乡政府</w:t>
            </w:r>
          </w:p>
        </w:tc>
      </w:tr>
      <w:tr w14:paraId="2A87717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9C8F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39E02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35899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8FAF8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F2A62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8191E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6BEA9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B79CB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4981C5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18658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FBC5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D7C14B">
            <w:pPr>
              <w:jc w:val="center"/>
            </w:pPr>
            <w:r>
              <w:rPr>
                <w:rFonts w:ascii="宋体" w:hAnsi="宋体"/>
                <w:sz w:val="18"/>
              </w:rPr>
              <w:t>66.00</w:t>
            </w:r>
          </w:p>
        </w:tc>
        <w:tc>
          <w:tcPr>
            <w:tcW w:w="1177" w:type="dxa"/>
            <w:tcBorders>
              <w:top w:val="nil"/>
              <w:left w:val="nil"/>
              <w:bottom w:val="single" w:color="auto" w:sz="4" w:space="0"/>
              <w:right w:val="single" w:color="auto" w:sz="4" w:space="0"/>
            </w:tcBorders>
            <w:shd w:val="clear" w:color="auto" w:fill="auto"/>
            <w:noWrap/>
            <w:vAlign w:val="center"/>
          </w:tcPr>
          <w:p w14:paraId="701F1DC1">
            <w:pPr>
              <w:jc w:val="center"/>
            </w:pPr>
            <w:r>
              <w:rPr>
                <w:rFonts w:ascii="宋体" w:hAnsi="宋体"/>
                <w:sz w:val="18"/>
              </w:rPr>
              <w:t>66.00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4C56834">
            <w:pPr>
              <w:jc w:val="center"/>
            </w:pPr>
            <w:r>
              <w:rPr>
                <w:rFonts w:ascii="宋体" w:hAnsi="宋体"/>
                <w:sz w:val="18"/>
              </w:rPr>
              <w:t>37.80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43B7845">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81BFC5">
            <w:pPr>
              <w:jc w:val="center"/>
            </w:pPr>
            <w:r>
              <w:rPr>
                <w:rFonts w:ascii="宋体" w:hAnsi="宋体"/>
                <w:sz w:val="18"/>
              </w:rPr>
              <w:t>57.27%</w:t>
            </w:r>
          </w:p>
        </w:tc>
        <w:tc>
          <w:tcPr>
            <w:tcW w:w="1275" w:type="dxa"/>
            <w:tcBorders>
              <w:top w:val="nil"/>
              <w:left w:val="nil"/>
              <w:bottom w:val="single" w:color="auto" w:sz="4" w:space="0"/>
              <w:right w:val="single" w:color="auto" w:sz="4" w:space="0"/>
            </w:tcBorders>
            <w:shd w:val="clear" w:color="auto" w:fill="auto"/>
            <w:vAlign w:val="center"/>
          </w:tcPr>
          <w:p w14:paraId="74A68DBA">
            <w:pPr>
              <w:jc w:val="center"/>
            </w:pPr>
            <w:r>
              <w:rPr>
                <w:rFonts w:ascii="宋体" w:hAnsi="宋体"/>
                <w:sz w:val="18"/>
              </w:rPr>
              <w:t>5.73分</w:t>
            </w:r>
          </w:p>
        </w:tc>
      </w:tr>
      <w:tr w14:paraId="06B454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852F7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7AE8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47DB17">
            <w:pPr>
              <w:jc w:val="center"/>
            </w:pPr>
            <w:r>
              <w:rPr>
                <w:rFonts w:ascii="宋体" w:hAnsi="宋体"/>
                <w:sz w:val="18"/>
              </w:rPr>
              <w:t>66.00</w:t>
            </w:r>
          </w:p>
        </w:tc>
        <w:tc>
          <w:tcPr>
            <w:tcW w:w="1177" w:type="dxa"/>
            <w:tcBorders>
              <w:top w:val="nil"/>
              <w:left w:val="nil"/>
              <w:bottom w:val="single" w:color="auto" w:sz="4" w:space="0"/>
              <w:right w:val="single" w:color="auto" w:sz="4" w:space="0"/>
            </w:tcBorders>
            <w:shd w:val="clear" w:color="auto" w:fill="auto"/>
            <w:noWrap/>
            <w:vAlign w:val="center"/>
          </w:tcPr>
          <w:p w14:paraId="0FACE457">
            <w:pPr>
              <w:jc w:val="center"/>
            </w:pPr>
            <w:r>
              <w:rPr>
                <w:rFonts w:ascii="宋体" w:hAnsi="宋体"/>
                <w:sz w:val="18"/>
              </w:rPr>
              <w:t>66.00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6C08F21">
            <w:pPr>
              <w:jc w:val="center"/>
            </w:pPr>
            <w:r>
              <w:rPr>
                <w:rFonts w:ascii="宋体" w:hAnsi="宋体"/>
                <w:sz w:val="18"/>
              </w:rPr>
              <w:t>37.80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43FE7A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2A736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3D753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2D516E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10E5E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4FBF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69FF2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196D63E4">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49DDF92">
            <w:pPr>
              <w:jc w:val="center"/>
            </w:pPr>
            <w:r>
              <w:rPr>
                <w:rFonts w:ascii="宋体" w:hAnsi="宋体"/>
                <w:sz w:val="18"/>
              </w:rPr>
              <w:t>0.0</w:t>
            </w:r>
            <w:r>
              <w:rPr>
                <w:rFonts w:hint="eastAsia" w:ascii="宋体" w:hAnsi="宋体"/>
                <w:sz w:val="18"/>
              </w:rPr>
              <w:t>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796B1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B1C482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70841E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51CB4C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DD84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42D12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01949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7888A9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95038E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5A373AD">
            <w:pPr>
              <w:jc w:val="left"/>
            </w:pPr>
            <w:r>
              <w:rPr>
                <w:rFonts w:ascii="宋体" w:hAnsi="宋体"/>
                <w:sz w:val="18"/>
              </w:rPr>
              <w:t>保障按时拨付我乡每村每年11万元的村级支出，保障村组织正常运转，工作能正常开展，提高工作效率，提高基层党组织服务群众的能力。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6A995616">
            <w:pPr>
              <w:jc w:val="left"/>
            </w:pPr>
            <w:r>
              <w:rPr>
                <w:rFonts w:ascii="宋体" w:hAnsi="宋体"/>
                <w:sz w:val="18"/>
              </w:rPr>
              <w:t>柏杨河哈萨克民族乡人民政府有6个村，预算每村每年11万元，共计66万元村级工作经费，因财政资金未能及时足额拨付，实际拨付37.8万元，只能基本维持村级组织运转。</w:t>
            </w:r>
          </w:p>
        </w:tc>
      </w:tr>
      <w:tr w14:paraId="4B425D9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38D13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ABE09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7828F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D134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2C8BF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A6B88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5BE0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C94A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3E4D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4AB54F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C0D5EA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7F5A6C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60C064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659671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ED40DD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8246F3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8CA5C1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63C3F3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051FEDD">
            <w:pPr>
              <w:widowControl/>
              <w:jc w:val="left"/>
              <w:rPr>
                <w:rFonts w:hint="eastAsia" w:ascii="宋体" w:hAnsi="宋体" w:cs="宋体"/>
                <w:color w:val="000000"/>
                <w:kern w:val="0"/>
                <w:sz w:val="18"/>
                <w:szCs w:val="18"/>
              </w:rPr>
            </w:pPr>
          </w:p>
        </w:tc>
      </w:tr>
      <w:tr w14:paraId="24129B1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E7DBD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8EA1CB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85CE00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0AC820">
            <w:pPr>
              <w:jc w:val="center"/>
            </w:pPr>
            <w:r>
              <w:rPr>
                <w:rFonts w:ascii="宋体" w:hAnsi="宋体"/>
                <w:sz w:val="18"/>
              </w:rPr>
              <w:t>行政村数</w:t>
            </w:r>
          </w:p>
        </w:tc>
        <w:tc>
          <w:tcPr>
            <w:tcW w:w="1177" w:type="dxa"/>
            <w:tcBorders>
              <w:top w:val="nil"/>
              <w:left w:val="nil"/>
              <w:bottom w:val="single" w:color="auto" w:sz="4" w:space="0"/>
              <w:right w:val="single" w:color="auto" w:sz="4" w:space="0"/>
            </w:tcBorders>
            <w:shd w:val="clear" w:color="auto" w:fill="auto"/>
            <w:vAlign w:val="center"/>
          </w:tcPr>
          <w:p w14:paraId="2EAC6930">
            <w:pPr>
              <w:jc w:val="center"/>
            </w:pPr>
            <w:r>
              <w:rPr>
                <w:rFonts w:ascii="宋体" w:hAnsi="宋体"/>
                <w:sz w:val="18"/>
              </w:rPr>
              <w:t>=6个</w:t>
            </w:r>
          </w:p>
        </w:tc>
        <w:tc>
          <w:tcPr>
            <w:tcW w:w="1177" w:type="dxa"/>
            <w:tcBorders>
              <w:top w:val="nil"/>
              <w:left w:val="nil"/>
              <w:bottom w:val="single" w:color="auto" w:sz="4" w:space="0"/>
              <w:right w:val="single" w:color="auto" w:sz="4" w:space="0"/>
            </w:tcBorders>
            <w:shd w:val="clear" w:color="auto" w:fill="auto"/>
            <w:vAlign w:val="center"/>
          </w:tcPr>
          <w:p w14:paraId="274C3021">
            <w:pPr>
              <w:jc w:val="center"/>
            </w:pPr>
            <w:r>
              <w:rPr>
                <w:rFonts w:ascii="宋体" w:hAnsi="宋体"/>
                <w:sz w:val="18"/>
              </w:rPr>
              <w:t>6个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DF25B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B70BD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4E0495">
            <w:pPr>
              <w:jc w:val="center"/>
            </w:pPr>
          </w:p>
        </w:tc>
      </w:tr>
      <w:tr w14:paraId="7AF692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D404A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C3C2A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0F52D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EACC2B">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69A745F7">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5134055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BE016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48664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883217">
            <w:pPr>
              <w:jc w:val="center"/>
            </w:pPr>
          </w:p>
        </w:tc>
      </w:tr>
      <w:tr w14:paraId="543EAD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4E7D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3A239C">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5774E5B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9EB491">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7581F2E4">
            <w:pPr>
              <w:jc w:val="center"/>
            </w:pPr>
            <w:r>
              <w:rPr>
                <w:rFonts w:ascii="宋体" w:hAnsi="宋体"/>
                <w:sz w:val="18"/>
              </w:rPr>
              <w:t>=12个月</w:t>
            </w:r>
          </w:p>
        </w:tc>
        <w:tc>
          <w:tcPr>
            <w:tcW w:w="1177" w:type="dxa"/>
            <w:tcBorders>
              <w:top w:val="nil"/>
              <w:left w:val="nil"/>
              <w:bottom w:val="single" w:color="auto" w:sz="4" w:space="0"/>
              <w:right w:val="single" w:color="auto" w:sz="4" w:space="0"/>
            </w:tcBorders>
            <w:shd w:val="clear" w:color="auto" w:fill="auto"/>
            <w:vAlign w:val="center"/>
          </w:tcPr>
          <w:p w14:paraId="15501B54">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351AC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5196D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149FAF">
            <w:pPr>
              <w:jc w:val="center"/>
            </w:pPr>
          </w:p>
        </w:tc>
      </w:tr>
      <w:tr w14:paraId="6C1B93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9018E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18E5E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838DCC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79D265">
            <w:pPr>
              <w:jc w:val="center"/>
            </w:pPr>
            <w:r>
              <w:rPr>
                <w:rFonts w:ascii="宋体" w:hAnsi="宋体"/>
                <w:sz w:val="18"/>
              </w:rPr>
              <w:t>资金到位及时率</w:t>
            </w:r>
          </w:p>
        </w:tc>
        <w:tc>
          <w:tcPr>
            <w:tcW w:w="1177" w:type="dxa"/>
            <w:tcBorders>
              <w:top w:val="nil"/>
              <w:left w:val="nil"/>
              <w:bottom w:val="single" w:color="auto" w:sz="4" w:space="0"/>
              <w:right w:val="single" w:color="auto" w:sz="4" w:space="0"/>
            </w:tcBorders>
            <w:shd w:val="clear" w:color="auto" w:fill="auto"/>
            <w:vAlign w:val="center"/>
          </w:tcPr>
          <w:p w14:paraId="74895750">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53E7842F">
            <w:pPr>
              <w:jc w:val="center"/>
            </w:pPr>
            <w:r>
              <w:rPr>
                <w:rFonts w:ascii="宋体" w:hAnsi="宋体"/>
                <w:sz w:val="18"/>
              </w:rPr>
              <w:t>57.3%</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C6DD1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1D5370">
            <w:pPr>
              <w:jc w:val="center"/>
            </w:pPr>
            <w:r>
              <w:rPr>
                <w:rFonts w:ascii="宋体" w:hAnsi="宋体"/>
                <w:sz w:val="18"/>
              </w:rPr>
              <w:t>6.03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16C8A1">
            <w:pPr>
              <w:jc w:val="center"/>
            </w:pPr>
            <w:r>
              <w:rPr>
                <w:rFonts w:ascii="宋体" w:hAnsi="宋体"/>
                <w:sz w:val="18"/>
              </w:rPr>
              <w:t>财政资金未能及时足额拨付</w:t>
            </w:r>
          </w:p>
        </w:tc>
      </w:tr>
      <w:tr w14:paraId="611F95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ED7C2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C1E0E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DDCEE6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B3D1DF">
            <w:pPr>
              <w:jc w:val="center"/>
            </w:pPr>
            <w:r>
              <w:rPr>
                <w:rFonts w:ascii="宋体" w:hAnsi="宋体"/>
                <w:sz w:val="18"/>
              </w:rPr>
              <w:t>村级支出每村每年金额</w:t>
            </w:r>
          </w:p>
        </w:tc>
        <w:tc>
          <w:tcPr>
            <w:tcW w:w="1177" w:type="dxa"/>
            <w:tcBorders>
              <w:top w:val="nil"/>
              <w:left w:val="nil"/>
              <w:bottom w:val="single" w:color="auto" w:sz="4" w:space="0"/>
              <w:right w:val="single" w:color="auto" w:sz="4" w:space="0"/>
            </w:tcBorders>
            <w:shd w:val="clear" w:color="auto" w:fill="auto"/>
            <w:vAlign w:val="center"/>
          </w:tcPr>
          <w:p w14:paraId="00871EAC">
            <w:pPr>
              <w:jc w:val="center"/>
            </w:pPr>
            <w:r>
              <w:rPr>
                <w:rFonts w:ascii="宋体" w:hAnsi="宋体"/>
                <w:sz w:val="18"/>
              </w:rPr>
              <w:t>=11万元</w:t>
            </w:r>
          </w:p>
        </w:tc>
        <w:tc>
          <w:tcPr>
            <w:tcW w:w="1177" w:type="dxa"/>
            <w:tcBorders>
              <w:top w:val="nil"/>
              <w:left w:val="nil"/>
              <w:bottom w:val="single" w:color="auto" w:sz="4" w:space="0"/>
              <w:right w:val="single" w:color="auto" w:sz="4" w:space="0"/>
            </w:tcBorders>
            <w:shd w:val="clear" w:color="auto" w:fill="auto"/>
            <w:vAlign w:val="center"/>
          </w:tcPr>
          <w:p w14:paraId="5AB06AF9">
            <w:pPr>
              <w:jc w:val="center"/>
            </w:pPr>
            <w:r>
              <w:rPr>
                <w:rFonts w:ascii="宋体" w:hAnsi="宋体"/>
                <w:sz w:val="18"/>
              </w:rPr>
              <w:t>6.3万元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04BF0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215C69">
            <w:pPr>
              <w:jc w:val="center"/>
            </w:pPr>
            <w:r>
              <w:rPr>
                <w:rFonts w:ascii="宋体" w:hAnsi="宋体"/>
                <w:sz w:val="18"/>
              </w:rPr>
              <w:t>11.46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E3256C">
            <w:pPr>
              <w:jc w:val="center"/>
            </w:pPr>
            <w:r>
              <w:rPr>
                <w:rFonts w:ascii="宋体" w:hAnsi="宋体"/>
                <w:sz w:val="18"/>
              </w:rPr>
              <w:t>财政资金未能及时足额拨付</w:t>
            </w:r>
          </w:p>
        </w:tc>
      </w:tr>
      <w:tr w14:paraId="6E6633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A5CE1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AE0354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669A8D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7FCA3F">
            <w:pPr>
              <w:jc w:val="center"/>
            </w:pPr>
            <w:r>
              <w:rPr>
                <w:rFonts w:ascii="宋体" w:hAnsi="宋体"/>
                <w:sz w:val="18"/>
              </w:rPr>
              <w:t>保障村级运行</w:t>
            </w:r>
          </w:p>
        </w:tc>
        <w:tc>
          <w:tcPr>
            <w:tcW w:w="1177" w:type="dxa"/>
            <w:tcBorders>
              <w:top w:val="nil"/>
              <w:left w:val="nil"/>
              <w:bottom w:val="single" w:color="auto" w:sz="4" w:space="0"/>
              <w:right w:val="single" w:color="auto" w:sz="4" w:space="0"/>
            </w:tcBorders>
            <w:shd w:val="clear" w:color="auto" w:fill="auto"/>
            <w:vAlign w:val="center"/>
          </w:tcPr>
          <w:p w14:paraId="077EDA49">
            <w:pPr>
              <w:jc w:val="center"/>
            </w:pPr>
            <w:r>
              <w:rPr>
                <w:rFonts w:ascii="宋体" w:hAnsi="宋体"/>
                <w:sz w:val="18"/>
              </w:rPr>
              <w:t>持续保障</w:t>
            </w:r>
          </w:p>
        </w:tc>
        <w:tc>
          <w:tcPr>
            <w:tcW w:w="1177" w:type="dxa"/>
            <w:tcBorders>
              <w:top w:val="nil"/>
              <w:left w:val="nil"/>
              <w:bottom w:val="single" w:color="auto" w:sz="4" w:space="0"/>
              <w:right w:val="single" w:color="auto" w:sz="4" w:space="0"/>
            </w:tcBorders>
            <w:shd w:val="clear" w:color="auto" w:fill="auto"/>
            <w:vAlign w:val="center"/>
          </w:tcPr>
          <w:p w14:paraId="2888DEB0">
            <w:pPr>
              <w:jc w:val="center"/>
            </w:pPr>
            <w:r>
              <w:rPr>
                <w:rFonts w:ascii="宋体" w:hAnsi="宋体"/>
                <w:sz w:val="18"/>
              </w:rPr>
              <w:t>基本达到预期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D3DA4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6AD068">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C9F91A">
            <w:pPr>
              <w:jc w:val="center"/>
            </w:pPr>
            <w:r>
              <w:rPr>
                <w:rFonts w:ascii="宋体" w:hAnsi="宋体"/>
                <w:sz w:val="18"/>
              </w:rPr>
              <w:t>财政资金未能及时足额拨付</w:t>
            </w:r>
          </w:p>
        </w:tc>
      </w:tr>
      <w:tr w14:paraId="531CDB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D9A73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5F1303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0D3872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F47647">
            <w:pPr>
              <w:jc w:val="center"/>
            </w:pPr>
            <w:r>
              <w:rPr>
                <w:rFonts w:ascii="宋体" w:hAnsi="宋体"/>
                <w:sz w:val="18"/>
              </w:rPr>
              <w:t>村级组织工作人员满意度</w:t>
            </w:r>
          </w:p>
        </w:tc>
        <w:tc>
          <w:tcPr>
            <w:tcW w:w="1177" w:type="dxa"/>
            <w:tcBorders>
              <w:top w:val="nil"/>
              <w:left w:val="nil"/>
              <w:bottom w:val="single" w:color="auto" w:sz="4" w:space="0"/>
              <w:right w:val="single" w:color="auto" w:sz="4" w:space="0"/>
            </w:tcBorders>
            <w:shd w:val="clear" w:color="auto" w:fill="auto"/>
            <w:vAlign w:val="center"/>
          </w:tcPr>
          <w:p w14:paraId="766A417B">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655EF4A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DCBD4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571ED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481A10">
            <w:pPr>
              <w:jc w:val="center"/>
            </w:pPr>
          </w:p>
        </w:tc>
      </w:tr>
      <w:tr w14:paraId="4E0BE3A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52A7CA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9FDF42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E8D61CD">
            <w:pPr>
              <w:jc w:val="center"/>
            </w:pPr>
            <w:r>
              <w:rPr>
                <w:rFonts w:ascii="宋体" w:hAnsi="宋体"/>
                <w:sz w:val="18"/>
              </w:rPr>
              <w:t>78.22分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EDCE30">
            <w:pPr>
              <w:jc w:val="center"/>
            </w:pPr>
          </w:p>
        </w:tc>
      </w:tr>
    </w:tbl>
    <w:p w14:paraId="392A2E5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240152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9D604B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7720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825B678">
            <w:pPr>
              <w:jc w:val="center"/>
            </w:pPr>
            <w:r>
              <w:rPr>
                <w:rFonts w:ascii="宋体" w:hAnsi="宋体"/>
                <w:sz w:val="18"/>
              </w:rPr>
              <w:t>疫情防控支出</w:t>
            </w:r>
          </w:p>
        </w:tc>
      </w:tr>
      <w:tr w14:paraId="0FEC364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80BD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FE42EC5">
            <w:pPr>
              <w:jc w:val="center"/>
            </w:pPr>
            <w:r>
              <w:rPr>
                <w:rFonts w:ascii="宋体" w:hAnsi="宋体"/>
                <w:sz w:val="18"/>
              </w:rPr>
              <w:t>乌鲁木齐市米东区柏杨河哈萨克民族乡人民政府</w:t>
            </w:r>
          </w:p>
        </w:tc>
        <w:tc>
          <w:tcPr>
            <w:tcW w:w="1177" w:type="dxa"/>
            <w:tcBorders>
              <w:top w:val="nil"/>
              <w:left w:val="nil"/>
              <w:bottom w:val="single" w:color="auto" w:sz="4" w:space="0"/>
              <w:right w:val="single" w:color="auto" w:sz="4" w:space="0"/>
            </w:tcBorders>
            <w:shd w:val="clear" w:color="auto" w:fill="auto"/>
            <w:vAlign w:val="center"/>
          </w:tcPr>
          <w:p w14:paraId="7FE313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5740B8F">
            <w:pPr>
              <w:jc w:val="center"/>
            </w:pPr>
            <w:r>
              <w:rPr>
                <w:rFonts w:ascii="宋体" w:hAnsi="宋体"/>
                <w:sz w:val="18"/>
              </w:rPr>
              <w:t>米东区柏杨河乡政府</w:t>
            </w:r>
          </w:p>
        </w:tc>
      </w:tr>
      <w:tr w14:paraId="04E3DCE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EC21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4CE438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80181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CBF2A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CC6C0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FD340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6528E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82880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4401BE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9D414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DD70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337018">
            <w:pPr>
              <w:jc w:val="center"/>
            </w:pPr>
            <w:r>
              <w:rPr>
                <w:rFonts w:ascii="宋体" w:hAnsi="宋体"/>
                <w:sz w:val="18"/>
              </w:rPr>
              <w:t>43.31</w:t>
            </w:r>
          </w:p>
        </w:tc>
        <w:tc>
          <w:tcPr>
            <w:tcW w:w="1177" w:type="dxa"/>
            <w:tcBorders>
              <w:top w:val="nil"/>
              <w:left w:val="nil"/>
              <w:bottom w:val="single" w:color="auto" w:sz="4" w:space="0"/>
              <w:right w:val="single" w:color="auto" w:sz="4" w:space="0"/>
            </w:tcBorders>
            <w:shd w:val="clear" w:color="auto" w:fill="auto"/>
            <w:noWrap/>
            <w:vAlign w:val="center"/>
          </w:tcPr>
          <w:p w14:paraId="79601C43">
            <w:pPr>
              <w:jc w:val="center"/>
            </w:pPr>
            <w:r>
              <w:rPr>
                <w:rFonts w:ascii="宋体" w:hAnsi="宋体"/>
                <w:sz w:val="18"/>
              </w:rPr>
              <w:t>43.31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729247B">
            <w:pPr>
              <w:jc w:val="center"/>
            </w:pPr>
            <w:r>
              <w:rPr>
                <w:rFonts w:ascii="宋体" w:hAnsi="宋体"/>
                <w:sz w:val="18"/>
              </w:rPr>
              <w:t>43.31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069837D">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AE60F2D">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6E1171B">
            <w:pPr>
              <w:jc w:val="center"/>
            </w:pPr>
            <w:r>
              <w:rPr>
                <w:rFonts w:ascii="宋体" w:hAnsi="宋体"/>
                <w:sz w:val="18"/>
              </w:rPr>
              <w:t>10.00分</w:t>
            </w:r>
          </w:p>
        </w:tc>
      </w:tr>
      <w:tr w14:paraId="156DEC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7C715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152E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EB0AB7C">
            <w:pPr>
              <w:jc w:val="center"/>
            </w:pPr>
            <w:r>
              <w:rPr>
                <w:rFonts w:ascii="宋体" w:hAnsi="宋体"/>
                <w:sz w:val="18"/>
              </w:rPr>
              <w:t>43.31</w:t>
            </w:r>
          </w:p>
        </w:tc>
        <w:tc>
          <w:tcPr>
            <w:tcW w:w="1177" w:type="dxa"/>
            <w:tcBorders>
              <w:top w:val="nil"/>
              <w:left w:val="nil"/>
              <w:bottom w:val="single" w:color="auto" w:sz="4" w:space="0"/>
              <w:right w:val="single" w:color="auto" w:sz="4" w:space="0"/>
            </w:tcBorders>
            <w:shd w:val="clear" w:color="auto" w:fill="auto"/>
            <w:noWrap/>
            <w:vAlign w:val="center"/>
          </w:tcPr>
          <w:p w14:paraId="0AAFA56B">
            <w:pPr>
              <w:jc w:val="center"/>
            </w:pPr>
            <w:r>
              <w:rPr>
                <w:rFonts w:ascii="宋体" w:hAnsi="宋体"/>
                <w:sz w:val="18"/>
              </w:rPr>
              <w:t>43.31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F69A69B">
            <w:pPr>
              <w:jc w:val="center"/>
            </w:pPr>
            <w:r>
              <w:rPr>
                <w:rFonts w:ascii="宋体" w:hAnsi="宋体"/>
                <w:sz w:val="18"/>
              </w:rPr>
              <w:t>43.31</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294C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26E22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631F4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B32B6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0946D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EEB8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1711A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40C1798">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EF1EE59">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25194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EC5D5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6A28A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FC16C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957F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A3679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6E0BE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F1B6A4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001753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2FA213C">
            <w:pPr>
              <w:jc w:val="left"/>
            </w:pPr>
            <w:r>
              <w:rPr>
                <w:rFonts w:ascii="宋体" w:hAnsi="宋体"/>
                <w:sz w:val="18"/>
              </w:rPr>
              <w:t>项目资金主要用于结算2022年疫情防控应付账款，此项目可有效保障社会稳定。</w:t>
            </w:r>
          </w:p>
        </w:tc>
        <w:tc>
          <w:tcPr>
            <w:tcW w:w="4625" w:type="dxa"/>
            <w:gridSpan w:val="7"/>
            <w:tcBorders>
              <w:top w:val="single" w:color="auto" w:sz="4" w:space="0"/>
              <w:left w:val="nil"/>
              <w:bottom w:val="single" w:color="auto" w:sz="4" w:space="0"/>
              <w:right w:val="single" w:color="000000" w:sz="4" w:space="0"/>
            </w:tcBorders>
            <w:shd w:val="clear" w:color="auto" w:fill="auto"/>
          </w:tcPr>
          <w:p w14:paraId="70D9D05D">
            <w:pPr>
              <w:jc w:val="left"/>
            </w:pPr>
            <w:r>
              <w:rPr>
                <w:rFonts w:ascii="宋体" w:hAnsi="宋体"/>
                <w:sz w:val="18"/>
              </w:rPr>
              <w:t>项目资金主要用于结算2022年疫情防控应付账款，因财政资金紧张，未能足额及时拨付，今年只拨付了19.8万元，未能切实解决疫情防控企业欠款。</w:t>
            </w:r>
          </w:p>
        </w:tc>
      </w:tr>
      <w:tr w14:paraId="36ADCF1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C8442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2EBBF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911D2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C558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CDA9A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97685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E9DF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30D6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97FC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209584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4EED16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8E3C4F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508173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26E760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2B2286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7C4028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5A1E77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F395B5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672829B">
            <w:pPr>
              <w:widowControl/>
              <w:jc w:val="left"/>
              <w:rPr>
                <w:rFonts w:hint="eastAsia" w:ascii="宋体" w:hAnsi="宋体" w:cs="宋体"/>
                <w:color w:val="000000"/>
                <w:kern w:val="0"/>
                <w:sz w:val="18"/>
                <w:szCs w:val="18"/>
              </w:rPr>
            </w:pPr>
          </w:p>
        </w:tc>
      </w:tr>
      <w:tr w14:paraId="3512E01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8BE80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150CDF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3F9BDB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EFF889">
            <w:pPr>
              <w:jc w:val="center"/>
            </w:pPr>
            <w:r>
              <w:rPr>
                <w:rFonts w:ascii="宋体" w:hAnsi="宋体"/>
                <w:sz w:val="18"/>
              </w:rPr>
              <w:t>疫情防控应付账款笔数</w:t>
            </w:r>
          </w:p>
        </w:tc>
        <w:tc>
          <w:tcPr>
            <w:tcW w:w="1177" w:type="dxa"/>
            <w:tcBorders>
              <w:top w:val="nil"/>
              <w:left w:val="nil"/>
              <w:bottom w:val="single" w:color="auto" w:sz="4" w:space="0"/>
              <w:right w:val="single" w:color="auto" w:sz="4" w:space="0"/>
            </w:tcBorders>
            <w:shd w:val="clear" w:color="auto" w:fill="auto"/>
            <w:vAlign w:val="center"/>
          </w:tcPr>
          <w:p w14:paraId="671E7EB4">
            <w:pPr>
              <w:jc w:val="center"/>
            </w:pPr>
            <w:r>
              <w:rPr>
                <w:rFonts w:ascii="宋体" w:hAnsi="宋体"/>
                <w:sz w:val="18"/>
              </w:rPr>
              <w:t>=9笔</w:t>
            </w:r>
          </w:p>
        </w:tc>
        <w:tc>
          <w:tcPr>
            <w:tcW w:w="1177" w:type="dxa"/>
            <w:tcBorders>
              <w:top w:val="nil"/>
              <w:left w:val="nil"/>
              <w:bottom w:val="single" w:color="auto" w:sz="4" w:space="0"/>
              <w:right w:val="single" w:color="auto" w:sz="4" w:space="0"/>
            </w:tcBorders>
            <w:shd w:val="clear" w:color="auto" w:fill="auto"/>
            <w:vAlign w:val="center"/>
          </w:tcPr>
          <w:p w14:paraId="17EF9E8D">
            <w:pPr>
              <w:jc w:val="center"/>
            </w:pPr>
            <w:r>
              <w:rPr>
                <w:rFonts w:ascii="宋体" w:hAnsi="宋体"/>
                <w:sz w:val="18"/>
              </w:rPr>
              <w:t>7笔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A254E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A0C970">
            <w:pPr>
              <w:jc w:val="center"/>
            </w:pPr>
            <w:r>
              <w:rPr>
                <w:rFonts w:ascii="宋体" w:hAnsi="宋体"/>
                <w:sz w:val="18"/>
              </w:rPr>
              <w:t>7.78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5C9025">
            <w:pPr>
              <w:jc w:val="center"/>
            </w:pPr>
            <w:r>
              <w:rPr>
                <w:rFonts w:ascii="宋体" w:hAnsi="宋体"/>
                <w:sz w:val="18"/>
              </w:rPr>
              <w:t>因财政资金紧张，未能及时足额拨付</w:t>
            </w:r>
          </w:p>
        </w:tc>
      </w:tr>
      <w:tr w14:paraId="78E2DF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2AB32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26F9B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46BD9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E346A8">
            <w:pPr>
              <w:jc w:val="center"/>
            </w:pPr>
            <w:r>
              <w:rPr>
                <w:rFonts w:ascii="宋体" w:hAnsi="宋体"/>
                <w:sz w:val="18"/>
              </w:rPr>
              <w:t>经费拨付完成率</w:t>
            </w:r>
          </w:p>
        </w:tc>
        <w:tc>
          <w:tcPr>
            <w:tcW w:w="1177" w:type="dxa"/>
            <w:tcBorders>
              <w:top w:val="nil"/>
              <w:left w:val="nil"/>
              <w:bottom w:val="single" w:color="auto" w:sz="4" w:space="0"/>
              <w:right w:val="single" w:color="auto" w:sz="4" w:space="0"/>
            </w:tcBorders>
            <w:shd w:val="clear" w:color="auto" w:fill="auto"/>
            <w:vAlign w:val="center"/>
          </w:tcPr>
          <w:p w14:paraId="451A72EC">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22B7A40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1D31C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0C96A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FD924F">
            <w:pPr>
              <w:jc w:val="center"/>
            </w:pPr>
          </w:p>
        </w:tc>
      </w:tr>
      <w:tr w14:paraId="3D0344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A9F1F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B364E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933785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9B994F">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2A555C65">
            <w:pPr>
              <w:jc w:val="center"/>
            </w:pPr>
            <w:r>
              <w:rPr>
                <w:rFonts w:ascii="宋体" w:hAnsi="宋体"/>
                <w:sz w:val="18"/>
              </w:rPr>
              <w:t>&gt;=98%</w:t>
            </w:r>
          </w:p>
        </w:tc>
        <w:tc>
          <w:tcPr>
            <w:tcW w:w="1177" w:type="dxa"/>
            <w:tcBorders>
              <w:top w:val="nil"/>
              <w:left w:val="nil"/>
              <w:bottom w:val="single" w:color="auto" w:sz="4" w:space="0"/>
              <w:right w:val="single" w:color="auto" w:sz="4" w:space="0"/>
            </w:tcBorders>
            <w:shd w:val="clear" w:color="auto" w:fill="auto"/>
            <w:vAlign w:val="center"/>
          </w:tcPr>
          <w:p w14:paraId="27C6495D">
            <w:pPr>
              <w:jc w:val="center"/>
            </w:pPr>
            <w:r>
              <w:rPr>
                <w:rFonts w:ascii="宋体" w:hAnsi="宋体"/>
                <w:sz w:val="18"/>
              </w:rPr>
              <w:t>77.8%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F930E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D4F523">
            <w:pPr>
              <w:jc w:val="center"/>
            </w:pPr>
            <w:r>
              <w:rPr>
                <w:rFonts w:ascii="宋体" w:hAnsi="宋体"/>
                <w:sz w:val="18"/>
              </w:rPr>
              <w:t>7.94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CD31FB">
            <w:pPr>
              <w:jc w:val="center"/>
            </w:pPr>
            <w:r>
              <w:rPr>
                <w:rFonts w:ascii="宋体" w:hAnsi="宋体"/>
                <w:sz w:val="18"/>
              </w:rPr>
              <w:t>因财政资金紧张，未能及时足额拨付</w:t>
            </w:r>
          </w:p>
        </w:tc>
      </w:tr>
      <w:tr w14:paraId="40E8D8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5B2B9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A4375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3ECE01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5EF055">
            <w:pPr>
              <w:jc w:val="center"/>
            </w:pPr>
            <w:r>
              <w:rPr>
                <w:rFonts w:ascii="宋体" w:hAnsi="宋体"/>
                <w:sz w:val="18"/>
              </w:rPr>
              <w:t>预算控制率</w:t>
            </w:r>
          </w:p>
        </w:tc>
        <w:tc>
          <w:tcPr>
            <w:tcW w:w="1177" w:type="dxa"/>
            <w:tcBorders>
              <w:top w:val="nil"/>
              <w:left w:val="nil"/>
              <w:bottom w:val="single" w:color="auto" w:sz="4" w:space="0"/>
              <w:right w:val="single" w:color="auto" w:sz="4" w:space="0"/>
            </w:tcBorders>
            <w:shd w:val="clear" w:color="auto" w:fill="auto"/>
            <w:vAlign w:val="center"/>
          </w:tcPr>
          <w:p w14:paraId="1236DC73">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5DB3ED02">
            <w:pPr>
              <w:jc w:val="center"/>
            </w:pPr>
            <w:r>
              <w:rPr>
                <w:rFonts w:ascii="宋体" w:hAnsi="宋体"/>
                <w:sz w:val="18"/>
              </w:rPr>
              <w:t>77.8%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985FA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99B800">
            <w:pPr>
              <w:jc w:val="center"/>
            </w:pPr>
            <w:r>
              <w:rPr>
                <w:rFonts w:ascii="宋体" w:hAnsi="宋体"/>
                <w:sz w:val="18"/>
              </w:rPr>
              <w:t>15.56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348BEC">
            <w:pPr>
              <w:jc w:val="center"/>
            </w:pPr>
            <w:r>
              <w:rPr>
                <w:rFonts w:ascii="宋体" w:hAnsi="宋体"/>
                <w:sz w:val="18"/>
              </w:rPr>
              <w:t>因财政资金紧张，未能及时足额拨付</w:t>
            </w:r>
          </w:p>
        </w:tc>
      </w:tr>
      <w:tr w14:paraId="0D041B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BB9D0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B832634">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115D4F8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C03E64">
            <w:pPr>
              <w:jc w:val="center"/>
            </w:pPr>
            <w:r>
              <w:rPr>
                <w:rFonts w:ascii="宋体" w:hAnsi="宋体"/>
                <w:sz w:val="18"/>
              </w:rPr>
              <w:t>保障疫情防控工作</w:t>
            </w:r>
          </w:p>
        </w:tc>
        <w:tc>
          <w:tcPr>
            <w:tcW w:w="1177" w:type="dxa"/>
            <w:tcBorders>
              <w:top w:val="nil"/>
              <w:left w:val="nil"/>
              <w:bottom w:val="single" w:color="auto" w:sz="4" w:space="0"/>
              <w:right w:val="single" w:color="auto" w:sz="4" w:space="0"/>
            </w:tcBorders>
            <w:shd w:val="clear" w:color="auto" w:fill="auto"/>
            <w:vAlign w:val="center"/>
          </w:tcPr>
          <w:p w14:paraId="41264816">
            <w:pPr>
              <w:jc w:val="center"/>
            </w:pPr>
            <w:r>
              <w:rPr>
                <w:rFonts w:ascii="宋体" w:hAnsi="宋体"/>
                <w:sz w:val="18"/>
              </w:rPr>
              <w:t>保障到位</w:t>
            </w:r>
          </w:p>
        </w:tc>
        <w:tc>
          <w:tcPr>
            <w:tcW w:w="1177" w:type="dxa"/>
            <w:tcBorders>
              <w:top w:val="nil"/>
              <w:left w:val="nil"/>
              <w:bottom w:val="single" w:color="auto" w:sz="4" w:space="0"/>
              <w:right w:val="single" w:color="auto" w:sz="4" w:space="0"/>
            </w:tcBorders>
            <w:shd w:val="clear" w:color="auto" w:fill="auto"/>
            <w:vAlign w:val="center"/>
          </w:tcPr>
          <w:p w14:paraId="74A851F3">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5CCEE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7BAA2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3C43DB">
            <w:pPr>
              <w:jc w:val="center"/>
            </w:pPr>
          </w:p>
        </w:tc>
      </w:tr>
      <w:tr w14:paraId="03EB5D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A5892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8B221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2A88C1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129124">
            <w:pPr>
              <w:jc w:val="center"/>
            </w:pPr>
            <w:r>
              <w:rPr>
                <w:rFonts w:ascii="宋体" w:hAnsi="宋体"/>
                <w:sz w:val="18"/>
              </w:rPr>
              <w:t>保障社会稳定</w:t>
            </w:r>
          </w:p>
        </w:tc>
        <w:tc>
          <w:tcPr>
            <w:tcW w:w="1177" w:type="dxa"/>
            <w:tcBorders>
              <w:top w:val="nil"/>
              <w:left w:val="nil"/>
              <w:bottom w:val="single" w:color="auto" w:sz="4" w:space="0"/>
              <w:right w:val="single" w:color="auto" w:sz="4" w:space="0"/>
            </w:tcBorders>
            <w:shd w:val="clear" w:color="auto" w:fill="auto"/>
            <w:vAlign w:val="center"/>
          </w:tcPr>
          <w:p w14:paraId="0E56DC8F">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3558228E">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327BC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C4359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49FFE8">
            <w:pPr>
              <w:jc w:val="center"/>
            </w:pPr>
          </w:p>
        </w:tc>
      </w:tr>
      <w:tr w14:paraId="46C131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78229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6D4735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F58D08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45A129">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7344B055">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D2D9242">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50BEA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AFBE6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27464F">
            <w:pPr>
              <w:jc w:val="center"/>
            </w:pPr>
          </w:p>
        </w:tc>
      </w:tr>
      <w:tr w14:paraId="3BD45A8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CA5E44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3348AE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1C1C8D1">
            <w:pPr>
              <w:jc w:val="center"/>
            </w:pPr>
            <w:r>
              <w:rPr>
                <w:rFonts w:ascii="宋体" w:hAnsi="宋体"/>
                <w:sz w:val="18"/>
              </w:rPr>
              <w:t>91.28分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41A7EF">
            <w:pPr>
              <w:jc w:val="center"/>
            </w:pPr>
          </w:p>
        </w:tc>
      </w:tr>
    </w:tbl>
    <w:p w14:paraId="3D755A77">
      <w:pPr>
        <w:snapToGrid w:val="0"/>
        <w:spacing w:line="360" w:lineRule="auto"/>
        <w:ind w:firstLine="624"/>
        <w:rPr>
          <w:rFonts w:ascii="仿宋_GB2312" w:eastAsia="仿宋_GB2312"/>
          <w:sz w:val="32"/>
          <w:szCs w:val="32"/>
        </w:rPr>
      </w:pPr>
    </w:p>
    <w:p w14:paraId="32A13C48">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E927371">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1E65C610">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416C0CE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93809D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5DEEDC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454AF4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FD420C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7FAA6A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5D7E9E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733F95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F2271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7D2BA6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A45F6D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91B150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F03A57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9EF5E82">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F09755F">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8E896AE">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5DE94A88">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59DD1B85">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1275AE89">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47B582DA">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1969D12B">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0B8A2EA6">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4F2C497B">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710BCFD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D317B57">
      <w:pPr>
        <w:ind w:firstLine="640" w:firstLineChars="200"/>
        <w:rPr>
          <w:rFonts w:ascii="仿宋_GB2312" w:eastAsia="仿宋_GB2312"/>
          <w:sz w:val="32"/>
          <w:szCs w:val="32"/>
        </w:rPr>
      </w:pPr>
    </w:p>
    <w:p w14:paraId="1E55ABC6">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5E22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CC559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DCC559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6752BE"/>
    <w:rsid w:val="001268FE"/>
    <w:rsid w:val="001C621D"/>
    <w:rsid w:val="00213C59"/>
    <w:rsid w:val="002E1DD4"/>
    <w:rsid w:val="002E32C0"/>
    <w:rsid w:val="003210CE"/>
    <w:rsid w:val="003459E7"/>
    <w:rsid w:val="00356F53"/>
    <w:rsid w:val="00367D1E"/>
    <w:rsid w:val="0047623E"/>
    <w:rsid w:val="004E55C5"/>
    <w:rsid w:val="00590DB9"/>
    <w:rsid w:val="005E1542"/>
    <w:rsid w:val="006752BE"/>
    <w:rsid w:val="00740477"/>
    <w:rsid w:val="00745791"/>
    <w:rsid w:val="00787B6C"/>
    <w:rsid w:val="00855006"/>
    <w:rsid w:val="00865E49"/>
    <w:rsid w:val="008D1C08"/>
    <w:rsid w:val="008F3FD0"/>
    <w:rsid w:val="00943B4C"/>
    <w:rsid w:val="00946BA2"/>
    <w:rsid w:val="009E518E"/>
    <w:rsid w:val="00A23209"/>
    <w:rsid w:val="00AF3291"/>
    <w:rsid w:val="00B04C7D"/>
    <w:rsid w:val="00B70D59"/>
    <w:rsid w:val="00C3783F"/>
    <w:rsid w:val="00CD5267"/>
    <w:rsid w:val="00DC3E9A"/>
    <w:rsid w:val="00DD2EC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2523DE"/>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8759</Words>
  <Characters>9957</Characters>
  <Lines>81</Lines>
  <Paragraphs>22</Paragraphs>
  <TotalTime>60</TotalTime>
  <ScaleCrop>false</ScaleCrop>
  <LinksUpToDate>false</LinksUpToDate>
  <CharactersWithSpaces>9967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2025-07-25T10:05:37Z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