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35A33E">
      <w:pPr>
        <w:spacing w:line="540" w:lineRule="exact"/>
        <w:jc w:val="left"/>
        <w:rPr>
          <w:rFonts w:ascii="仿宋" w:hAnsi="仿宋" w:eastAsia="仿宋" w:cs="宋体"/>
          <w:color w:val="auto"/>
          <w:kern w:val="0"/>
          <w:sz w:val="32"/>
          <w:szCs w:val="32"/>
        </w:rPr>
      </w:pPr>
      <w:r>
        <w:rPr>
          <w:rFonts w:hint="eastAsia" w:ascii="仿宋" w:hAnsi="仿宋" w:eastAsia="仿宋" w:cs="宋体"/>
          <w:color w:val="auto"/>
          <w:kern w:val="0"/>
          <w:sz w:val="32"/>
          <w:szCs w:val="32"/>
        </w:rPr>
        <w:t>附件2：</w:t>
      </w:r>
    </w:p>
    <w:p w14:paraId="518C8E0A">
      <w:pPr>
        <w:spacing w:line="540" w:lineRule="exact"/>
        <w:jc w:val="center"/>
        <w:rPr>
          <w:rFonts w:ascii="华文中宋" w:hAnsi="华文中宋" w:eastAsia="华文中宋" w:cs="宋体"/>
          <w:b/>
          <w:color w:val="auto"/>
          <w:kern w:val="0"/>
          <w:sz w:val="52"/>
          <w:szCs w:val="52"/>
        </w:rPr>
      </w:pPr>
    </w:p>
    <w:p w14:paraId="35672672">
      <w:pPr>
        <w:spacing w:line="540" w:lineRule="exact"/>
        <w:jc w:val="center"/>
        <w:rPr>
          <w:rFonts w:ascii="华文中宋" w:hAnsi="华文中宋" w:eastAsia="华文中宋" w:cs="宋体"/>
          <w:b/>
          <w:color w:val="auto"/>
          <w:kern w:val="0"/>
          <w:sz w:val="52"/>
          <w:szCs w:val="52"/>
        </w:rPr>
      </w:pPr>
    </w:p>
    <w:p w14:paraId="4644E033">
      <w:pPr>
        <w:spacing w:line="540" w:lineRule="exact"/>
        <w:jc w:val="center"/>
        <w:rPr>
          <w:rFonts w:ascii="华文中宋" w:hAnsi="华文中宋" w:eastAsia="华文中宋" w:cs="宋体"/>
          <w:b/>
          <w:color w:val="auto"/>
          <w:kern w:val="0"/>
          <w:sz w:val="52"/>
          <w:szCs w:val="52"/>
        </w:rPr>
      </w:pPr>
    </w:p>
    <w:p w14:paraId="7FC687AC">
      <w:pPr>
        <w:spacing w:line="540" w:lineRule="exact"/>
        <w:jc w:val="center"/>
        <w:rPr>
          <w:rFonts w:ascii="华文中宋" w:hAnsi="华文中宋" w:eastAsia="华文中宋" w:cs="宋体"/>
          <w:b/>
          <w:color w:val="auto"/>
          <w:kern w:val="0"/>
          <w:sz w:val="52"/>
          <w:szCs w:val="52"/>
        </w:rPr>
      </w:pPr>
    </w:p>
    <w:p w14:paraId="313A324F">
      <w:pPr>
        <w:spacing w:line="540" w:lineRule="exact"/>
        <w:jc w:val="center"/>
        <w:rPr>
          <w:rFonts w:ascii="华文中宋" w:hAnsi="华文中宋" w:eastAsia="华文中宋" w:cs="宋体"/>
          <w:b/>
          <w:color w:val="auto"/>
          <w:kern w:val="0"/>
          <w:sz w:val="52"/>
          <w:szCs w:val="52"/>
        </w:rPr>
      </w:pPr>
    </w:p>
    <w:p w14:paraId="24F980C8">
      <w:pPr>
        <w:spacing w:line="540" w:lineRule="exact"/>
        <w:jc w:val="center"/>
        <w:rPr>
          <w:rFonts w:ascii="华文中宋" w:hAnsi="华文中宋" w:eastAsia="华文中宋" w:cs="宋体"/>
          <w:b/>
          <w:color w:val="auto"/>
          <w:kern w:val="0"/>
          <w:sz w:val="52"/>
          <w:szCs w:val="52"/>
        </w:rPr>
      </w:pPr>
    </w:p>
    <w:p w14:paraId="05E21391">
      <w:pPr>
        <w:spacing w:line="540" w:lineRule="exact"/>
        <w:jc w:val="center"/>
        <w:rPr>
          <w:rFonts w:ascii="方正小标宋_GBK" w:hAnsi="华文中宋" w:eastAsia="方正小标宋_GBK" w:cs="宋体"/>
          <w:b/>
          <w:color w:val="auto"/>
          <w:kern w:val="0"/>
          <w:sz w:val="48"/>
          <w:szCs w:val="48"/>
        </w:rPr>
      </w:pPr>
      <w:r>
        <w:rPr>
          <w:rFonts w:hint="eastAsia" w:ascii="方正小标宋_GBK" w:hAnsi="华文中宋" w:eastAsia="方正小标宋_GBK" w:cs="宋体"/>
          <w:b/>
          <w:color w:val="auto"/>
          <w:kern w:val="0"/>
          <w:sz w:val="48"/>
          <w:szCs w:val="48"/>
        </w:rPr>
        <w:t>项目支出绩效自评报告</w:t>
      </w:r>
    </w:p>
    <w:p w14:paraId="7F824462">
      <w:pPr>
        <w:spacing w:line="540" w:lineRule="exact"/>
        <w:jc w:val="center"/>
        <w:rPr>
          <w:rFonts w:ascii="华文中宋" w:hAnsi="华文中宋" w:eastAsia="华文中宋" w:cs="宋体"/>
          <w:b/>
          <w:color w:val="auto"/>
          <w:kern w:val="0"/>
          <w:sz w:val="52"/>
          <w:szCs w:val="52"/>
        </w:rPr>
      </w:pPr>
    </w:p>
    <w:p w14:paraId="1797424E">
      <w:pPr>
        <w:spacing w:line="540" w:lineRule="exact"/>
        <w:jc w:val="center"/>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r>
        <w:rPr>
          <w:rStyle w:val="18"/>
          <w:rFonts w:hint="eastAsia" w:ascii="楷体" w:hAnsi="楷体" w:eastAsia="楷体"/>
          <w:color w:val="auto"/>
          <w:spacing w:val="-4"/>
          <w:sz w:val="32"/>
          <w:szCs w:val="32"/>
        </w:rPr>
        <w:t>2023</w:t>
      </w:r>
      <w:r>
        <w:rPr>
          <w:rFonts w:hint="eastAsia" w:hAnsi="宋体" w:eastAsia="仿宋_GB2312" w:cs="宋体"/>
          <w:color w:val="auto"/>
          <w:kern w:val="0"/>
          <w:sz w:val="36"/>
          <w:szCs w:val="36"/>
        </w:rPr>
        <w:t xml:space="preserve">  年度）</w:t>
      </w:r>
    </w:p>
    <w:p w14:paraId="64B05405">
      <w:pPr>
        <w:spacing w:line="540" w:lineRule="exact"/>
        <w:jc w:val="center"/>
        <w:rPr>
          <w:rFonts w:hAnsi="宋体" w:eastAsia="仿宋_GB2312" w:cs="宋体"/>
          <w:color w:val="auto"/>
          <w:kern w:val="0"/>
          <w:sz w:val="30"/>
          <w:szCs w:val="30"/>
        </w:rPr>
      </w:pPr>
    </w:p>
    <w:p w14:paraId="4E604C43">
      <w:pPr>
        <w:spacing w:line="540" w:lineRule="exact"/>
        <w:jc w:val="center"/>
        <w:rPr>
          <w:rFonts w:hAnsi="宋体" w:eastAsia="仿宋_GB2312" w:cs="宋体"/>
          <w:color w:val="auto"/>
          <w:kern w:val="0"/>
          <w:sz w:val="30"/>
          <w:szCs w:val="30"/>
        </w:rPr>
      </w:pPr>
    </w:p>
    <w:p w14:paraId="2DC51D63">
      <w:pPr>
        <w:spacing w:line="540" w:lineRule="exact"/>
        <w:jc w:val="center"/>
        <w:rPr>
          <w:rFonts w:hAnsi="宋体" w:eastAsia="仿宋_GB2312" w:cs="宋体"/>
          <w:color w:val="auto"/>
          <w:kern w:val="0"/>
          <w:sz w:val="30"/>
          <w:szCs w:val="30"/>
        </w:rPr>
      </w:pPr>
    </w:p>
    <w:p w14:paraId="219D643A">
      <w:pPr>
        <w:spacing w:line="540" w:lineRule="exact"/>
        <w:jc w:val="center"/>
        <w:rPr>
          <w:rFonts w:hAnsi="宋体" w:eastAsia="仿宋_GB2312" w:cs="宋体"/>
          <w:color w:val="auto"/>
          <w:kern w:val="0"/>
          <w:sz w:val="30"/>
          <w:szCs w:val="30"/>
        </w:rPr>
      </w:pPr>
    </w:p>
    <w:p w14:paraId="1C836881">
      <w:pPr>
        <w:spacing w:line="540" w:lineRule="exact"/>
        <w:jc w:val="center"/>
        <w:rPr>
          <w:rFonts w:hAnsi="宋体" w:eastAsia="仿宋_GB2312" w:cs="宋体"/>
          <w:color w:val="auto"/>
          <w:kern w:val="0"/>
          <w:sz w:val="30"/>
          <w:szCs w:val="30"/>
        </w:rPr>
      </w:pPr>
    </w:p>
    <w:p w14:paraId="5330154E">
      <w:pPr>
        <w:spacing w:line="540" w:lineRule="exact"/>
        <w:jc w:val="center"/>
        <w:rPr>
          <w:rFonts w:hAnsi="宋体" w:eastAsia="仿宋_GB2312" w:cs="宋体"/>
          <w:color w:val="auto"/>
          <w:kern w:val="0"/>
          <w:sz w:val="30"/>
          <w:szCs w:val="30"/>
        </w:rPr>
      </w:pPr>
    </w:p>
    <w:p w14:paraId="19F36ECE">
      <w:pPr>
        <w:spacing w:line="540" w:lineRule="exact"/>
        <w:rPr>
          <w:rFonts w:hAnsi="宋体" w:eastAsia="仿宋_GB2312" w:cs="宋体"/>
          <w:color w:val="auto"/>
          <w:kern w:val="0"/>
          <w:sz w:val="30"/>
          <w:szCs w:val="30"/>
        </w:rPr>
      </w:pPr>
    </w:p>
    <w:p w14:paraId="7830F040">
      <w:pPr>
        <w:spacing w:line="700" w:lineRule="exact"/>
        <w:jc w:val="left"/>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p>
    <w:p w14:paraId="0B8FAF32">
      <w:pPr>
        <w:spacing w:line="700" w:lineRule="exact"/>
        <w:ind w:firstLine="900" w:firstLineChars="250"/>
        <w:jc w:val="left"/>
        <w:rPr>
          <w:rFonts w:hAnsi="宋体" w:eastAsia="仿宋_GB2312" w:cs="宋体"/>
          <w:color w:val="auto"/>
          <w:kern w:val="0"/>
          <w:sz w:val="36"/>
          <w:szCs w:val="36"/>
        </w:rPr>
      </w:pPr>
      <w:r>
        <w:rPr>
          <w:rFonts w:hint="eastAsia" w:hAnsi="宋体" w:eastAsia="仿宋_GB2312" w:cs="宋体"/>
          <w:color w:val="auto"/>
          <w:kern w:val="0"/>
          <w:sz w:val="36"/>
          <w:szCs w:val="36"/>
        </w:rPr>
        <w:t>项目名称：</w:t>
      </w:r>
      <w:r>
        <w:rPr>
          <w:rStyle w:val="18"/>
          <w:rFonts w:hint="eastAsia" w:ascii="楷体" w:hAnsi="楷体" w:eastAsia="楷体"/>
          <w:color w:val="auto"/>
          <w:spacing w:val="-4"/>
          <w:sz w:val="32"/>
          <w:szCs w:val="32"/>
        </w:rPr>
        <w:t>铁厂沟镇八家户村富民安居工程配套设施资金</w:t>
      </w:r>
    </w:p>
    <w:p w14:paraId="277E32F8">
      <w:pPr>
        <w:spacing w:line="540" w:lineRule="exact"/>
        <w:ind w:firstLine="567"/>
        <w:rPr>
          <w:rFonts w:ascii="楷体" w:hAnsi="楷体" w:eastAsia="楷体"/>
          <w:b/>
          <w:bCs/>
          <w:color w:val="auto"/>
          <w:spacing w:val="-4"/>
          <w:sz w:val="32"/>
          <w:szCs w:val="32"/>
        </w:rPr>
      </w:pPr>
      <w:r>
        <w:rPr>
          <w:rFonts w:hint="eastAsia" w:hAnsi="宋体" w:eastAsia="仿宋_GB2312" w:cs="宋体"/>
          <w:color w:val="auto"/>
          <w:kern w:val="0"/>
          <w:sz w:val="36"/>
          <w:szCs w:val="36"/>
        </w:rPr>
        <w:t xml:space="preserve">  实施单位（公章）：</w:t>
      </w:r>
      <w:r>
        <w:rPr>
          <w:rStyle w:val="18"/>
          <w:rFonts w:hint="eastAsia" w:ascii="楷体" w:hAnsi="楷体" w:eastAsia="楷体"/>
          <w:color w:val="auto"/>
          <w:spacing w:val="-4"/>
          <w:sz w:val="28"/>
          <w:szCs w:val="28"/>
        </w:rPr>
        <w:t>米东区铁厂沟镇政府</w:t>
      </w:r>
    </w:p>
    <w:p w14:paraId="02839B87">
      <w:pPr>
        <w:spacing w:line="540" w:lineRule="exact"/>
        <w:ind w:firstLine="900" w:firstLineChars="250"/>
        <w:rPr>
          <w:rFonts w:ascii="楷体" w:hAnsi="楷体" w:eastAsia="楷体"/>
          <w:b/>
          <w:bCs/>
          <w:color w:val="auto"/>
          <w:spacing w:val="-4"/>
          <w:sz w:val="28"/>
          <w:szCs w:val="28"/>
        </w:rPr>
      </w:pPr>
      <w:r>
        <w:rPr>
          <w:rFonts w:hint="eastAsia" w:hAnsi="宋体" w:eastAsia="仿宋_GB2312" w:cs="宋体"/>
          <w:color w:val="auto"/>
          <w:kern w:val="0"/>
          <w:sz w:val="36"/>
          <w:szCs w:val="36"/>
        </w:rPr>
        <w:t>主管部门（公章）：</w:t>
      </w:r>
      <w:r>
        <w:rPr>
          <w:rStyle w:val="18"/>
          <w:rFonts w:hint="eastAsia" w:ascii="楷体" w:hAnsi="楷体" w:eastAsia="楷体"/>
          <w:color w:val="auto"/>
          <w:spacing w:val="-4"/>
          <w:sz w:val="28"/>
          <w:szCs w:val="28"/>
        </w:rPr>
        <w:t>米东区铁厂沟镇政府</w:t>
      </w:r>
    </w:p>
    <w:p w14:paraId="1F9B985C">
      <w:pPr>
        <w:spacing w:line="540" w:lineRule="exact"/>
        <w:ind w:firstLine="900" w:firstLineChars="250"/>
        <w:rPr>
          <w:rFonts w:ascii="楷体" w:hAnsi="楷体" w:eastAsia="楷体"/>
          <w:b/>
          <w:bCs/>
          <w:color w:val="auto"/>
          <w:spacing w:val="-4"/>
          <w:sz w:val="32"/>
          <w:szCs w:val="32"/>
        </w:rPr>
      </w:pPr>
      <w:r>
        <w:rPr>
          <w:rFonts w:hint="eastAsia" w:hAnsi="宋体" w:eastAsia="仿宋_GB2312" w:cs="宋体"/>
          <w:color w:val="auto"/>
          <w:kern w:val="0"/>
          <w:sz w:val="36"/>
          <w:szCs w:val="36"/>
        </w:rPr>
        <w:t>项目负责人（签章）：</w:t>
      </w:r>
      <w:r>
        <w:rPr>
          <w:rStyle w:val="18"/>
          <w:rFonts w:hint="eastAsia" w:ascii="楷体" w:hAnsi="楷体" w:eastAsia="楷体"/>
          <w:color w:val="auto"/>
          <w:spacing w:val="-4"/>
          <w:sz w:val="32"/>
          <w:szCs w:val="32"/>
        </w:rPr>
        <w:t>哈里旦</w:t>
      </w:r>
    </w:p>
    <w:p w14:paraId="4F0F76CB">
      <w:pPr>
        <w:spacing w:line="540" w:lineRule="exact"/>
        <w:ind w:left="273" w:firstLine="567"/>
        <w:rPr>
          <w:rStyle w:val="18"/>
          <w:rFonts w:ascii="楷体" w:hAnsi="楷体" w:eastAsia="楷体"/>
          <w:color w:val="auto"/>
          <w:spacing w:val="-4"/>
          <w:sz w:val="32"/>
          <w:szCs w:val="32"/>
        </w:rPr>
      </w:pPr>
      <w:r>
        <w:rPr>
          <w:rFonts w:hint="eastAsia" w:hAnsi="宋体" w:eastAsia="仿宋_GB2312" w:cs="宋体"/>
          <w:color w:val="auto"/>
          <w:kern w:val="0"/>
          <w:sz w:val="36"/>
          <w:szCs w:val="36"/>
        </w:rPr>
        <w:t>填报时间：</w:t>
      </w:r>
      <w:r>
        <w:rPr>
          <w:rStyle w:val="18"/>
          <w:rFonts w:hint="eastAsia" w:ascii="楷体" w:hAnsi="楷体" w:eastAsia="楷体"/>
          <w:color w:val="auto"/>
          <w:spacing w:val="-4"/>
          <w:sz w:val="32"/>
          <w:szCs w:val="32"/>
        </w:rPr>
        <w:t>2024年05月23日</w:t>
      </w:r>
    </w:p>
    <w:p w14:paraId="1C8CDF31">
      <w:pPr>
        <w:spacing w:line="700" w:lineRule="exact"/>
        <w:ind w:firstLine="708" w:firstLineChars="236"/>
        <w:jc w:val="left"/>
        <w:rPr>
          <w:rFonts w:hAnsi="宋体" w:eastAsia="仿宋_GB2312" w:cs="宋体"/>
          <w:color w:val="auto"/>
          <w:kern w:val="0"/>
          <w:sz w:val="30"/>
          <w:szCs w:val="30"/>
        </w:rPr>
      </w:pPr>
    </w:p>
    <w:p w14:paraId="5F87DFC5">
      <w:pPr>
        <w:spacing w:line="540" w:lineRule="exact"/>
        <w:rPr>
          <w:rStyle w:val="18"/>
          <w:rFonts w:ascii="黑体" w:hAnsi="黑体" w:eastAsia="黑体"/>
          <w:b w:val="0"/>
          <w:color w:val="auto"/>
          <w:spacing w:val="-4"/>
          <w:sz w:val="32"/>
          <w:szCs w:val="32"/>
        </w:rPr>
      </w:pPr>
    </w:p>
    <w:p w14:paraId="4FF706F0">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一、基本情况</w:t>
      </w:r>
    </w:p>
    <w:p w14:paraId="75FC5006">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（一）项目概况</w:t>
      </w:r>
    </w:p>
    <w:p w14:paraId="5473C20D">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 项目背景、主要内容及实施情况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（1）该项目实施背景：一是根据米东区区委《关于印发米东区安居富民定居兴牧工程实施方案的通知》(米党办发【2014】1号)精神，铁厂沟镇八家户村于2015 年实施了“两居”工程，其基础设施配套工程于2 0 1 7 年实施。配电工程于2020年10月13日进行了招投标，中标价626339 6.2 元。二是根据米东区区委财经领导小组2015年第4次会议纪要(米党财纪【2015】4号)精神，米东区“两居”基础设施配套工程项目，区政府按实际发生资金总额50%给予补助(仅限“两居”建设点内给推水、道路、供电、燃气)， 其余50%部分由所属乡镇自筹。三是为确保八家户村 “两居” 定居居民顺利过冬(其供暖为电采暖)，经铁厂沟镇政府与供电公司协调，拟采取就近安装公变用电的方式解决定居居民冬季采暖。预计配电工程费用286 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（2）项目2023年的主要实施内容：①安装400kVA 油侵式变压器5台;②15米电杆17根、12米电杆11根、10米电杆18根;③一进三出低压电缆分接箱2台、JP柜5台等，能消除安全隐患，改善村民居住环境，延长楼栋和院落使用年限，保证村民日常出行，加强乡村振兴建设，积极推进乡村发展，进一步促进八家户村经济发展和社会稳定。</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（3）2023年当年完成情况：实际完成情况为①安装400kVA 油侵式变压器5台;②15米电杆17根、12米电杆11根、10米电杆18根;③一进三出低压电缆分接箱2台、JP柜5台等。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资金投入和使用情况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（1）该项目资金投入情况：经米东区区委财经领导小组2015年第4次会议纪要(米党财纪【2015】4号)精神文件批准，项目系2023年本级资金，共安排预算40万元，为2023年年中追加项目，全年资金无调整情况。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（2）该项目资金使用情况：①总预算情况：40万元；②资金投入包括安装400kVA 油侵式变压器5台;15米电杆17根、12米电杆11根、10米电杆18根;一进三出低压电缆分接箱2台、JP柜5台，执行情况：目前以上实施内容均已完成，实际执行金额40万元；③预算执行率：100%。</w:t>
      </w:r>
    </w:p>
    <w:p w14:paraId="6F999653">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（二）项目绩效目标</w:t>
      </w:r>
    </w:p>
    <w:p w14:paraId="3A3226A9">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（二）项目绩效目标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该项目为跨年项目。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该项目总体绩效目标：此项目通过安装400kVA 油侵式变压器5台、15米电杆17根、12米电杆11根、10米电杆18根、一进三出低压电缆分接箱2台、JP柜5台等，能消除安全隐患，改善村民居住环境，延长楼栋和院落使用年限，保证村民日常出行，加强乡村振兴建设，积极推进乡村发展，进一步促进八家户村经济发展和社会稳定。</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该项目阶段性目标为：此项目开始日期为2021年10月11日，竣工日期为2021年12月10日，2023年8月28日完成工程内容为安装400kVA 油侵式变压器5台、15米电杆17根、12米电杆11根、10米电杆18根、一进三出低压电缆分接箱2台、JP柜5台等的相关工程价款40万元。</w:t>
      </w:r>
    </w:p>
    <w:p w14:paraId="3DF0778F">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二、绩效评价工作开展情况</w:t>
      </w:r>
    </w:p>
    <w:p w14:paraId="39381C5E">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（一）绩效评价目的、对象和范围</w:t>
      </w:r>
    </w:p>
    <w:p w14:paraId="22A802C7">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（一）绩效评价目的、对象和范围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绩效评价完整性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铁厂沟镇八家户村富民安居工程配套设施资金项目为安装公变用电配电供暖工程，主要目的是为消除安全隐患，改善村民居住环境，延长楼栋和院落使用年限，保证村民日常出行。工作要求是不断加强乡村振兴建设，积极推进乡村发展，进一步促进八家户村经济发展和社会稳定。这些目标、范围和要求都能通过绩效评价指标体系设置中的“油侵式变压器安装数量”（目标值是5个）、“400kVA油侵式变压器合格率”（目标值为&gt;=95%）、“设备安装及时率”（目标值为&gt;=90%）、“项目预算控制率”（&lt;=100%）、“该项目对八家户村的社会稳定意义”、“提高八家户村村民生活水平”的完整体现。</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铁厂沟镇八家户村于2015 年实施了“两居”工程，其基础设施配套工程于2 0 1 7 年实施。配电工程于2020年10月13日进行了招投标，中标价626339 6.2 元。其次是根据米东区区委财经领导小组2015年第4次会议纪要(米党财纪【2015】4号)精神，米东区“两居”基础设施配套工程项目，区政府按实际发生资金总额50%给予补助(仅限“两居”建设点内给推水、道路、供电、燃气)， 其余50%部分由所属乡镇自筹。为确保八家户村 “两居” 定居居民顺利过冬(其供暖为电采暖)，经铁厂沟镇政府与供电公司协调，拟采取就近安装公变用电的方式解决定居居民冬季采暖。预计配电工程费用286 万元。按以上规定，区财政应安排143万元。但应财政资金紧张，2023年8月28日实际下拨40万元用于完成工程内容为安装400kVA 油侵式变压器5台、15米电杆17根、12米电杆11根、10米电杆18根、一进三出低压电缆分接箱2台、JP柜5台等的相关工程价款40万元。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我单位根据《关于印发米东区安居富民定居兴牧工程实施方案的通知》(米党办发【2014】1号)、米东区区委财经领导小组2015年第4次会议纪要(米党财纪【2015】4号)、《米东区铁厂沟镇人民政府项目管理制度》、《米东区铁厂沟镇人民政府专项资金管理制度》、《米东区铁厂沟镇人民政府财务工作管理制度》、《米东区铁厂沟镇人民政府专项资金绩效评价制度》、《中共米东区铁厂沟镇委员会会议纪要》(铁党纪字【2023】33号)对项目评价数据进行描述，确保了数据的准确性和完整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评价目的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铁厂沟镇八家户村富民安居工程配套设施资金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评价对象</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（1）绩效评价的对象：铁厂沟镇八家户村富民安居工程配套设施资金项目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 绩效评价范围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（1）时间范围：2023年1月1日至2023年12月31日。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（2）项目范围：铁厂沟镇八家户村富民安居工程配套设施资金项目为安装公变用电配电供暖工程，此项目开始日期为2021年10月11日，竣工日期为2021年12月10日，2023年完成工程内容为安装400kVA 油侵式变压器5台、15米电杆17根、12米电杆11根、10米电杆18根、一进三出低压电缆分接箱2台、JP柜5台等的相关工程价款40万元。根据米东区区委财经领导小组2015年第4次会议纪要(米党财纪【2015】4号)文件精神，全力做好铁厂沟镇八家户村富民安居工程配套设施资金项目工作。区领导高度重视，周密安排部署，积极稳妥推进各阶段工作。该项目资金工安排本级预算40万元，全年资金无调整情况。2023年支出40万元，预算执行率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铁厂沟镇八家户村富民安居工程配套设施资金项目的评价工作旨在落实关于印发米东区安居富民定居兴牧工程实施方案的通知》(米党办发【2014】1号)文件精神，全面推进预算绩效管理工作，落实预算执行及绩效管理主体责任，评价的时间范围是2023年1月1日至2023年12月31日，评价主要采用比较法和公众评判法，对项目总预算和明细预算的内容、标准、计划是否经济合理进行深入分析，以考察实际产出和效益是否达到预期。</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本项目的产出数量指标评价指标“油侵式变压器安装数量”，指标值：5个，实际完成值：5个。</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本项目的产出质量指标评价指标“400kVA油侵式变压器合格率”，指标值：&gt;=95%，实际完成值：95%。</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本项目的产出时效指标评价指标“设备安装及时率”，指标值：&gt;=90%，实际完成值：90%。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本项目的产出成本指标评价指标“项目预算控制率”，指标值：100%，实际完成值：100%。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本项目的社会效益指标评价指标“该项目对八家户村的社会稳定意义”，指标值：积极意义，实际完成值：完全达到预期。</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本项目的社会效益指标评价指标“提高八家户村村民生活水平”，指标值：有效提升，实际完成值：完全达到预期。</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铁厂沟镇八家户村富民安居工程配套设施资金工作的主要经验是1.强化认识，高度重视绩效工作；2.加强专项工作经费支出预算编制的科学性、针对性，增强项目绩效指标的量化、细化、可衡量性，提升预算的可执行性；3.加强项目资金实施过程中的监督审核，建立健全财政专项资金的公开机制、评审机制、跟踪检查机制，确保资金安全有效使用；4.在资金使用方面，严格按照专项资金管理办法执行；5.在预算执行方面，严格按照年初的绩效目标执行，资金使用达到了预期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在工作的开展中，也存在一定的问题，主要有1.整体规划不够充分，决策科学性不足；2.绩效目标规范性不足，设置不合理；3.对专项资金的延伸性监管不到位；4.绩效管理意识较为薄弱，效果呈现不够完整。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对此，我们建议：1.加强顶层设计，合理整合专项涉及的整体内容，强化项目立项决策管理；2.注重长短期目标的衔接，合理设置年度绩效指标；3.重视对项目和资金的过程化管理，加强对项目的延伸性监管，建立健全项日督管理制度，落实各级项目监督管理责任；4.树立绩效管理理念，完整呈现项目执行效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结合项目特点，制定符合项目实际的绩效评价指标体系及评分标准，通过数据采集等形式，对铁厂沟镇八家户村富民安居工程配套设施资金进行客观评价，最终评分结果为：总分为98分，绩效评级为“优”。</w:t>
      </w:r>
    </w:p>
    <w:p w14:paraId="1D6A1BFE">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（二）绩效评价原则、评价指标体系、评价方法、评价标准</w:t>
      </w:r>
    </w:p>
    <w:p w14:paraId="2CB13A0F">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 评价原则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（4）公开透明。绩效评价结果应依法依规公开，并自觉接受社会监督。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评价指标体系</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绩效评价指标体系作为衡量绩效目标实现程度的考核工具，一般遵循以下原则：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（1）相关性原则：绩效评价指标应当与绩效目标有直接的联系，能够恰当反映目标的实现程度。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（2）重要性原则：应当优先使用最具评价对象代表性、最能反映评价要求的核心指标。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（3）可比性原则：对同类评价对象要设定共性的绩效评价指标，以便于评价结果可以相互比较。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（5）经济性原则：绩效评价指标设计应当通俗易懂、简便易行，数据的获得应当考虑现实条件和可操作性，符合成本效益原则。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本项目的评价指标体系建立如表2-1所示。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表2-1 项目支出绩效评价指标体系</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一级指标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二级指标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三级指标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指标解释</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指标说明</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决策</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项目立项</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立项依据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充分性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项目立项是否符合法律法规、相关政策、发展规划以及部门职责，用以反映和考核项目立项依据情况。</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①项目立项是否符合国家法律法规、国民经济发展规划和相关政策；</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②项目立项是否符合行业发展规划和政策要求；</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③项目立项是否与部门职责范围相符，属于部门履职所需；</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④项目是否属于公共财政支持范围，是否符合中央、地方事权支出责任划分原则；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⑤项目是否与相关部门同类项目或部门内部相关项目重复。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立项程序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规范性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项目申请、设立过程是否符合相关要求，用以反映和考核项目立项的规范情况。</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①项目是否按照规定的程序申请设立；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②审批文件、材料是否符合相关要求；</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③事前是否已经过必要的可行性研究、专家论证、风险评估、绩效评估、集体决策。</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绩效目标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绩效目标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合理性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项目所设定的绩效目标是否依据充分，是否符合客观实际，用以反映和考核项目绩效目标与项目实施的相符情况。</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（如未设定预算绩效目标，也可考核其他工作任务目标）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①项目是否有绩效目标；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②项目绩效目标与实际工作内容是否具有相关性；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③项目预期产出效益和效果是否符合正常的业绩水平；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④是否与预算确定的项目投资额或资金量相匹配。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决策</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绩效目标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绩效指标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明确性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依据绩效目标设定的绩效指标是否清晰、细化、可衡量等，用以反映和考核项目绩效目标的明细化情况。</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①是否将项目绩效目标细化分解为具体的绩效指标；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②是否通过清晰、可衡量的指标值予以体现；</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③是否与项目目标任务数或计划数相对应。</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资金投入</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预算编制</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科学性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项目预算编制是否经过科学论证、有明确标准，资金额度与年度目标是否相适应，用以反映和考核项目预算编制的科学性、合理性情况。</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①预算编制是否经过科学论证；</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②预算内容与项目内容是否匹配；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③预算额度测算依据是否充分，是否按照标准编制；</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④预算确定的项目投资额或资金量是否与工作任务相匹配。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资金分配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合理性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项目预算资金分配是否有测算依据，与补助单位或地方实际是否相适应，用以反映和考核项目预算资金分配的科学性、合理性情况。</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①预算资金分配依据是否充分；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②资金分配额度是否合理，与项目单位或地方实际是否相适应。</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过程</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资金管理</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资金到位率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实际到位资金与预算资金的比率，用以反映和考核资金落实情况对项目实施的总体保障程度。</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资金到位率=（实际到位资金/预算资金）×100%。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实际到位资金：一定时期（本年度或项目期）内落实到具体项目的资金。</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预算资金：一定时期（本年度或项目期）内预算安排到具体项目的资金。</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预算执行率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项目预算资金是否按照计划执行，用以反映或考核项目预算执行情况。</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预算执行率=（实际支出资金/实际到位资金）×100%。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实际支出资金：一定时期（本年度或项目期）内项目实际拨付的资金。</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过程</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资金管理</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资金使用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合规性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项目资金使用是否符合相关的财务管理制度规定，用以反映和考核项目资金的规范运行情况。</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①是否符合国家财经法规和财务管理制度以及有关专项资金管理办法的规定；</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②资金的拨付是否有完整的审批程序和手续；</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③是否符合项目预算批复或合同规定的用途；</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④是否存在截留、挤占、挪用、虚列支出等情况。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组织实施</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管理制度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健全性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项目实施单位的财务和业务管理制度是否健全，用以反映和考核财务和业务管理制度对项目顺利实施的保障情况。</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①是否已制定或具有相应的财务和业务管理制度；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②财务和业务管理制度是否合法、合规、完整。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制度执行</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有效性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项目实施是否符合相关管理规定，用以反映和考核相关管理制度的有效执行情况。</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①是否遵守相关法律法规和相关管理规定；</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②项目调整及支出调整手续是否完备；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③项目合同书、验收报告、技术鉴定等资料是否齐全并及时归档；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④项目实施的人员条件、场地设备、信息支撑等是否落实到位。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产出</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产出数量</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油侵式变压器安装数量</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项目实施的实际产出数与计划产出数的比率，用以反映和考核项目产出数量目标的实现程度。</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实际完成率=（实际产出数/计划产出数）×100%。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实际产出数：一定时期（本年度或项目期）内项目实际产出的产品或提供的服务数量。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计划产出数：项目绩效目标确定的在一定时期（本年度或项目期）内计划产出的产品或提供的服务数量。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产出</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产出质量</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400kVA油侵式变压器合格率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项目完成的变压器合格数量/变压器总数量的比率，用以反映和考核项目产出质量目标的实现程度。</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合格达标率=（变压器合格数量/变压器总数量）×100%。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变压器合格数量：一定时期（本年度或项目期）内实际达到既定质量标准的产品或服务数量。既定合格标准是指项目实施单位设立绩效目标时依据计划标准、行业标准、历史标准或其他标准而设定的绩效指标值。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产出时效</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设备安装及时率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项目设备安装实际完成时间与计划完成时间的比较，用以反映和考核项目产出时效目标的实现程度。</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实际完成时间：项目实施单位完成该项目实际所耗用的时间。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计划完成时间：按照项目实施计划或相关规定完成该项目所需的时间。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产出成本</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项目预算控制率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项目实际支出的经费总额与预算安排的经费总额的比率，用以反映和考核对机构运转成本的实际控制程度。</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项目预算控制率=（实际支出经费总额/预算安排经费总额）×100%。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实际实际支出经费：项目实施单位如期、保质、保量完成既定工作目标实际所耗费的支出。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预算安排经费总额：项目实施单位为完成工作目标计划安排的支出，一般以项目预算为参考。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效益</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社会效益指标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该项目对八家户村的社会稳定意义</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项目实施所产生的效益。</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项目实施所产生的社会效益、经济效益、生态效益、可持续影响等。可根据项目实际情况有选择地设置和细化。</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提高八家户村村民生活水平</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社会公众或服务对象是指因该项目实施而受到影响的部门（单位）、群体或个人。一般采取社会调查的方式。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满意度指标完成情况分析</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满意度指标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群众满意度</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社会公众或服务对象对项目实施效果的满意程度。</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社会公众或服务对象是指因该项目实施而受到影响的部门（单位）、群体或个人。一般采取社会调查的方式。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评价方法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（1）成本效益分析法。是指将投入与产出、效益进行关联性分析的方法。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（2）比较法。是指将实施情况与绩效目标、历史情况、不同部门和地区同类支出情况进行比较的方法。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（3）因素分析法。是指综合分析影响绩效目标实现、实施效果的内外部因素的方法。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（4）最低成本法。是指在绩效目标确定的前提下，成本最小者为优的方法。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（5）公众评判法。是指通过专家评估、公众问卷及抽样调查等方式进行评判的方法。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（6）标杆管理法。是指以国内外同行业中较高的绩效水平为标杆进行评判的方法。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（7）其他评价方法。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根据本项目（铁厂沟镇八家户村富民安居工程配套设施资金）的特点，本次评价主要</w:t>
      </w:r>
      <w:bookmarkStart w:id="0" w:name="_GoBack"/>
      <w:bookmarkEnd w:id="0"/>
      <w:r>
        <w:rPr>
          <w:rStyle w:val="18"/>
          <w:rFonts w:hint="eastAsia" w:ascii="楷体" w:hAnsi="楷体" w:eastAsia="楷体"/>
          <w:b w:val="0"/>
          <w:bCs w:val="0"/>
          <w:color w:val="auto"/>
          <w:spacing w:val="-4"/>
          <w:sz w:val="32"/>
          <w:szCs w:val="32"/>
        </w:rPr>
        <w:t>采用比较法和公众评判法，对项目总预算和明细预算的内容、标准、计划是否经济合理进行深入分析，以考察实际产出和效益是否达到预期。</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 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绩效评价标准主要包括计划标准、行业标准、历史标准等，用于对绩效指标完成情况进行比较。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（1）计划标准。指以预先制定的目标、计划、预算、定额等作为评价标准。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（2）行业标准。指参照国家公布的行业指标数据制定的评价标准。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在上述评价标准的基础上，本次评价依据以下文件为重要指导和准绳：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·《中共中央国务院关于全面实施预算绩效管理的意见》（中发〔2018〕34号）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·《关于印发&lt;乌鲁木齐市本级部门预算绩效目标管理暂行办法&gt;的通知》（乌财预〔2018〕56号）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·《关于做好2019年部门预算项目支出绩效目标管理有关事宜的通知》（乌财预〔2018〕76号）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·《项目支出绩效评价管理办法》（财预〔2020〕10号）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·《关于印发米东区富民安居兴牧工程实施方案的通知》（米党办发〔2014〕1号）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·米东区区委财经领导小组2015年第4次会议纪要（米党财字〔2015〕4号）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·《米东区铁厂沟镇人民政府项目管理制度》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·《米东区铁厂沟镇人民政府专项资金管理制度》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·《米东区铁厂沟镇人民政府财务工作管理制度》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·《米东区铁厂沟镇人民政府专项资金绩效评价制度》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·中共米东区铁厂沟镇委员会会议纪要(铁党纪字【2023】33号)</w:t>
      </w:r>
    </w:p>
    <w:p w14:paraId="12C3C9E7">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（三）绩效评价工作过程</w:t>
      </w:r>
    </w:p>
    <w:p w14:paraId="28A3EF68">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（三）绩效评价工作过程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07E35C03">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三、综合评价情况及评价结论</w:t>
      </w:r>
    </w:p>
    <w:p w14:paraId="519836CC">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三、综合评价情况及评价结论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（一）评价结论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结合项目特点，制定符合项目实际的绩效评价指标体系及评分标准，通过数据采集、问卷调查及访谈等形式，对2023年铁厂沟镇八家户村富民安居工程配套设施资金进行客观评价，最终评分结果为：总分为98分，绩效评级为“优”[本次绩效评价结果实施百分制和四级分类，其中90（含）-100分为优、80（含）-90分为良、70（含）-80分为中、70分以下为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项目各部分权重和绩效分值如表3-1所示：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表3-1 项目各部分权重和绩效分值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一级指标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二级指标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三级指标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分值</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得分</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得分率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决策</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项目立项</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立项依据充分性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4</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4</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立项程序规范性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4</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2</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50%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绩效目标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绩效目标合理性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3</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3</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绩效指标明确性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3</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3</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资金投入</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预算编制科学性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3</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3</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资金分配合理性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3</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3</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过程</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资金管理</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资金到位率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预算执行率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资金使用合规性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3</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3</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组织实施</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管理制度健全性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3</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3</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制度执行有效性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4</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4</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产出</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产出数量</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油侵式变压器安装数量</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产出质量</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400kVA油侵式变压器合格率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产出时效</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设备安装及时率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产出成本</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项目预算控制率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效益</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项目效益</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该项目对八家户村的社会稳定意义</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提高八家户村村民生活水平</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满意度指标完成情况分析</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满意度指标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群众满意度</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（二）主要绩效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该项目资金区财政及时拨付，单位在此次评价期间内，有序完成设定目标的工作任务，完成工程内容为安装400kVA 油侵式变压器5台、15米电杆17根、12米电杆11根、10米电杆18根、一进三出低压电缆分接箱2台、JP柜5台等的相关工程价款40万元。本项目的产出数量指标“油侵式变压器安装数量”，指标值：5个，实际完成值：5个;产出质量指标“400kVA油侵式变压器合格率”，指标值：&gt;=95%，实际完成值：95%;产出时效指标“设备安装及时率”，指标值：&gt;=90%，实际完成值：90%;产出成本指标评价指标“项目预算控制率”，指标值：100%，实际完成值：100%;社会效益指标“该项目对八家户村的社会稳定意义”，指标值：积极意义，实际完成值：完全达到预期;社会效益指标“提高八家户村村民生活水平”，指标值：有效提升，实际完成值：完全达到预期。</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此项目的实施更好地满足辖区的用电需求，缓解供电压力。同时也改善村民居住环境，延长楼栋和院落使用年限，保证村民日常出行，加强乡村振兴建设，积极推进乡村发展，进一步促进八家户村经济发展和社会稳定。</w:t>
      </w:r>
    </w:p>
    <w:p w14:paraId="41D94FAC">
      <w:pPr>
        <w:spacing w:line="540" w:lineRule="exact"/>
        <w:ind w:firstLine="640"/>
        <w:rPr>
          <w:rStyle w:val="18"/>
          <w:rFonts w:ascii="黑体" w:hAnsi="黑体" w:eastAsia="黑体"/>
          <w:color w:val="auto"/>
        </w:rPr>
      </w:pPr>
      <w:r>
        <w:rPr>
          <w:rStyle w:val="18"/>
          <w:rFonts w:hint="eastAsia" w:ascii="黑体" w:hAnsi="黑体" w:eastAsia="黑体"/>
          <w:b w:val="0"/>
          <w:color w:val="auto"/>
          <w:spacing w:val="-4"/>
          <w:sz w:val="32"/>
          <w:szCs w:val="32"/>
        </w:rPr>
        <w:t>四、绩效评价指标分析</w:t>
      </w:r>
      <w:r>
        <w:rPr>
          <w:rStyle w:val="18"/>
          <w:rFonts w:hint="eastAsia" w:ascii="黑体" w:hAnsi="黑体" w:eastAsia="黑体"/>
          <w:color w:val="auto"/>
        </w:rPr>
        <w:t xml:space="preserve"> </w:t>
      </w:r>
    </w:p>
    <w:p w14:paraId="768C97A5">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（一）</w:t>
      </w:r>
      <w:r>
        <w:rPr>
          <w:rStyle w:val="18"/>
          <w:rFonts w:hint="eastAsia" w:ascii="楷体" w:hAnsi="楷体" w:eastAsia="楷体"/>
          <w:color w:val="auto"/>
          <w:spacing w:val="-4"/>
          <w:sz w:val="32"/>
          <w:szCs w:val="32"/>
        </w:rPr>
        <w:t>项目决策情况</w:t>
      </w:r>
    </w:p>
    <w:p w14:paraId="6FA8B5AD">
      <w:pPr>
        <w:tabs>
          <w:tab w:val="center" w:pos="4295"/>
        </w:tabs>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（一）项目决策情况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项目决策指标由3个二级指标和6个三级指标构成，权重为20分，实际得分20分。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项目立项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立项依据充分性：项目立项符合国家法律法规、铁厂沟镇政府项目管理制度、专项资金管理制度、财务工作管理制度、专项资金绩效评价制度等制度要求，根据各级党委政府富民安居建设要求，符合米东区安居富民定居兴牧工程项目的政策要求。同时，项目与我单位《乌鲁木齐市米东区铁厂沟镇机构改革方案》米党办发﹝2021﹞47号的部门职责范围相符，属于部门履职所需。此外，本项目属于公共财政支持范围，符合中央、地方事权支出责任划分原则，没有与相关部门同类项目或部门内部相关项目重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因此，立项依据充分，得4分。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立项程序规范性:2023年米东区财政局依据米党财纪【2015】4号文件，拨付此项目资金，按照规定的程序申请项目库，预算调剂，及时做计划、支付。相关发票、审批材料符合相关要求，但本项目缺少立项申请和项目验收相关资料，因此酌情扣减2分。故立项程序规范性指标赋分4分，得分2分，得分率50%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综上，该指标满分8分，得分6分。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绩效目标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目标合理性：本项目的绩效目标按照产出、成本、效益和满意度构建绩效评价指标，且具有明确性、可衡量性、可实现性、相关性和时限性等特点，能较为全面地反映本项目的产出和效益，故绩效目标合理性指标得分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目标明确性：其中，目标已细化为具体的绩效指标，具体有：油侵式变压器安装数量、400kVA油侵式变压器合格率、设备安装及时率、项目预算控制率、该项目对八家户村的社会稳定意义、提高八家户村村民生活水平、群众满意度，可通过数量指标、质量指标、时效指标、成本指标、效益指标和满意度指标予以量化，并具有确切的评价标准，且指标设定均与目标相关。各项指标均能在现实条件下收集到相关数据进行佐证，在项目实施合同和关于《关于米东区铁厂沟镇八家户村富民安居基础设施建设配套资金安排的意见建议》的核实意见中均能体现数量指标，项目实施合同体现质量指标和时效指标，镇党委会议纪要和支付凭证体现成本指标，开展的满意度调查问卷体现效益指标和满意度指标，并与当年项目年度计划相对应，故绩效目标明确性指标得分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综上，该指标满分6分，得分6分。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资金投入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预算编制科学性：预算内容与项目内容匹配；预算额度测算【2015】4号文件为依据，依据充分，按照按实际发生资金总额50%给予补助(仅限“两居”建设点内给推水、道路、供电、燃气)， 其余50%部分由所属乡镇自筹标准编制拨付40万元；预算确定的项目投资额或资金量与项目库，预算调剂、计划与支付中金额一致。故预算编制科学性指标得分3分。故预算编制科学性指标得分3分。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资金分配合理性： 该项目预算资金分配有测算依据，与铁厂沟镇八家户村富民安居基础设施建设配套资金的实际情况相适应，项目预算资金分配的科学合理，安排预算40万元，完成工程内容为安装400kVA 油侵式变压器5台、15米电杆17根、12米电杆11根、10米电杆18根、一进三出低压电缆分接箱2台、JP柜5台等的相关工程价款40万元。确保项目的每项内容都能够顺利完成。故资金分配合理性指标得分3分。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综上，该指标满分6分，得分6分。</w:t>
      </w:r>
      <w:r>
        <w:rPr>
          <w:rStyle w:val="18"/>
          <w:rFonts w:hint="eastAsia" w:ascii="楷体" w:hAnsi="楷体" w:eastAsia="楷体"/>
          <w:b w:val="0"/>
          <w:bCs w:val="0"/>
          <w:color w:val="auto"/>
          <w:spacing w:val="-4"/>
          <w:sz w:val="32"/>
          <w:szCs w:val="32"/>
        </w:rPr>
        <w:tab/>
      </w:r>
    </w:p>
    <w:p w14:paraId="62CF6605">
      <w:pPr>
        <w:spacing w:line="540" w:lineRule="exact"/>
        <w:ind w:firstLine="567" w:firstLineChars="181"/>
        <w:rPr>
          <w:rStyle w:val="18"/>
          <w:rFonts w:ascii="楷体" w:hAnsi="楷体" w:eastAsia="楷体"/>
          <w:color w:val="auto"/>
          <w:spacing w:val="-4"/>
          <w:sz w:val="32"/>
          <w:szCs w:val="32"/>
        </w:rPr>
      </w:pPr>
      <w:r>
        <w:rPr>
          <w:rFonts w:hint="eastAsia" w:ascii="楷体" w:hAnsi="楷体" w:eastAsia="楷体"/>
          <w:b/>
          <w:color w:val="auto"/>
          <w:spacing w:val="-4"/>
          <w:sz w:val="32"/>
          <w:szCs w:val="32"/>
        </w:rPr>
        <w:t>（二）</w:t>
      </w:r>
      <w:r>
        <w:rPr>
          <w:rStyle w:val="18"/>
          <w:rFonts w:hint="eastAsia" w:ascii="楷体" w:hAnsi="楷体" w:eastAsia="楷体"/>
          <w:color w:val="auto"/>
          <w:spacing w:val="-4"/>
          <w:sz w:val="32"/>
          <w:szCs w:val="32"/>
        </w:rPr>
        <w:t>项目过程情况</w:t>
      </w:r>
    </w:p>
    <w:p w14:paraId="1A575ECF">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（二）项目过程情况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项目过程指标由4个二级指标和4个三级指标构成，权重为20分，实际得分20 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资金管理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资金到位率： 经【2015】4号，项目系2023年本级资金，安排预算40万元，为2023年年中追加项目，资金在2023年8月28日到位，实际到位资金40万元，资金到位率100%。故资金到位率指标得分5分。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预算执行率：本项目实际到位资金40万元，根据合同约定，及时向财政局申请相关款项，并于2023年8月28日完成全额支付，将资金支付给乌鲁木齐市米东区八家户村村民委员会，由乌鲁木齐市米东区八家户村村民委员会拨至新疆宏泰建工集团有限公司，故实际执行金额为40万元，预算执行率为100%。故预算执行率得分为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使用合规性：本项目资金的使用符合国家财经法规和米东区铁厂沟镇人民政府项目管理制度、米东区铁厂沟镇人民政府专项资金管理制度、米东区铁厂沟镇人民政府财务工作管理制度、米东区铁厂沟镇人民政府专项资金绩效评价制度等主要内容的要求。同时，资金的拨付有规范的审批程序，需要我镇召开党委会议研究决定，符合项目预算批复和合同规定的用途，不存在截留、挤占、挪用、虚列支出等情况。故资金使用合规性得分为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综上，该指标满分13分，得分13分。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组织实施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管理制度健全性：乌鲁木齐市米东区铁厂沟镇人民政府已制定米东区铁厂沟镇人民政府项目管理制度、米东区铁厂沟镇人民政府专项资金管理制度、米东区铁厂沟镇人民政府财务工作管理制度、米东区铁厂沟镇人民政府专项资金绩效评价制度，且制度合法、合规、完整，为项目顺利实施提供重要保障故管理制度健全性得分为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制度执行有效性：本项目以【2015】4号文件为依据，根据铁厂沟镇评价小组核查情况、现场调研和资料抽查情况，米东区铁厂沟镇人民政府严格遵守相关法律法规和相关管理规定，项目调整及支出调整手续完备，整体管理合理有序，项目完成后，及时将会计凭证等相关资料分类归档，制度执行有效。故制度执行有效性指标得分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综上，该指标满分7分，得分7分。</w:t>
      </w:r>
    </w:p>
    <w:p w14:paraId="70D42B4A">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（三）</w:t>
      </w:r>
      <w:r>
        <w:rPr>
          <w:rStyle w:val="18"/>
          <w:rFonts w:hint="eastAsia" w:ascii="楷体" w:hAnsi="楷体" w:eastAsia="楷体"/>
          <w:color w:val="auto"/>
          <w:spacing w:val="-4"/>
          <w:sz w:val="32"/>
          <w:szCs w:val="32"/>
        </w:rPr>
        <w:t>项目产出情况</w:t>
      </w:r>
    </w:p>
    <w:p w14:paraId="40037FB7">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（三）项目产出情况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项目产出指标由4个二级指标和4个三级指标构成，权重为40分，实际得分40分。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产出数量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数量指标“油侵式变压器安装数量”的目标值是5个，2023年度我单位实际完成5个。2023年度我单位高度重视八家户村富民安居工程配套设施资金项目实施工作，以更好地满足辖区的用电需求，缓解供电压力。同时也为了确保电力可靠供应，结合辖区配电线路设备的实际运行状况，及时采取有效措施，提前做好秋冬保供电等工作，优化各配变台区配置，在深入优化定居点环境的前提下，进一步提升供电可靠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实际完成率：100%，故实际完成率得分为10分。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产出质量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产出质量“400kVA油侵式变压器合格率”的目标值为&gt;=95%。我单位在项目完工后，根据合同约定，及时向财政局申请相关款项，并于2023年8月28日将资金支付给乌鲁木齐市米东区八家户村村民委员会。400kVA油侵式变压器合格率为95%。故工程质量达标率得分为10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产出时效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设备安装及时率：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产出时效“设备安装及时率”的目标值为&gt;=90%。我单位在项目完工后，根据合同约定，及时向财政局申请相关款项，并于2023年8月28日将资金支付给乌鲁木齐市米东区八家户村村民委员会，由乌鲁木齐市米东区八家户村村民委员会拨至新疆宏泰建工集团有限公司，全面高效、保质保量的完成设备安装工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故“设备安装及时率”得分为10分。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 产出成本</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项目预算控制率：本项目实际支出40万元，无超支情况，项目资金全部完成，得分为10分。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综上，该部分指标满分40分，得分40分。</w:t>
      </w:r>
    </w:p>
    <w:p w14:paraId="52BAE64B">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（四）</w:t>
      </w:r>
      <w:r>
        <w:rPr>
          <w:rStyle w:val="18"/>
          <w:rFonts w:hint="eastAsia" w:ascii="楷体" w:hAnsi="楷体" w:eastAsia="楷体"/>
          <w:color w:val="auto"/>
          <w:spacing w:val="-4"/>
          <w:sz w:val="32"/>
          <w:szCs w:val="32"/>
        </w:rPr>
        <w:t>项目效益情况</w:t>
      </w:r>
    </w:p>
    <w:p w14:paraId="41FDD8C1">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（四）项目效益情况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项目效益指标由1个二级指标和2个三级指标构成，权重为10分，实际得分10分。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项目效益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（1）实施效益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经济效益指标：不适用。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社会效益指标：评价指标“该项目对当地的发展意义”，指标值：积极意义，实际完成值：完全达到预期。本项目的实施能消除安全隐患，改善村民居住环境，延长楼栋和院落使用年限，保证村民日常出行，加强乡村振兴建设，积极推进乡村发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社会效益指标：评价指标“提高八家户村村民生活水平”，指标值：有效提升，实际完成值：基本达到预期。本项目的实施全面提升乡村宜居质量、村庄建设品质，人居环境明显改善，保证村民日常出行，加强乡村振兴建设，进一步促进八家户村经济发展和社会稳定。</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生态效益指标：不适用。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综上，该指标满分10分，得分10分。</w:t>
      </w:r>
    </w:p>
    <w:p w14:paraId="7698A14E">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（1）满意度指标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群众满意度：评价指标“群众满意度”，指标值：&gt;=95%，实际完成值：95%。通过设置问卷调查的方式进行考评评价，共计调查样本总量为20个样本，有效调查问卷20份。其中，统计“群众满意度”的平均值为100%。故满意度指标得分为10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综上，该指标满分10分，得分10分。</w:t>
      </w:r>
    </w:p>
    <w:p w14:paraId="09FE29AB">
      <w:pPr>
        <w:spacing w:line="540" w:lineRule="exact"/>
        <w:ind w:firstLine="567"/>
        <w:rPr>
          <w:rStyle w:val="18"/>
          <w:rFonts w:ascii="楷体" w:hAnsi="楷体" w:eastAsia="楷体"/>
          <w:color w:val="auto"/>
          <w:spacing w:val="-4"/>
          <w:sz w:val="32"/>
          <w:szCs w:val="32"/>
        </w:rPr>
      </w:pPr>
    </w:p>
    <w:p w14:paraId="3E720505">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五、主要经验及做法、存在的问题及原因分析</w:t>
      </w:r>
    </w:p>
    <w:p w14:paraId="73F61048">
      <w:pPr>
        <w:spacing w:line="540" w:lineRule="exact"/>
        <w:ind w:firstLine="567"/>
        <w:rPr>
          <w:rFonts w:ascii="仿宋_GB2312" w:eastAsia="仿宋_GB2312"/>
          <w:color w:val="auto"/>
          <w:spacing w:val="-4"/>
          <w:sz w:val="32"/>
          <w:szCs w:val="32"/>
        </w:rPr>
      </w:pPr>
      <w:r>
        <w:rPr>
          <w:rStyle w:val="18"/>
          <w:rFonts w:hint="eastAsia" w:ascii="楷体" w:hAnsi="楷体" w:eastAsia="楷体"/>
          <w:b w:val="0"/>
          <w:bCs w:val="0"/>
          <w:color w:val="auto"/>
          <w:spacing w:val="-4"/>
          <w:sz w:val="32"/>
          <w:szCs w:val="32"/>
        </w:rPr>
        <w:t>（一）主要经验及做法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强化认识，高度重视绩效工作。统一思想，加强领导，总结评价工作经验，严格落实绩效管理责任，保质保量完成绩效评价工作任务。我单位严格按照上级部门和区财政局相关要求，采取以下工作措施，认真做好部门整体绩效评价工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2.加强专项工作经费支出预算编制的科学性、针对性，增强项目绩效指标的量化、细化、可衡量性，提升预算的可执行性；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3.加强项目资金实施过程中的监督审核，建立健全财政专项资金的公开机制、评审机制、跟踪检查机制，确保资金安全有效使用；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4.在资金使用方面，严格按照专项资金管理办法执行；</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5.在预算执行方面，严格按照年初的绩效目标执行，资金使用达到了预期效益。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（二）存在的问题及原因分析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整体规划不够充分，决策科学性不足；项目启动前缺少具体内容的前期调研及必要性论证工作，延续性项目缺少对往年实施情况和资金投入情况的总结分析，新增项目缺少前期需求及必要性的相关论证资料，不利于项目的统筹管理与协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2.绩效目标规范性不足，设置不合理；绩效目标设定有绩无效，绩效指标细化、量化不足，效果指标的设定较为宏观，项目执行内容、总体目标、具体指标难以衔接。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3.对专项资金的延伸性监管不到位；尽管大部分财政专项在立项阶段就已经有明确的预算安排，但仍存在因考虑不全面或者对项目实施结果估计不足而导致预算编制不精准、预算资金使用进度未细化等问题。</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4.绩效管理意识较为薄弱，效果呈现不够完整。项目完成的绩效成果资料呈现不足，尚未建立绩效评价管理机制，针对历年延续内容缺少汇总和分析，未针对项目内容及受益群众及时开展服务满意度调查。</w:t>
      </w:r>
    </w:p>
    <w:p w14:paraId="251EE2B5">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六、有关建议</w:t>
      </w:r>
    </w:p>
    <w:p w14:paraId="641B15E0">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b w:val="0"/>
          <w:bCs w:val="0"/>
          <w:color w:val="auto"/>
          <w:spacing w:val="-4"/>
          <w:sz w:val="32"/>
          <w:szCs w:val="32"/>
        </w:rPr>
        <w:t>（一）加强顶层设计，合理整合专项涉及的整体内容，强化项目立项决策管理。及时编制专项发展规划，完善前期需求论证和可研分析，合理划分部门正常履职和特定项目内容的边界，厘清项目支出与基本支出的界限、延续性项目和临时性（新增）项目之间的内容及界限，对于同类项目进行统筹整合管理；加强部门工作的统筹和战略规划，制定中长期发展规划统领部门工作及履职，确定年度重点工作安排的合理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注重长短期目标的衔接，合理设置年度绩效指标。在具体年度工作计划的安排上，可通过对比历年各项指标的增长情况，将规划中要实现的各项指标合理分配到年度的工作任务中，设定各年度绩效指标的目标增长率，从而确保规划目标的顺利实现。对于在当年度提前完成的绩效指标，应及时总结绩优经验，调整规划的绩效指标值，从而促进各规划的绩效指标对林业发展指导激励作用的有效发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重视对项目和资金的过程化管理，加强对项目的延伸性监管，建立健全项日督管理制度，落实各级项目监督管理责任。一方面，主管部门应加强对项目实施过程的监管意识，建立重点项目实施过程的绩效反馈机制。另一方面，资金使用单位应加强对项目实施的风险管控意识，加强对项目实施的过程控制。</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四）树立绩效管理理念，完整呈现项目执行效果。及时归集绩效成果资料，注重绩效过程资料总结和数据汇总分析，注重建立满意度调查机制，听取专家和专业机构及上级主管部门的评价意见，全面展示项目实施效果。</w:t>
      </w:r>
    </w:p>
    <w:p w14:paraId="4F037D94">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七、其他需要说明的问题</w:t>
      </w:r>
    </w:p>
    <w:p w14:paraId="5494D8CB">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（一）项目支出政策和路径设计科学，符合实际需要；</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（二）项目安排准确，未发现背离项目立项初衷的情况；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（三）项目的申报、审核机制完善；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（四）未发现虚假行为和骗取财政资金的问题。</w:t>
      </w:r>
    </w:p>
    <w:p w14:paraId="1BB75FE3">
      <w:pPr>
        <w:spacing w:line="540" w:lineRule="exact"/>
        <w:ind w:firstLine="567"/>
        <w:rPr>
          <w:rStyle w:val="18"/>
          <w:rFonts w:ascii="仿宋" w:hAnsi="仿宋" w:eastAsia="仿宋"/>
          <w:b w:val="0"/>
          <w:color w:val="auto"/>
          <w:spacing w:val="-4"/>
          <w:sz w:val="32"/>
          <w:szCs w:val="32"/>
        </w:rPr>
      </w:pPr>
    </w:p>
    <w:p w14:paraId="55897CC6">
      <w:pPr>
        <w:spacing w:line="540" w:lineRule="exact"/>
        <w:ind w:firstLine="567"/>
        <w:rPr>
          <w:rStyle w:val="18"/>
          <w:rFonts w:ascii="仿宋" w:hAnsi="仿宋" w:eastAsia="仿宋"/>
          <w:b w:val="0"/>
          <w:color w:val="auto"/>
          <w:spacing w:val="-4"/>
          <w:sz w:val="32"/>
          <w:szCs w:val="32"/>
        </w:rPr>
      </w:pPr>
    </w:p>
    <w:p w14:paraId="4CBE6AE2">
      <w:pPr>
        <w:spacing w:line="540" w:lineRule="exact"/>
        <w:ind w:firstLine="567"/>
        <w:rPr>
          <w:rStyle w:val="18"/>
          <w:rFonts w:ascii="仿宋" w:hAnsi="仿宋" w:eastAsia="仿宋"/>
          <w:b w:val="0"/>
          <w:color w:val="auto"/>
          <w:spacing w:val="-4"/>
          <w:sz w:val="32"/>
          <w:szCs w:val="32"/>
        </w:rPr>
      </w:pPr>
    </w:p>
    <w:p w14:paraId="0B6E16A7">
      <w:pPr>
        <w:spacing w:line="540" w:lineRule="exact"/>
        <w:ind w:firstLine="567"/>
        <w:rPr>
          <w:rStyle w:val="18"/>
          <w:rFonts w:ascii="仿宋" w:hAnsi="仿宋" w:eastAsia="仿宋"/>
          <w:b w:val="0"/>
          <w:color w:val="auto"/>
          <w:spacing w:val="-4"/>
          <w:sz w:val="32"/>
          <w:szCs w:val="32"/>
        </w:rPr>
      </w:pPr>
    </w:p>
    <w:p w14:paraId="66FCD585">
      <w:pPr>
        <w:spacing w:line="540" w:lineRule="exact"/>
        <w:ind w:firstLine="567"/>
        <w:rPr>
          <w:rStyle w:val="18"/>
          <w:rFonts w:ascii="仿宋" w:hAnsi="仿宋" w:eastAsia="仿宋"/>
          <w:b w:val="0"/>
          <w:color w:val="auto"/>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33ADE29A">
        <w:pPr>
          <w:pStyle w:val="12"/>
          <w:jc w:val="center"/>
        </w:pPr>
        <w:r>
          <w:fldChar w:fldCharType="begin"/>
        </w:r>
        <w:r>
          <w:instrText xml:space="preserve">PAGE   \* MERGEFORMAT</w:instrText>
        </w:r>
        <w:r>
          <w:fldChar w:fldCharType="separate"/>
        </w:r>
        <w:r>
          <w:rPr>
            <w:lang w:val="zh-CN"/>
          </w:rPr>
          <w:t>1</w:t>
        </w:r>
        <w:r>
          <w:fldChar w:fldCharType="end"/>
        </w:r>
      </w:p>
    </w:sdtContent>
  </w:sdt>
  <w:p w14:paraId="352631DB">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U4ODU0MDBiNzZmZDg2NTI2ZGFkZDMzODZkZTU1NjYifQ=="/>
  </w:docVars>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0DF05648"/>
    <w:rsid w:val="11BD75F7"/>
    <w:rsid w:val="13BE561A"/>
    <w:rsid w:val="15392994"/>
    <w:rsid w:val="18FE139B"/>
    <w:rsid w:val="273A4D33"/>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autoRedefine/>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autoRedefine/>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autoRedefine/>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autoRedefine/>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autoRedefine/>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autoRedefine/>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autoRedefine/>
    <w:semiHidden/>
    <w:unhideWhenUsed/>
    <w:qFormat/>
    <w:uiPriority w:val="99"/>
    <w:tblPr>
      <w:tblCellMar>
        <w:top w:w="0" w:type="dxa"/>
        <w:left w:w="108" w:type="dxa"/>
        <w:bottom w:w="0" w:type="dxa"/>
        <w:right w:w="108" w:type="dxa"/>
      </w:tblCellMar>
    </w:tblPr>
  </w:style>
  <w:style w:type="paragraph" w:styleId="11">
    <w:name w:val="Balloon Text"/>
    <w:basedOn w:val="1"/>
    <w:link w:val="45"/>
    <w:autoRedefine/>
    <w:semiHidden/>
    <w:unhideWhenUsed/>
    <w:qFormat/>
    <w:uiPriority w:val="99"/>
    <w:rPr>
      <w:sz w:val="18"/>
      <w:szCs w:val="18"/>
    </w:rPr>
  </w:style>
  <w:style w:type="paragraph" w:styleId="12">
    <w:name w:val="footer"/>
    <w:basedOn w:val="1"/>
    <w:link w:val="44"/>
    <w:autoRedefine/>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autoRedefine/>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autoRedefine/>
    <w:qFormat/>
    <w:uiPriority w:val="0"/>
    <w:rPr>
      <w:b/>
      <w:bCs/>
    </w:rPr>
  </w:style>
  <w:style w:type="character" w:styleId="19">
    <w:name w:val="Emphasis"/>
    <w:basedOn w:val="17"/>
    <w:autoRedefine/>
    <w:qFormat/>
    <w:uiPriority w:val="20"/>
    <w:rPr>
      <w:rFonts w:asciiTheme="minorHAnsi" w:hAnsiTheme="minorHAnsi"/>
      <w:b/>
      <w:i/>
      <w:iCs/>
    </w:rPr>
  </w:style>
  <w:style w:type="character" w:customStyle="1" w:styleId="20">
    <w:name w:val="标题 1 字符"/>
    <w:basedOn w:val="17"/>
    <w:link w:val="2"/>
    <w:autoRedefine/>
    <w:qFormat/>
    <w:uiPriority w:val="9"/>
    <w:rPr>
      <w:rFonts w:asciiTheme="majorHAnsi" w:hAnsiTheme="majorHAnsi" w:eastAsiaTheme="majorEastAsia"/>
      <w:b/>
      <w:bCs/>
      <w:kern w:val="32"/>
      <w:sz w:val="32"/>
      <w:szCs w:val="32"/>
    </w:rPr>
  </w:style>
  <w:style w:type="character" w:customStyle="1" w:styleId="21">
    <w:name w:val="标题 2 字符"/>
    <w:basedOn w:val="17"/>
    <w:link w:val="3"/>
    <w:autoRedefine/>
    <w:semiHidden/>
    <w:qFormat/>
    <w:uiPriority w:val="9"/>
    <w:rPr>
      <w:rFonts w:asciiTheme="majorHAnsi" w:hAnsiTheme="majorHAnsi" w:eastAsiaTheme="majorEastAsia"/>
      <w:b/>
      <w:bCs/>
      <w:i/>
      <w:iCs/>
      <w:sz w:val="28"/>
      <w:szCs w:val="28"/>
    </w:rPr>
  </w:style>
  <w:style w:type="character" w:customStyle="1" w:styleId="22">
    <w:name w:val="标题 3 字符"/>
    <w:basedOn w:val="17"/>
    <w:link w:val="4"/>
    <w:autoRedefine/>
    <w:semiHidden/>
    <w:qFormat/>
    <w:uiPriority w:val="9"/>
    <w:rPr>
      <w:rFonts w:asciiTheme="majorHAnsi" w:hAnsiTheme="majorHAnsi" w:eastAsiaTheme="majorEastAsia"/>
      <w:b/>
      <w:bCs/>
      <w:sz w:val="26"/>
      <w:szCs w:val="26"/>
    </w:rPr>
  </w:style>
  <w:style w:type="character" w:customStyle="1" w:styleId="23">
    <w:name w:val="标题 4 字符"/>
    <w:basedOn w:val="17"/>
    <w:link w:val="5"/>
    <w:autoRedefine/>
    <w:semiHidden/>
    <w:qFormat/>
    <w:uiPriority w:val="9"/>
    <w:rPr>
      <w:b/>
      <w:bCs/>
      <w:sz w:val="28"/>
      <w:szCs w:val="28"/>
    </w:rPr>
  </w:style>
  <w:style w:type="character" w:customStyle="1" w:styleId="24">
    <w:name w:val="标题 5 字符"/>
    <w:basedOn w:val="17"/>
    <w:link w:val="6"/>
    <w:autoRedefine/>
    <w:semiHidden/>
    <w:qFormat/>
    <w:uiPriority w:val="9"/>
    <w:rPr>
      <w:b/>
      <w:bCs/>
      <w:i/>
      <w:iCs/>
      <w:sz w:val="26"/>
      <w:szCs w:val="26"/>
    </w:rPr>
  </w:style>
  <w:style w:type="character" w:customStyle="1" w:styleId="25">
    <w:name w:val="标题 6 字符"/>
    <w:basedOn w:val="17"/>
    <w:link w:val="7"/>
    <w:autoRedefine/>
    <w:semiHidden/>
    <w:qFormat/>
    <w:uiPriority w:val="9"/>
    <w:rPr>
      <w:b/>
      <w:bCs/>
    </w:rPr>
  </w:style>
  <w:style w:type="character" w:customStyle="1" w:styleId="26">
    <w:name w:val="标题 7 字符"/>
    <w:basedOn w:val="17"/>
    <w:link w:val="8"/>
    <w:autoRedefine/>
    <w:semiHidden/>
    <w:qFormat/>
    <w:uiPriority w:val="9"/>
    <w:rPr>
      <w:sz w:val="24"/>
      <w:szCs w:val="24"/>
    </w:rPr>
  </w:style>
  <w:style w:type="character" w:customStyle="1" w:styleId="27">
    <w:name w:val="标题 8 字符"/>
    <w:basedOn w:val="17"/>
    <w:link w:val="9"/>
    <w:autoRedefine/>
    <w:semiHidden/>
    <w:qFormat/>
    <w:uiPriority w:val="9"/>
    <w:rPr>
      <w:i/>
      <w:iCs/>
      <w:sz w:val="24"/>
      <w:szCs w:val="24"/>
    </w:rPr>
  </w:style>
  <w:style w:type="character" w:customStyle="1" w:styleId="28">
    <w:name w:val="标题 9 字符"/>
    <w:basedOn w:val="17"/>
    <w:link w:val="10"/>
    <w:autoRedefine/>
    <w:semiHidden/>
    <w:qFormat/>
    <w:uiPriority w:val="9"/>
    <w:rPr>
      <w:rFonts w:asciiTheme="majorHAnsi" w:hAnsiTheme="majorHAnsi" w:eastAsiaTheme="majorEastAsia"/>
    </w:rPr>
  </w:style>
  <w:style w:type="character" w:customStyle="1" w:styleId="29">
    <w:name w:val="标题 字符"/>
    <w:basedOn w:val="17"/>
    <w:link w:val="15"/>
    <w:autoRedefine/>
    <w:qFormat/>
    <w:uiPriority w:val="10"/>
    <w:rPr>
      <w:rFonts w:asciiTheme="majorHAnsi" w:hAnsiTheme="majorHAnsi" w:eastAsiaTheme="majorEastAsia"/>
      <w:b/>
      <w:bCs/>
      <w:kern w:val="28"/>
      <w:sz w:val="32"/>
      <w:szCs w:val="32"/>
    </w:rPr>
  </w:style>
  <w:style w:type="character" w:customStyle="1" w:styleId="30">
    <w:name w:val="副标题 字符"/>
    <w:basedOn w:val="17"/>
    <w:link w:val="14"/>
    <w:autoRedefine/>
    <w:qFormat/>
    <w:uiPriority w:val="11"/>
    <w:rPr>
      <w:rFonts w:asciiTheme="majorHAnsi" w:hAnsiTheme="majorHAnsi" w:eastAsiaTheme="majorEastAsia"/>
      <w:sz w:val="24"/>
      <w:szCs w:val="24"/>
    </w:rPr>
  </w:style>
  <w:style w:type="paragraph" w:styleId="31">
    <w:name w:val="No Spacing"/>
    <w:basedOn w:val="1"/>
    <w:autoRedefine/>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autoRedefine/>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autoRedefine/>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autoRedefine/>
    <w:qFormat/>
    <w:uiPriority w:val="29"/>
    <w:rPr>
      <w:i/>
      <w:sz w:val="24"/>
      <w:szCs w:val="24"/>
    </w:rPr>
  </w:style>
  <w:style w:type="paragraph" w:styleId="35">
    <w:name w:val="Intense Quote"/>
    <w:basedOn w:val="1"/>
    <w:next w:val="1"/>
    <w:link w:val="36"/>
    <w:autoRedefine/>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autoRedefine/>
    <w:qFormat/>
    <w:uiPriority w:val="30"/>
    <w:rPr>
      <w:b/>
      <w:i/>
      <w:sz w:val="24"/>
    </w:rPr>
  </w:style>
  <w:style w:type="character" w:customStyle="1" w:styleId="37">
    <w:name w:val="不明显强调1"/>
    <w:autoRedefine/>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autoRedefine/>
    <w:qFormat/>
    <w:uiPriority w:val="21"/>
    <w:rPr>
      <w:b/>
      <w:i/>
      <w:sz w:val="24"/>
      <w:szCs w:val="24"/>
      <w:u w:val="single"/>
    </w:rPr>
  </w:style>
  <w:style w:type="character" w:customStyle="1" w:styleId="39">
    <w:name w:val="不明显参考1"/>
    <w:basedOn w:val="17"/>
    <w:autoRedefine/>
    <w:qFormat/>
    <w:uiPriority w:val="31"/>
    <w:rPr>
      <w:sz w:val="24"/>
      <w:szCs w:val="24"/>
      <w:u w:val="single"/>
    </w:rPr>
  </w:style>
  <w:style w:type="character" w:customStyle="1" w:styleId="40">
    <w:name w:val="明显参考1"/>
    <w:basedOn w:val="17"/>
    <w:autoRedefine/>
    <w:qFormat/>
    <w:uiPriority w:val="32"/>
    <w:rPr>
      <w:b/>
      <w:sz w:val="24"/>
      <w:u w:val="single"/>
    </w:rPr>
  </w:style>
  <w:style w:type="character" w:customStyle="1" w:styleId="41">
    <w:name w:val="书籍标题1"/>
    <w:basedOn w:val="17"/>
    <w:autoRedefine/>
    <w:qFormat/>
    <w:uiPriority w:val="33"/>
    <w:rPr>
      <w:rFonts w:asciiTheme="majorHAnsi" w:hAnsiTheme="majorHAnsi" w:eastAsiaTheme="majorEastAsia"/>
      <w:b/>
      <w:i/>
      <w:sz w:val="24"/>
      <w:szCs w:val="24"/>
    </w:rPr>
  </w:style>
  <w:style w:type="paragraph" w:customStyle="1" w:styleId="42">
    <w:name w:val="TOC 标题1"/>
    <w:basedOn w:val="2"/>
    <w:next w:val="1"/>
    <w:autoRedefine/>
    <w:semiHidden/>
    <w:unhideWhenUsed/>
    <w:qFormat/>
    <w:uiPriority w:val="39"/>
    <w:pPr>
      <w:outlineLvl w:val="9"/>
    </w:pPr>
    <w:rPr>
      <w:lang w:eastAsia="en-US" w:bidi="en-US"/>
    </w:rPr>
  </w:style>
  <w:style w:type="character" w:customStyle="1" w:styleId="43">
    <w:name w:val="页眉 字符"/>
    <w:basedOn w:val="17"/>
    <w:link w:val="13"/>
    <w:autoRedefine/>
    <w:qFormat/>
    <w:uiPriority w:val="99"/>
    <w:rPr>
      <w:rFonts w:ascii="Calibri" w:hAnsi="Calibri" w:eastAsia="宋体"/>
      <w:kern w:val="2"/>
      <w:sz w:val="18"/>
      <w:szCs w:val="18"/>
    </w:rPr>
  </w:style>
  <w:style w:type="character" w:customStyle="1" w:styleId="44">
    <w:name w:val="页脚 字符"/>
    <w:basedOn w:val="17"/>
    <w:link w:val="12"/>
    <w:autoRedefine/>
    <w:qFormat/>
    <w:uiPriority w:val="99"/>
    <w:rPr>
      <w:rFonts w:ascii="Calibri" w:hAnsi="Calibri" w:eastAsia="宋体"/>
      <w:kern w:val="2"/>
      <w:sz w:val="18"/>
      <w:szCs w:val="18"/>
    </w:rPr>
  </w:style>
  <w:style w:type="character" w:customStyle="1" w:styleId="45">
    <w:name w:val="批注框文本 字符"/>
    <w:basedOn w:val="17"/>
    <w:link w:val="11"/>
    <w:autoRedefine/>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37</Pages>
  <Words>95</Words>
  <Characters>546</Characters>
  <Lines>4</Lines>
  <Paragraphs>1</Paragraphs>
  <TotalTime>12</TotalTime>
  <ScaleCrop>false</ScaleCrop>
  <LinksUpToDate>false</LinksUpToDate>
  <CharactersWithSpaces>640</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2024-11-19T09:20:44Z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C734C92AAAF24344A0E4232D8EB3359B</vt:lpwstr>
  </property>
</Properties>
</file>