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hint="eastAsia" w:ascii="华文中宋" w:hAnsi="华文中宋" w:eastAsia="华文中宋" w:cs="宋体"/>
          <w:b/>
          <w:kern w:val="0"/>
          <w:sz w:val="52"/>
          <w:szCs w:val="52"/>
        </w:rPr>
      </w:pPr>
    </w:p>
    <w:p w14:paraId="6E106AD4">
      <w:pPr>
        <w:spacing w:line="540" w:lineRule="exact"/>
        <w:jc w:val="center"/>
        <w:rPr>
          <w:rFonts w:hint="eastAsia" w:ascii="华文中宋" w:hAnsi="华文中宋" w:eastAsia="华文中宋" w:cs="宋体"/>
          <w:b/>
          <w:kern w:val="0"/>
          <w:sz w:val="52"/>
          <w:szCs w:val="52"/>
        </w:rPr>
      </w:pPr>
    </w:p>
    <w:p w14:paraId="06DF3DDB">
      <w:pPr>
        <w:spacing w:line="540" w:lineRule="exact"/>
        <w:jc w:val="center"/>
        <w:rPr>
          <w:rFonts w:hint="eastAsia" w:ascii="华文中宋" w:hAnsi="华文中宋" w:eastAsia="华文中宋" w:cs="宋体"/>
          <w:b/>
          <w:kern w:val="0"/>
          <w:sz w:val="52"/>
          <w:szCs w:val="52"/>
        </w:rPr>
      </w:pPr>
    </w:p>
    <w:p w14:paraId="3D54B155">
      <w:pPr>
        <w:spacing w:line="540" w:lineRule="exact"/>
        <w:jc w:val="center"/>
        <w:rPr>
          <w:rFonts w:hint="eastAsia" w:ascii="华文中宋" w:hAnsi="华文中宋" w:eastAsia="华文中宋" w:cs="宋体"/>
          <w:b/>
          <w:kern w:val="0"/>
          <w:sz w:val="52"/>
          <w:szCs w:val="52"/>
        </w:rPr>
      </w:pPr>
    </w:p>
    <w:p w14:paraId="7523DB40">
      <w:pPr>
        <w:spacing w:line="540" w:lineRule="exact"/>
        <w:jc w:val="center"/>
        <w:rPr>
          <w:rFonts w:hint="eastAsia" w:ascii="华文中宋" w:hAnsi="华文中宋" w:eastAsia="华文中宋" w:cs="宋体"/>
          <w:b/>
          <w:kern w:val="0"/>
          <w:sz w:val="52"/>
          <w:szCs w:val="52"/>
        </w:rPr>
      </w:pPr>
    </w:p>
    <w:p w14:paraId="7B9F0A20">
      <w:pPr>
        <w:spacing w:line="540" w:lineRule="exact"/>
        <w:jc w:val="center"/>
        <w:rPr>
          <w:rFonts w:hint="eastAsia" w:ascii="华文中宋" w:hAnsi="华文中宋" w:eastAsia="华文中宋" w:cs="宋体"/>
          <w:b/>
          <w:kern w:val="0"/>
          <w:sz w:val="52"/>
          <w:szCs w:val="52"/>
        </w:rPr>
      </w:pPr>
    </w:p>
    <w:p w14:paraId="1F5472C6">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hint="eastAsia" w:ascii="华文中宋" w:hAnsi="华文中宋" w:eastAsia="华文中宋" w:cs="宋体"/>
          <w:b/>
          <w:kern w:val="0"/>
          <w:sz w:val="52"/>
          <w:szCs w:val="52"/>
        </w:rPr>
      </w:pPr>
    </w:p>
    <w:p w14:paraId="478A78FB">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int="eastAsia" w:hAnsi="宋体" w:eastAsia="仿宋_GB2312" w:cs="宋体"/>
          <w:kern w:val="0"/>
          <w:sz w:val="30"/>
          <w:szCs w:val="30"/>
        </w:rPr>
      </w:pPr>
    </w:p>
    <w:p w14:paraId="69B61B55">
      <w:pPr>
        <w:spacing w:line="540" w:lineRule="exact"/>
        <w:jc w:val="center"/>
        <w:rPr>
          <w:rFonts w:hint="eastAsia" w:hAnsi="宋体" w:eastAsia="仿宋_GB2312" w:cs="宋体"/>
          <w:kern w:val="0"/>
          <w:sz w:val="30"/>
          <w:szCs w:val="30"/>
        </w:rPr>
      </w:pPr>
    </w:p>
    <w:p w14:paraId="0A436978">
      <w:pPr>
        <w:spacing w:line="540" w:lineRule="exact"/>
        <w:jc w:val="center"/>
        <w:rPr>
          <w:rFonts w:hint="eastAsia" w:hAnsi="宋体" w:eastAsia="仿宋_GB2312" w:cs="宋体"/>
          <w:kern w:val="0"/>
          <w:sz w:val="30"/>
          <w:szCs w:val="30"/>
        </w:rPr>
      </w:pPr>
    </w:p>
    <w:p w14:paraId="5731CF0C">
      <w:pPr>
        <w:spacing w:line="540" w:lineRule="exact"/>
        <w:jc w:val="center"/>
        <w:rPr>
          <w:rFonts w:hint="eastAsia" w:hAnsi="宋体" w:eastAsia="仿宋_GB2312" w:cs="宋体"/>
          <w:kern w:val="0"/>
          <w:sz w:val="30"/>
          <w:szCs w:val="30"/>
        </w:rPr>
      </w:pPr>
    </w:p>
    <w:p w14:paraId="2CE0F0E1">
      <w:pPr>
        <w:spacing w:line="540" w:lineRule="exact"/>
        <w:jc w:val="center"/>
        <w:rPr>
          <w:rFonts w:hint="eastAsia" w:hAnsi="宋体" w:eastAsia="仿宋_GB2312" w:cs="宋体"/>
          <w:kern w:val="0"/>
          <w:sz w:val="30"/>
          <w:szCs w:val="30"/>
        </w:rPr>
      </w:pPr>
    </w:p>
    <w:p w14:paraId="4C85A255">
      <w:pPr>
        <w:spacing w:line="540" w:lineRule="exact"/>
        <w:jc w:val="center"/>
        <w:rPr>
          <w:rFonts w:hint="eastAsia" w:hAnsi="宋体" w:eastAsia="仿宋_GB2312" w:cs="宋体"/>
          <w:kern w:val="0"/>
          <w:sz w:val="30"/>
          <w:szCs w:val="30"/>
        </w:rPr>
      </w:pPr>
    </w:p>
    <w:p w14:paraId="3DB1725E">
      <w:pPr>
        <w:spacing w:line="540" w:lineRule="exact"/>
        <w:rPr>
          <w:rFonts w:hint="eastAsia" w:hAnsi="宋体" w:eastAsia="仿宋_GB2312" w:cs="宋体"/>
          <w:kern w:val="0"/>
          <w:sz w:val="30"/>
          <w:szCs w:val="30"/>
        </w:rPr>
      </w:pPr>
    </w:p>
    <w:p w14:paraId="5B7D51A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广播电视新媒体矩阵平台信号传输及技术运维保障经费</w:t>
      </w:r>
    </w:p>
    <w:p w14:paraId="7AEB13A7">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米东区融媒体中心</w:t>
      </w:r>
    </w:p>
    <w:p w14:paraId="275DDF3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米东区融媒体中心</w:t>
      </w:r>
    </w:p>
    <w:p w14:paraId="5747EF1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郑疆</w:t>
      </w:r>
    </w:p>
    <w:p w14:paraId="7DACC14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2024年05月22日</w:t>
      </w:r>
    </w:p>
    <w:p w14:paraId="677F1B1A">
      <w:pPr>
        <w:spacing w:line="700" w:lineRule="exact"/>
        <w:ind w:firstLine="708" w:firstLineChars="236"/>
        <w:jc w:val="left"/>
        <w:rPr>
          <w:rFonts w:hint="eastAsia" w:hAnsi="宋体" w:eastAsia="仿宋_GB2312" w:cs="宋体"/>
          <w:kern w:val="0"/>
          <w:sz w:val="30"/>
          <w:szCs w:val="30"/>
        </w:rPr>
      </w:pPr>
    </w:p>
    <w:p w14:paraId="123FA6B7">
      <w:pPr>
        <w:spacing w:line="540" w:lineRule="exact"/>
        <w:rPr>
          <w:rStyle w:val="18"/>
          <w:rFonts w:hint="eastAsia" w:ascii="黑体" w:hAnsi="黑体" w:eastAsia="黑体"/>
          <w:b w:val="0"/>
          <w:spacing w:val="-4"/>
          <w:sz w:val="32"/>
          <w:szCs w:val="32"/>
        </w:rPr>
      </w:pPr>
    </w:p>
    <w:p w14:paraId="2EEB6E0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立项背景:为了确保米东区融媒体中心广播、电视、新媒体矩阵平台信号的正常传输和发布，项目立项依据米发办【2019】92号及《米东区融媒体中心建设方案》情况下提出申请【广播电视新媒体矩阵平台信号传输及技术运维保障经费】申请报告，做到全媒体传播工程，做强新型主流媒体，提高媒体传播力、引导力、影响力。创新实施文化惠民工程，广泛开展群众性文化活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对于中心及广电台发布的广播、电视及矩阵信号都需要网络专线传输进行专线传输；②对于中心及广播电台的播出设备都需要定期维修维护和检测以保障安全播出；③全面运用自治区“石榴云”技术平台，生产发布“策、采、编、审、发”流程实现“一次采集、多种生成、多远传播”全媒体运行格局④通过每年租用6间办公室达到广播中心每日进行正常安全播出工作；⑤通过每年租用3辆车来进行相关工作保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①完成3条网络传输专线（中心二楼“石榴云”平台专线传输专线、990电台广播节目传输专线、中心五楼米东电视台新闻综合频道节目传输专线）；②完成维修维护共计14次，保障广播电视节目安全播出设备全年正常运行，零播出事故发生；③全年正常使用“石榴云”平台发布信息，2023年共制作融媒体原创产品3.2万余条，全媒体推送5.9万余条，融媒体产品质量大幅提升；④全年保障990电台节目正常播出；⑤共租赁东凯公司名下东兴公司3辆轿车（新AU3U16、新A8XF03、新ALW532）保障车辆正常运行，使工作顺利开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2023年7月5日第a-00648号文批准关于【米东区融媒体中心广播、电视、新媒体信号传输经费】申请报告，项目系2023年本级资金，共安排预算100.88万元，于2023年年中追加预算批复项目，当中已完成支付了88.68万元，剩余12.2万元因资金未拨付到位，维修工作未开展，年中无资金调整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100.88万元；②资金投入包括3条网络专线传输投入14.28万元、安全播出设备维修维护费投入10万元、“石榴云”平台运维费投入22.8万元、广播中心房屋租金投入21.6万元、工具车车辆运行费投入20万元。发射塔维修此项工作未完成，其原因为财政资金紧张未拨付。此项目工作共计投入88.68万元，③预算执行率87.91%。</w:t>
      </w:r>
    </w:p>
    <w:p w14:paraId="4EE919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该项资金为确保米东区融媒体中心广播、电视新媒体矩阵平台信号的正常传输和发布，依据米发办【2019】92号及《米东区融媒体中心建设方案》该项经费主要用于3条专线传输费用从而大大提高网络的使用速度和稳定性，充分满足中心广播、电视新媒体矩阵平台信号工作需求；接入1个“石榴云”平台的运维费，实现智能化、数据资产化、提升内容质量和把关能力做到精准传播；租赁广播中心办公场地6间房保障990电台安全播出工作及工作人员的归属感、荣誉感和获得感不断增强；租赁3辆工具车的运行费大大提升了使用的经济性、灵活性、充分提高资金利用率；安全播出设备维修维护，发射的维修检测工作。保障设备正常运转，节目正常传输，设备故障可及时修复，满足我区广播电视节目需求，丰富米东区群众精神文化生活，提升居民幸福感。活跃米东区各族群众的文化、体育生活，培育现代公民，丰富群众精神世界，满足人民群众日益增长的精神文化需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在2023年计划完成12个月确保米东区融媒体中心广播、电视、新媒体矩阵平台信号的正常传输和发布工作，接入3条网络传输专线、接入“石榴云”平台1个、对融媒体中心及广播中心的安全播出设备进行正常维修维护，租赁6间办公室和3辆车的租赁，1个发射的维修检测工作。</w:t>
      </w:r>
    </w:p>
    <w:p w14:paraId="6BFCEFB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此项项目经费是为了确保米东区融媒体中心广播、电视、新媒体矩阵平台信号的正常传输和发布运行的工作经费，中心内部门行政办、平台运营中心、播控中心、广播电台各科室对所涉及的业务主体责任和监督责任有效落实，这一目标在效益指标中体现；范围为2023年广播、电视、新媒体矩阵平台信号传输及技术运维保障工作经费，范围在产出指标中的数量指标中体现；要求资金100%用于融媒体中心工作经费中，在产出指标中的产出成本指标以及产出指标中的质量指标中体现；因此，该项目的目标、范围和要求能够通过绩效评价指标体系完整地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该项目的实施在2023年完成12个月确保米东区融媒体中心广播、电视、新媒体矩阵平台信号的正常传输和发布，对安全播出设备进行维修维护，该项目工作分别由中心内部门行政办、平台运营中心、播控中心、广播电台开展相关工作，由财务室落实预算及资金，按照合同约定条例确保此项工作经费按时拨付到位，资金到位立即拨付，已按计划全部拨付，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根据《米东区融媒体中心-财务管理制度》、《米东区融媒体中心-项目管理制度》通过融务会成员集体讨论，再通过国库集中支付一体化2.0平台进行申请资金，其中数据的来源、采集进行描述，均来自融媒体中心内部门行政办、平台运营中心、播控中心、广播电台反馈和财务室票据签字都完整准确，收集了拨款凭证，以确保数据的准确性、真实性、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广播电视新媒体矩阵平台信号传输及技术运维保障经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（1）绩效评价的对象：【广播电视新媒体矩阵平台信号传输及技术运维保障经费】项目。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广播电视新媒体矩阵平台信号传输及技术运维保障经费】的基本情况项目总成本目标100.88万元，按要求开展广播、电视、新媒体矩阵平台信号传输和发布。本项目2023年的主要实施内容：3条网络传输专线专线①中心二楼“石榴云”平台专线传输专线②990电台广播节目传输专线③中心五楼米东电视台新闻综合频道节目传输专线；中心及广播中心的安全播出设备进行维修检测；接入“石榴云”平台；广播中心租用6间办公室租赁费；租赁3辆轿车，保障融媒体和广播中心日常业务和安全播出工作的开展。该项目资金为2023年内年中追加项目。该项目资金使用情况：①总预算情况：100.88万元；②资金投入包括3条网络专线传输投入14.28万元、安全播出设备维修维护费投入10万元、“石榴云”平台运维费投入22.8万元、广播中心房屋租金投入21.6万元、工具车车辆运行费投入20万元。发射塔维修此项工作完成，其原因为财政资金紧张未拨付。此项目工作共计投入88.68万元，③预算执行率87.91%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1.确保工作经费的使用能够最大限度地发挥作用，保障安全播出工作的正常进行。财务人员积极与各部门沟通，积极核对付款信息查看票据齐全完整，尽最快速度转账对方公司。通过本绩效评价总结出来的可能有助于开展其他类似项目或提高被评价项目成效的信息,具体包括项目在实施过程的最佳实践如比较法和突出问题如项目实施过程中维修发射塔未按时予以支付,这对项目绩效的影响项目资金及时率。2.对绩效评价工作及时总结及时改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如下：①突出问题导向，在项目执行过程中遇到的目标设定较为合理，但因财政预算资金紧张，我单位工作经费未及时进行拨付，存在安全播出隐患，致使工作开展受到影响。②由于缺乏经验，年初预算绩效目标不明确，绩效指标未细化和量化。工作管理制度还需健全，工作中部分档案管理存在档案不完整，归档不及时等现象。③因部门整体支出的资金安排和使用上具有不可预见性，在科学设置预算绩效指标上还需进一步加强；以及综合性结论为此项工作经实施遵照“不间断、高质量、</w:t>
      </w:r>
      <w:r>
        <w:rPr>
          <w:rStyle w:val="18"/>
          <w:rFonts w:hint="eastAsia" w:ascii="楷体" w:hAnsi="楷体" w:eastAsia="楷体"/>
          <w:b w:val="0"/>
          <w:bCs w:val="0"/>
          <w:spacing w:val="-4"/>
          <w:sz w:val="32"/>
          <w:szCs w:val="32"/>
          <w:lang w:val="en-US" w:eastAsia="zh-CN"/>
        </w:rPr>
        <w:t>既</w:t>
      </w:r>
      <w:bookmarkStart w:id="0" w:name="_GoBack"/>
      <w:bookmarkEnd w:id="0"/>
      <w:r>
        <w:rPr>
          <w:rStyle w:val="18"/>
          <w:rFonts w:hint="eastAsia" w:ascii="楷体" w:hAnsi="楷体" w:eastAsia="楷体"/>
          <w:b w:val="0"/>
          <w:bCs w:val="0"/>
          <w:spacing w:val="-4"/>
          <w:sz w:val="32"/>
          <w:szCs w:val="32"/>
        </w:rPr>
        <w:t>经济、又安全”的技术管理和维护方案，把内部管理和技术维护放在各项工作的首位，使整个采编播设备始终处于良好的运行状态，保证安全优质播出，促进事业建设的发展。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该项目总分为96.82分，绩效评级为“优”。</w:t>
      </w:r>
    </w:p>
    <w:p w14:paraId="1271490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传输专线数量 项目实施的实际产出数与计划产出数的比率，用以反映和考核项目产出数量目标的实现程度。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单位办公室人事老师转述人社局审批的本年代课老师人数。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维修发射塔数量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接入平台数量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工具车数量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设备故障率 项目完成的质量达标产出数与实际产出数的比率，用以反映和考核项目产出质量目标的实现程度。 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项目实际完成时间与计划完成时间的比较，用以反映和考核项目产出时效目标的实现程度。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资金发放及时率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完成项目计划工作目标的实际节约成本与计划成本的比率，用以反映和考核项目的成本节约程度。 成本节约率=[（计划成本-实际成本）/计划成本]×100%。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丰富人民群众精神文化生活 项目实施所产生的效益。 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群众满意度 社会公众或服务对象对项目实施效果的满意程度。 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广播电视新媒体矩阵平台信号传输及技术运维保障经费】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《米东区融媒体中心-财务管理制度》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《米东区融媒体中心-采购管理制度》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《米东区融媒体中心-财务收支业务管理制度》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《米东区融媒体中心-项目管理制度》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《米东区融媒体中心-合同档案管理制度》</w:t>
      </w:r>
    </w:p>
    <w:p w14:paraId="2ED6ECB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工作完成比例及原始凭证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对【广播电视新媒体矩阵平台信号传输及技术运维保障经费】项目进行客观评价，最终评分结果为：总分为96.82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【广播电视新媒体矩阵平台信号传输及技术运维保障经费】项目各部分权重和绩效分值如表3-1所示：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4.4 87.91%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传输专线数量 3 3 90%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维修发射塔数量 1 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接入平台数量 2 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工具车数量 4 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设备故障率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5 5 96.3%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资金发放及时率 5 4.63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10 8.79 87.91%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丰富人民群众精神文化生活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群众满意度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广播电视新媒体矩阵平台信号传输及技术运维保障经费】项目资金区财政及时拨付，乌鲁木齐市米东区融媒体中心（乌鲁木齐市米东区广播电视台）在此次评价期间内，有序完成设定目标的部分工作任务，我单位已按照计划使用3条专线网络传输、1个平台的运维服务、租用广播中心办公场地6间房、租赁3辆工具车的以及安全播出设备维修维护工作。已按照工作需求保障广播电视新媒体矩阵平台信号传输及技术运维，确保我单位正常开展工作。</w:t>
      </w:r>
    </w:p>
    <w:p w14:paraId="624FD63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依据米发办【2019】92号及《米东区融媒体中心建设方案》，目的为了确保米东区融媒体中心广播、电视、新媒体矩阵平台信号的正常传输和发布，达到把握正确正确舆论导向，打好宣传“主动仗”发挥舆论“推动力”不断加大正面宣传力度。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立项程序规范性:该项目按照上级单位下发米发办【2019】92号及《米东区融媒体中心建设方案》设定、材料符合相关要求，故立项程序规范，得4分。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指标40分、效益10分和满意度构建绩效评价指标10分合计60分合理分配，且具有明确性、可衡量性、可实现性、相关性和时限性等特点，能较为全面地反映本项目的产出和效益，乌鲁木齐市米东区融媒体中心（乌鲁木齐市米东区广播电视台）设置目标明确，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传输专线数量=3条，维修发射塔数量=1个，接入平台=1个，工具车辆租赁=3辆，设备故障率≤10%，完成时间=12个月，资金发放及时率≥95%，小于等于100%。通过完成比例和咨询方式绩效评估向融媒体中心内部门行政办、平台运营中心、播控中心、广播电台各科室对所涉及的业务主体责任和监督责任有效落实，进一步细化，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资金额度与年度目标相适应，预算内容与项目内容匹配，预算收入的预测依据米发办【2019】92号及《米东区融媒体中心建设方案》文件以及【米东区融媒体中心广播、电视、新媒体信号传输经费申请报告】测算，测算方法是3条网络专线传输合同签订14.28万元、安全播出设备维修维护费10万元、“石榴云”平台运维费投入22.8万元、广播中心房屋租金投入21.6万元、工具车车辆运行费投入20万元、发射塔维护12.2万元合计100.88万元。与年度预算收入完成情况相适应，安排测算支出的方向与实际支出方向一致，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根据米发办【2019】92号及《米东区融媒体中心建设方案》文件精神，该部分资金适合使用一般公共财政拨款，具体财政拨款总额依据【米东区融媒体中心广播、电视、新媒体信号传输经费申请报告】来测算，醒目经费用于3条网络专线传输合同签订14.28万元、安全播出设备维修维护费10万元、“石榴云”平台运维费投入22.8万元、广播中心房屋租金投入21.6万元、工具车车辆运行费投入20万元、发射塔维护12.2万元合计100.88万元。在项目运作后，完全依照方案实施，预算资金分配合理。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项目过程指标由2个二级指标和5个三级指标构成，权重为20分，实际得分19.4分。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我单位财政局下达预算指标为100.88万元，在2023年12月31日之前累计拨付米东区融媒体中心广播、电视、新媒体信号传输经费88.68万元，资金到位率87.91%，用于支付给我中心工作运行经费。故资金到位率指标得分4.4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预算为100.88万元，在2023年12月31日之前累计拨付米东区融媒体中心广播、电视、新媒体信号传输经费88.68万元。用于2023年7月通过单位零余额支付给以下单位：中国联合网络通信有限公司乌鲁木齐市分公司-990电台广播节目传输专线3.6万元；中国电信股份有限公司乌鲁木齐分公司-中心二楼石榴云平台传输专线5.88万元，中心五楼节目传输专线4.8万元；乌鲁木齐东兴国有资产经营有限公司-工具车辆运行费（租赁费）12.6万元，新疆车之翼汽车服务有限公司-工具车辆运行费（维修费）3.08万元，乌鲁木齐市米东区财政局（国有资产管理委员会办公室）-油费4.32万元；新疆大晨报股份公司-石榴云平台运维费10万元；平台运维费投入22.8万元；广播中心6间房屋租金分别柳丛3.6万元、张保群7.2万元、刘璐3.6万元、靳如青3.6万元、乌鲁木齐盘龙影视文化传播有限公司3.6万元共计21.6万元。预算执行率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米东区融媒体中心-财务管理制度》、《米东区融媒体中心-采购管理制度》、《米东区融媒体中心-财务收支业务管理制度》、《米东区融媒体中心-项目管理制度》和《米东区融媒体中心-合同档案管理制度》有关专项资金管理办法的规定。资金的拨付由单位经办人及科室领导先对资金进行申请流程同意后，符合三重一大事项的上融务班子会研究讨论，讨论一致同意后由办公室统一采购签订合同，然后走支付申请流程，同时财务室对票据签字，科室领导、财务、分管领导和主管领导签字后在一体化2.0平台做当月工资计划，代财政领导终审业务后，再次提交支付申请，填报劳务派遣公司的付款信息及电子转账方式付款，待财政领导终审业务后，财务向银行发送国库集中支出凭证的审批程序，需要票据签章，发票开具签字的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综上，该指标满分13分，得分12.4分。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市米东区融媒体中心（乌鲁木齐市米东区广播电视台）已制定相应的米东区融媒体内控制度和《米东区融媒体中心-财务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乌鲁木齐市米东区融媒体（乌鲁木齐市米东区广播电视台）严格遵守国家财经法规以及《米东区融媒体中心-项目管理制度》、《米东区融媒体中心财务管理制度》等相关规定，项目调整及支出调整手续完备，整体管理合理有序，项目完成后，及时将项目的会计凭证、原始票据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项目产出指标由4个二级指标和8个三级指标构成，权重为40分，实际得分37.42分。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数量指标“传输专线数量”的目标值是3条，2023年度我单位实际完成3条。指标值3分，完成率100%，传输专线数量得分为3分。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数量指标“维修发射塔数量”的目标值是1个，2023年度我单位实际完成0个。未完成原因为因资金未拨付到位，维修工作未开展。指标值1分，完成率0%，维修发射塔数量得分为0分。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数量指标“接入平台数量”的目标值是1个，2023年度我单位实际完成1个。指标值2分，完成率100%，接入平台数量得分为2分。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数量指标“工具车数量”的目标值是3辆，2023年度我单位实际完成3辆。指标值4分，完成率100%，接入平台数量得分为4分。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实际完成率：90%，故产出数量指标共计得分为9分。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质量指标“设备故障率”目标值≤10%，实际产出数为0%，我单位定时对设备进行维修维护工作，保障安全播出工作正常运行，未出现播出事故。质量达标率为100%。故工程质量达标率得分为10分。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时效指标“项目完成时间”目标值为12个月，根据区财政通知，及时向财政局申请相关款项，并与2023年7月20日将资金及时支付给相关单位。指标值5分，完成率100%，接入平台数量得分为5分。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时效指标“资金发放及时率”的目标值≥95%，实际产出为87.91%，指标值5分，完成率92.53%，接入平台数量得分为4.63分。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故项目完成时限得分为9.63分。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项目预算控制率”目标值≤100%，本项目预算数为100.88万元，实际支出88.68万元，其中维修发射塔工作因资金未拨付到位，维修工作未开展。本项目无超支情况，未发现背离项目立项初衷的情况，完成率87.91%，得分为8.79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综上，该部分指标满分40分，得分37.42分。</w:t>
      </w:r>
    </w:p>
    <w:p w14:paraId="404219E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项目效益指标由1个二级指标和1个三级指标构成，权重为10分，实际得分10分。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丰富人民群众精神文化生活”，指标值：“逐步提升”，实际完成值：“完全达到预期效果”。本项的实施2023年共制作融媒体原创产品3.2万余条，全媒体推送5.9万余条，融媒体产品质量大幅提升抖音相关"中秋国庆去米东""米东丰收节"等话题关注总量破5000万人次，微博话题浏览量直逼1000万人次。中秋国庆来米东抓螃蟹、看激光秀、打 田景观道、去农家乐游玩等，400多位网络达人倾力推荐；制作《米东丰收季》、《寻迹米东》《探秘东道海子》《哈熊沟》等多部专题短视频，集中展示了米东区壮丽的丰收景象和蓬勃发展的米东城市画面；有效的丰富人民群众精神文化生活，逐步提升群众满意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14:paraId="57FD828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（五） 满意度指标完成情况分析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群众满意度”，指标值：≥95%，实际完成值：95%。通过设置问卷调查的方式进行考评评价，共计调查样本总量为20个样本，有效调查问卷20份。其中，统计“基本满意”的平均值为95%。故满意度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14:paraId="3385D9A6">
      <w:pPr>
        <w:spacing w:line="540" w:lineRule="exact"/>
        <w:ind w:firstLine="567"/>
        <w:rPr>
          <w:rStyle w:val="18"/>
          <w:rFonts w:hint="eastAsia" w:ascii="楷体" w:hAnsi="楷体" w:eastAsia="楷体"/>
          <w:spacing w:val="-4"/>
          <w:sz w:val="32"/>
          <w:szCs w:val="32"/>
        </w:rPr>
      </w:pPr>
    </w:p>
    <w:p w14:paraId="75C28D8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确保工作经费的使用能够最大限度地发挥作用，保障安全播出工作的正常进行。财务人员积极与各部门沟通，积极核对付款信息查看票据齐全完整，尽最快速度转账对方公司。通过本绩效评价总结出来的可能有助于开展其他类似项目或提高被评价项目成效的信息,具体包括项目在实施过程的最佳实践如比较法和突出问题如项目实施过程中维修发射塔未按时予以支付,这对项目绩效的影响项目资金及时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2.对绩效评价工作及时总结及时改进。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1.突出问题导向，在项目执行过程中遇到的目标设定较为合理，但因财政预算资金紧张，我单位工作经费未及时进行拨付，存在安全播出隐患，致使工作开展受到影响。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2.由于缺乏经验，年初预算绩效目标不明确，绩效指标未细化和量化。工作管理制度还需健全，工作中部分档案管理存在档案不完整，归档不及时等现象。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3.因部门整体支出的资金安排和使用上具有不可预见性，在科学设置预算绩效指标上还需进一</w:t>
      </w:r>
    </w:p>
    <w:p w14:paraId="391BFB0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1.建议财政部门按项目进度及时拨付各项资金，保障各项工作正常开展，提高预算项目完成率和预算资金的执行率。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2.建议按照财政支出绩效管理的要求，建立科学的财政资金效益考评办法，不断提高财政资金使用管理的水平和效率。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3.建议建议财政部门多开展政府采购方面的培训内容，特别是年初预算时的采购，以保障按时完成并达到财政部门工作要求。</w:t>
      </w:r>
    </w:p>
    <w:p w14:paraId="4DE4CB6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（一）项目支出政策和路径设计科学，符合实际需要；（二）项目安排准确，未发现背离项目立项初衷的情况；（三）项目的申报、审核机制完善；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hint="eastAsia" w:ascii="仿宋" w:hAnsi="仿宋" w:eastAsia="仿宋"/>
          <w:b w:val="0"/>
          <w:spacing w:val="-4"/>
          <w:sz w:val="32"/>
          <w:szCs w:val="32"/>
        </w:rPr>
      </w:pPr>
    </w:p>
    <w:p w14:paraId="4DF72206">
      <w:pPr>
        <w:spacing w:line="540" w:lineRule="exact"/>
        <w:ind w:firstLine="567"/>
        <w:rPr>
          <w:rStyle w:val="18"/>
          <w:rFonts w:hint="eastAsia" w:ascii="仿宋" w:hAnsi="仿宋" w:eastAsia="仿宋"/>
          <w:b w:val="0"/>
          <w:spacing w:val="-4"/>
          <w:sz w:val="32"/>
          <w:szCs w:val="32"/>
        </w:rPr>
      </w:pPr>
    </w:p>
    <w:p w14:paraId="1CE13106">
      <w:pPr>
        <w:spacing w:line="540" w:lineRule="exact"/>
        <w:ind w:firstLine="567"/>
        <w:rPr>
          <w:rStyle w:val="18"/>
          <w:rFonts w:hint="eastAsia" w:ascii="仿宋" w:hAnsi="仿宋" w:eastAsia="仿宋"/>
          <w:b w:val="0"/>
          <w:spacing w:val="-4"/>
          <w:sz w:val="32"/>
          <w:szCs w:val="32"/>
        </w:rPr>
      </w:pPr>
    </w:p>
    <w:p w14:paraId="06227BCA">
      <w:pPr>
        <w:spacing w:line="540" w:lineRule="exact"/>
        <w:ind w:firstLine="567"/>
        <w:rPr>
          <w:rStyle w:val="18"/>
          <w:rFonts w:hint="eastAsia" w:ascii="仿宋" w:hAnsi="仿宋" w:eastAsia="仿宋"/>
          <w:b w:val="0"/>
          <w:spacing w:val="-4"/>
          <w:sz w:val="32"/>
          <w:szCs w:val="32"/>
        </w:rPr>
      </w:pPr>
    </w:p>
    <w:p w14:paraId="73F3A83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52580"/>
    <w:rsid w:val="009C229E"/>
    <w:rsid w:val="009E5CD9"/>
    <w:rsid w:val="00A26421"/>
    <w:rsid w:val="00A34588"/>
    <w:rsid w:val="00A4293B"/>
    <w:rsid w:val="00A67D50"/>
    <w:rsid w:val="00A8691A"/>
    <w:rsid w:val="00AC1946"/>
    <w:rsid w:val="00B33A0D"/>
    <w:rsid w:val="00B40063"/>
    <w:rsid w:val="00B41F61"/>
    <w:rsid w:val="00B52D7A"/>
    <w:rsid w:val="00BA46E6"/>
    <w:rsid w:val="00C56C72"/>
    <w:rsid w:val="00CA6457"/>
    <w:rsid w:val="00CE2FD9"/>
    <w:rsid w:val="00D17F2E"/>
    <w:rsid w:val="00D30354"/>
    <w:rsid w:val="00DF42A0"/>
    <w:rsid w:val="00E30E91"/>
    <w:rsid w:val="00E5666D"/>
    <w:rsid w:val="00E769FE"/>
    <w:rsid w:val="00EA2CBE"/>
    <w:rsid w:val="00F32FEE"/>
    <w:rsid w:val="00FB10BB"/>
    <w:rsid w:val="07261865"/>
    <w:rsid w:val="0856517C"/>
    <w:rsid w:val="0BFB189F"/>
    <w:rsid w:val="11A2540F"/>
    <w:rsid w:val="11BD75F7"/>
    <w:rsid w:val="13BE561A"/>
    <w:rsid w:val="15392994"/>
    <w:rsid w:val="18FE139B"/>
    <w:rsid w:val="2A891760"/>
    <w:rsid w:val="2B786AA8"/>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13079</Words>
  <Characters>13721</Characters>
  <Lines>100</Lines>
  <Paragraphs>28</Paragraphs>
  <TotalTime>13</TotalTime>
  <ScaleCrop>false</ScaleCrop>
  <LinksUpToDate>false</LinksUpToDate>
  <CharactersWithSpaces>13901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谢凤</cp:lastModifiedBy>
  <cp:lastPrinted>2018-12-31T10:56:00Z</cp:lastPrinted>
  <dcterms:modified xsi:type="dcterms:W3CDTF">2025-07-25T09:52:46Z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C734C92AAAF24344A0E4232D8EB3359B</vt:lpwstr>
  </property>
  <property fmtid="{D5CDD505-2E9C-101B-9397-08002B2CF9AE}" pid="4" name="KSOTemplateDocerSaveRecord">
    <vt:lpwstr>eyJoZGlkIjoiMzEwNTM5NzYwMDRjMzkwZTVkZjY2ODkwMGIxNGU0OTUiLCJ1c2VySWQiOiIxMTk3MDAxNzMxIn0=</vt:lpwstr>
  </property>
</Properties>
</file>