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106B6D" w:rsidRDefault="00000000">
      <w:pPr>
        <w:spacing w:line="540" w:lineRule="exact"/>
        <w:jc w:val="left"/>
        <w:rPr>
          <w:rFonts w:ascii="仿宋" w:eastAsia="仿宋" w:hAnsi="仿宋" w:cs="宋体" w:hint="eastAsia"/>
          <w:kern w:val="0"/>
          <w:sz w:val="32"/>
          <w:szCs w:val="32"/>
        </w:rPr>
      </w:pPr>
      <w:r w:rsidRPr="00106B6D">
        <w:rPr>
          <w:rFonts w:ascii="仿宋" w:eastAsia="仿宋" w:hAnsi="仿宋" w:cs="宋体" w:hint="eastAsia"/>
          <w:kern w:val="0"/>
          <w:sz w:val="32"/>
          <w:szCs w:val="32"/>
        </w:rPr>
        <w:t>附件2：</w:t>
      </w:r>
    </w:p>
    <w:p w14:paraId="1D33FA27"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106B6D" w:rsidRDefault="00000000">
      <w:pPr>
        <w:spacing w:line="540" w:lineRule="exact"/>
        <w:jc w:val="center"/>
        <w:rPr>
          <w:rFonts w:ascii="方正小标宋_GBK" w:eastAsia="方正小标宋_GBK" w:hAnsi="华文中宋" w:cs="宋体" w:hint="eastAsia"/>
          <w:b/>
          <w:kern w:val="0"/>
          <w:sz w:val="48"/>
          <w:szCs w:val="48"/>
        </w:rPr>
      </w:pPr>
      <w:r w:rsidRPr="00106B6D">
        <w:rPr>
          <w:rFonts w:ascii="方正小标宋_GBK" w:eastAsia="方正小标宋_GBK" w:hAnsi="华文中宋" w:cs="宋体" w:hint="eastAsia"/>
          <w:b/>
          <w:kern w:val="0"/>
          <w:sz w:val="48"/>
          <w:szCs w:val="48"/>
        </w:rPr>
        <w:t>项目支出绩效自评报告</w:t>
      </w:r>
    </w:p>
    <w:p w14:paraId="05C3E73B" w14:textId="77777777" w:rsidR="000048AA" w:rsidRPr="00106B6D"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106B6D" w:rsidRDefault="00000000">
      <w:pPr>
        <w:spacing w:line="540" w:lineRule="exact"/>
        <w:jc w:val="center"/>
        <w:rPr>
          <w:rFonts w:eastAsia="仿宋_GB2312" w:hAnsi="宋体" w:cs="宋体" w:hint="eastAsia"/>
          <w:kern w:val="0"/>
          <w:sz w:val="36"/>
          <w:szCs w:val="36"/>
        </w:rPr>
      </w:pPr>
      <w:r w:rsidRPr="00106B6D">
        <w:rPr>
          <w:rFonts w:eastAsia="仿宋_GB2312" w:hAnsi="宋体" w:cs="宋体" w:hint="eastAsia"/>
          <w:kern w:val="0"/>
          <w:sz w:val="36"/>
          <w:szCs w:val="36"/>
        </w:rPr>
        <w:t>（</w:t>
      </w:r>
      <w:r w:rsidRPr="00106B6D">
        <w:rPr>
          <w:rFonts w:eastAsia="仿宋_GB2312" w:hAnsi="宋体" w:cs="宋体" w:hint="eastAsia"/>
          <w:kern w:val="0"/>
          <w:sz w:val="36"/>
          <w:szCs w:val="36"/>
        </w:rPr>
        <w:t xml:space="preserve">   </w:t>
      </w:r>
      <w:r w:rsidRPr="00106B6D">
        <w:rPr>
          <w:rStyle w:val="ad"/>
          <w:rFonts w:ascii="楷体" w:eastAsia="楷体" w:hAnsi="楷体" w:hint="eastAsia"/>
          <w:spacing w:val="-4"/>
          <w:sz w:val="32"/>
          <w:szCs w:val="32"/>
        </w:rPr>
        <w:t>2023</w:t>
      </w:r>
      <w:r w:rsidRPr="00106B6D">
        <w:rPr>
          <w:rFonts w:eastAsia="仿宋_GB2312" w:hAnsi="宋体" w:cs="宋体" w:hint="eastAsia"/>
          <w:kern w:val="0"/>
          <w:sz w:val="36"/>
          <w:szCs w:val="36"/>
        </w:rPr>
        <w:t xml:space="preserve">  </w:t>
      </w:r>
      <w:r w:rsidRPr="00106B6D">
        <w:rPr>
          <w:rFonts w:eastAsia="仿宋_GB2312" w:hAnsi="宋体" w:cs="宋体" w:hint="eastAsia"/>
          <w:kern w:val="0"/>
          <w:sz w:val="36"/>
          <w:szCs w:val="36"/>
        </w:rPr>
        <w:t>年度）</w:t>
      </w:r>
    </w:p>
    <w:p w14:paraId="26501804" w14:textId="77777777" w:rsidR="000048AA" w:rsidRPr="00106B6D" w:rsidRDefault="000048AA">
      <w:pPr>
        <w:spacing w:line="540" w:lineRule="exact"/>
        <w:jc w:val="center"/>
        <w:rPr>
          <w:rFonts w:eastAsia="仿宋_GB2312" w:hAnsi="宋体" w:cs="宋体" w:hint="eastAsia"/>
          <w:kern w:val="0"/>
          <w:sz w:val="30"/>
          <w:szCs w:val="30"/>
        </w:rPr>
      </w:pPr>
    </w:p>
    <w:p w14:paraId="69B61B55" w14:textId="77777777" w:rsidR="000048AA" w:rsidRPr="00106B6D" w:rsidRDefault="000048AA">
      <w:pPr>
        <w:spacing w:line="540" w:lineRule="exact"/>
        <w:jc w:val="center"/>
        <w:rPr>
          <w:rFonts w:eastAsia="仿宋_GB2312" w:hAnsi="宋体" w:cs="宋体" w:hint="eastAsia"/>
          <w:kern w:val="0"/>
          <w:sz w:val="30"/>
          <w:szCs w:val="30"/>
        </w:rPr>
      </w:pPr>
    </w:p>
    <w:p w14:paraId="0A436978" w14:textId="77777777" w:rsidR="000048AA" w:rsidRPr="00106B6D" w:rsidRDefault="000048AA">
      <w:pPr>
        <w:spacing w:line="540" w:lineRule="exact"/>
        <w:jc w:val="center"/>
        <w:rPr>
          <w:rFonts w:eastAsia="仿宋_GB2312" w:hAnsi="宋体" w:cs="宋体" w:hint="eastAsia"/>
          <w:kern w:val="0"/>
          <w:sz w:val="30"/>
          <w:szCs w:val="30"/>
        </w:rPr>
      </w:pPr>
    </w:p>
    <w:p w14:paraId="5731CF0C" w14:textId="77777777" w:rsidR="000048AA" w:rsidRPr="00106B6D" w:rsidRDefault="000048AA">
      <w:pPr>
        <w:spacing w:line="540" w:lineRule="exact"/>
        <w:jc w:val="center"/>
        <w:rPr>
          <w:rFonts w:eastAsia="仿宋_GB2312" w:hAnsi="宋体" w:cs="宋体" w:hint="eastAsia"/>
          <w:kern w:val="0"/>
          <w:sz w:val="30"/>
          <w:szCs w:val="30"/>
        </w:rPr>
      </w:pPr>
    </w:p>
    <w:p w14:paraId="2CE0F0E1" w14:textId="77777777" w:rsidR="000048AA" w:rsidRPr="00106B6D" w:rsidRDefault="000048AA">
      <w:pPr>
        <w:spacing w:line="540" w:lineRule="exact"/>
        <w:jc w:val="center"/>
        <w:rPr>
          <w:rFonts w:eastAsia="仿宋_GB2312" w:hAnsi="宋体" w:cs="宋体" w:hint="eastAsia"/>
          <w:kern w:val="0"/>
          <w:sz w:val="30"/>
          <w:szCs w:val="30"/>
        </w:rPr>
      </w:pPr>
    </w:p>
    <w:p w14:paraId="4C85A255" w14:textId="77777777" w:rsidR="000048AA" w:rsidRPr="00106B6D" w:rsidRDefault="000048AA">
      <w:pPr>
        <w:spacing w:line="540" w:lineRule="exact"/>
        <w:jc w:val="center"/>
        <w:rPr>
          <w:rFonts w:eastAsia="仿宋_GB2312" w:hAnsi="宋体" w:cs="宋体" w:hint="eastAsia"/>
          <w:kern w:val="0"/>
          <w:sz w:val="30"/>
          <w:szCs w:val="30"/>
        </w:rPr>
      </w:pPr>
    </w:p>
    <w:p w14:paraId="3DB1725E" w14:textId="77777777" w:rsidR="000048AA" w:rsidRPr="00106B6D" w:rsidRDefault="000048AA">
      <w:pPr>
        <w:spacing w:line="540" w:lineRule="exact"/>
        <w:rPr>
          <w:rFonts w:eastAsia="仿宋_GB2312" w:hAnsi="宋体" w:cs="宋体" w:hint="eastAsia"/>
          <w:kern w:val="0"/>
          <w:sz w:val="30"/>
          <w:szCs w:val="30"/>
        </w:rPr>
      </w:pPr>
    </w:p>
    <w:p w14:paraId="5B7D51AB" w14:textId="77777777" w:rsidR="000048AA" w:rsidRPr="00106B6D" w:rsidRDefault="00000000">
      <w:pPr>
        <w:spacing w:line="700" w:lineRule="exact"/>
        <w:jc w:val="left"/>
        <w:rPr>
          <w:rFonts w:eastAsia="仿宋_GB2312" w:hAnsi="宋体" w:cs="宋体" w:hint="eastAsia"/>
          <w:kern w:val="0"/>
          <w:sz w:val="36"/>
          <w:szCs w:val="36"/>
        </w:rPr>
      </w:pPr>
      <w:r w:rsidRPr="00106B6D">
        <w:rPr>
          <w:rFonts w:eastAsia="仿宋_GB2312" w:hAnsi="宋体" w:cs="宋体" w:hint="eastAsia"/>
          <w:kern w:val="0"/>
          <w:sz w:val="36"/>
          <w:szCs w:val="36"/>
        </w:rPr>
        <w:t xml:space="preserve">     </w:t>
      </w:r>
    </w:p>
    <w:p w14:paraId="71B2FEEF" w14:textId="77777777" w:rsidR="000048AA" w:rsidRPr="00106B6D" w:rsidRDefault="00000000">
      <w:pPr>
        <w:spacing w:line="700" w:lineRule="exact"/>
        <w:ind w:firstLineChars="250" w:firstLine="900"/>
        <w:jc w:val="left"/>
        <w:rPr>
          <w:rFonts w:eastAsia="仿宋_GB2312" w:hAnsi="宋体" w:cs="宋体" w:hint="eastAsia"/>
          <w:kern w:val="0"/>
          <w:sz w:val="36"/>
          <w:szCs w:val="36"/>
        </w:rPr>
      </w:pPr>
      <w:r w:rsidRPr="00106B6D">
        <w:rPr>
          <w:rFonts w:eastAsia="仿宋_GB2312" w:hAnsi="宋体" w:cs="宋体" w:hint="eastAsia"/>
          <w:kern w:val="0"/>
          <w:sz w:val="36"/>
          <w:szCs w:val="36"/>
        </w:rPr>
        <w:t>项目名称：</w:t>
      </w:r>
      <w:r w:rsidRPr="00106B6D">
        <w:rPr>
          <w:rStyle w:val="ad"/>
          <w:rFonts w:ascii="楷体" w:eastAsia="楷体" w:hAnsi="楷体" w:hint="eastAsia"/>
          <w:spacing w:val="-4"/>
          <w:sz w:val="32"/>
          <w:szCs w:val="32"/>
        </w:rPr>
        <w:t>招商引资专项经费</w:t>
      </w:r>
    </w:p>
    <w:p w14:paraId="7AEB13A7" w14:textId="77777777" w:rsidR="000048AA" w:rsidRPr="00106B6D" w:rsidRDefault="00000000">
      <w:pPr>
        <w:spacing w:line="540" w:lineRule="exact"/>
        <w:ind w:firstLine="567"/>
        <w:rPr>
          <w:rFonts w:ascii="楷体" w:eastAsia="楷体" w:hAnsi="楷体" w:hint="eastAsia"/>
          <w:b/>
          <w:bCs/>
          <w:spacing w:val="-4"/>
          <w:sz w:val="32"/>
          <w:szCs w:val="32"/>
        </w:rPr>
      </w:pPr>
      <w:r w:rsidRPr="00106B6D">
        <w:rPr>
          <w:rFonts w:eastAsia="仿宋_GB2312" w:hAnsi="宋体" w:cs="宋体" w:hint="eastAsia"/>
          <w:kern w:val="0"/>
          <w:sz w:val="36"/>
          <w:szCs w:val="36"/>
        </w:rPr>
        <w:t xml:space="preserve">  </w:t>
      </w:r>
      <w:r w:rsidRPr="00106B6D">
        <w:rPr>
          <w:rFonts w:eastAsia="仿宋_GB2312" w:hAnsi="宋体" w:cs="宋体" w:hint="eastAsia"/>
          <w:kern w:val="0"/>
          <w:sz w:val="36"/>
          <w:szCs w:val="36"/>
        </w:rPr>
        <w:t>实施单位（公章）：</w:t>
      </w:r>
      <w:r w:rsidRPr="00106B6D">
        <w:rPr>
          <w:rStyle w:val="ad"/>
          <w:rFonts w:ascii="楷体" w:eastAsia="楷体" w:hAnsi="楷体" w:hint="eastAsia"/>
          <w:spacing w:val="-4"/>
          <w:sz w:val="28"/>
          <w:szCs w:val="28"/>
        </w:rPr>
        <w:t>米东区招商服务局</w:t>
      </w:r>
    </w:p>
    <w:p w14:paraId="275DDF30" w14:textId="77777777" w:rsidR="000048AA" w:rsidRPr="00106B6D" w:rsidRDefault="00000000">
      <w:pPr>
        <w:spacing w:line="540" w:lineRule="exact"/>
        <w:ind w:firstLineChars="250" w:firstLine="900"/>
        <w:rPr>
          <w:rFonts w:ascii="楷体" w:eastAsia="楷体" w:hAnsi="楷体" w:hint="eastAsia"/>
          <w:b/>
          <w:bCs/>
          <w:spacing w:val="-4"/>
          <w:sz w:val="28"/>
          <w:szCs w:val="28"/>
        </w:rPr>
      </w:pPr>
      <w:r w:rsidRPr="00106B6D">
        <w:rPr>
          <w:rFonts w:eastAsia="仿宋_GB2312" w:hAnsi="宋体" w:cs="宋体" w:hint="eastAsia"/>
          <w:kern w:val="0"/>
          <w:sz w:val="36"/>
          <w:szCs w:val="36"/>
        </w:rPr>
        <w:t>主管部门（公章）：</w:t>
      </w:r>
      <w:r w:rsidRPr="00106B6D">
        <w:rPr>
          <w:rStyle w:val="ad"/>
          <w:rFonts w:ascii="楷体" w:eastAsia="楷体" w:hAnsi="楷体" w:hint="eastAsia"/>
          <w:spacing w:val="-4"/>
          <w:sz w:val="28"/>
          <w:szCs w:val="28"/>
        </w:rPr>
        <w:t>米东区招商服务局</w:t>
      </w:r>
    </w:p>
    <w:p w14:paraId="5747EF1B" w14:textId="77777777" w:rsidR="000048AA" w:rsidRPr="00106B6D" w:rsidRDefault="00000000">
      <w:pPr>
        <w:spacing w:line="540" w:lineRule="exact"/>
        <w:ind w:firstLineChars="250" w:firstLine="900"/>
        <w:rPr>
          <w:rFonts w:ascii="楷体" w:eastAsia="楷体" w:hAnsi="楷体" w:hint="eastAsia"/>
          <w:b/>
          <w:bCs/>
          <w:spacing w:val="-4"/>
          <w:sz w:val="32"/>
          <w:szCs w:val="32"/>
        </w:rPr>
      </w:pPr>
      <w:r w:rsidRPr="00106B6D">
        <w:rPr>
          <w:rFonts w:eastAsia="仿宋_GB2312" w:hAnsi="宋体" w:cs="宋体" w:hint="eastAsia"/>
          <w:kern w:val="0"/>
          <w:sz w:val="36"/>
          <w:szCs w:val="36"/>
        </w:rPr>
        <w:t>项目负责人（签章）：</w:t>
      </w:r>
      <w:r w:rsidRPr="00106B6D">
        <w:rPr>
          <w:rStyle w:val="ad"/>
          <w:rFonts w:ascii="楷体" w:eastAsia="楷体" w:hAnsi="楷体" w:hint="eastAsia"/>
          <w:spacing w:val="-4"/>
          <w:sz w:val="32"/>
          <w:szCs w:val="32"/>
        </w:rPr>
        <w:t>朱云</w:t>
      </w:r>
    </w:p>
    <w:p w14:paraId="7DACC143" w14:textId="77777777" w:rsidR="000048AA" w:rsidRPr="00106B6D" w:rsidRDefault="00000000">
      <w:pPr>
        <w:spacing w:line="540" w:lineRule="exact"/>
        <w:ind w:left="273" w:firstLine="567"/>
        <w:rPr>
          <w:rStyle w:val="ad"/>
          <w:rFonts w:ascii="楷体" w:eastAsia="楷体" w:hAnsi="楷体" w:hint="eastAsia"/>
          <w:spacing w:val="-4"/>
          <w:sz w:val="32"/>
          <w:szCs w:val="32"/>
        </w:rPr>
      </w:pPr>
      <w:r w:rsidRPr="00106B6D">
        <w:rPr>
          <w:rFonts w:eastAsia="仿宋_GB2312" w:hAnsi="宋体" w:cs="宋体" w:hint="eastAsia"/>
          <w:kern w:val="0"/>
          <w:sz w:val="36"/>
          <w:szCs w:val="36"/>
        </w:rPr>
        <w:t>填报时间：</w:t>
      </w:r>
      <w:r w:rsidRPr="00106B6D">
        <w:rPr>
          <w:rStyle w:val="ad"/>
          <w:rFonts w:ascii="楷体" w:eastAsia="楷体" w:hAnsi="楷体" w:hint="eastAsia"/>
          <w:spacing w:val="-4"/>
          <w:sz w:val="32"/>
          <w:szCs w:val="32"/>
        </w:rPr>
        <w:t>2024年05月22日</w:t>
      </w:r>
    </w:p>
    <w:p w14:paraId="677F1B1A" w14:textId="77777777" w:rsidR="000048AA" w:rsidRPr="00106B6D"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106B6D" w:rsidRDefault="000048AA">
      <w:pPr>
        <w:spacing w:line="540" w:lineRule="exact"/>
        <w:rPr>
          <w:rStyle w:val="ad"/>
          <w:rFonts w:ascii="黑体" w:eastAsia="黑体" w:hAnsi="黑体" w:hint="eastAsia"/>
          <w:b w:val="0"/>
          <w:spacing w:val="-4"/>
          <w:sz w:val="32"/>
          <w:szCs w:val="32"/>
        </w:rPr>
      </w:pPr>
    </w:p>
    <w:p w14:paraId="2EEB6E08" w14:textId="77777777" w:rsidR="000048AA" w:rsidRPr="00106B6D" w:rsidRDefault="00000000">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一、基本情况</w:t>
      </w:r>
    </w:p>
    <w:p w14:paraId="18E9018D" w14:textId="77777777" w:rsidR="000048AA" w:rsidRPr="00106B6D" w:rsidRDefault="00000000">
      <w:pPr>
        <w:spacing w:line="540" w:lineRule="exact"/>
        <w:ind w:firstLine="567"/>
        <w:rPr>
          <w:rStyle w:val="ad"/>
          <w:rFonts w:ascii="楷体" w:eastAsia="楷体" w:hAnsi="楷体" w:hint="eastAsia"/>
          <w:spacing w:val="-4"/>
          <w:sz w:val="32"/>
          <w:szCs w:val="32"/>
        </w:rPr>
      </w:pPr>
      <w:r w:rsidRPr="00106B6D">
        <w:rPr>
          <w:rStyle w:val="ad"/>
          <w:rFonts w:ascii="楷体" w:eastAsia="楷体" w:hAnsi="楷体" w:hint="eastAsia"/>
          <w:spacing w:val="-4"/>
          <w:sz w:val="32"/>
          <w:szCs w:val="32"/>
        </w:rPr>
        <w:t>（一）项目概况</w:t>
      </w:r>
    </w:p>
    <w:p w14:paraId="3DED2D21"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（一）项目概况</w:t>
      </w:r>
      <w:r w:rsidRPr="00106B6D">
        <w:rPr>
          <w:rStyle w:val="ad"/>
          <w:rFonts w:ascii="楷体" w:eastAsia="楷体" w:hAnsi="楷体" w:hint="eastAsia"/>
          <w:b w:val="0"/>
          <w:bCs w:val="0"/>
          <w:spacing w:val="-4"/>
          <w:sz w:val="32"/>
          <w:szCs w:val="32"/>
        </w:rPr>
        <w:br/>
        <w:t xml:space="preserve">  以二十大精神为引领，高位推动招商引资工作，构建招商“一盘棋”格局。招商服务局作为全区招商引资工作的牵头单位，紧紧围绕区委、区政府工作部署，积极采取“走出去，请进来”等多种招商方式，举办、承办招商引资洽谈、座谈、签约、推介等会议，参加各类展会，外出进行招商、项目考察等多项招商活动，全力以赴地为米东区招引合作项目，培育新的经济增长点。为保障各项招商措施到位，需要制作宣传片、宣传册、项目库、编印2023年招商项目册、投资指南、工作用图等宣传资料；参加展会、考察、接待、项目促进落地帮办等工作经费。 </w:t>
      </w:r>
      <w:r w:rsidRPr="00106B6D">
        <w:rPr>
          <w:rStyle w:val="ad"/>
          <w:rFonts w:ascii="楷体" w:eastAsia="楷体" w:hAnsi="楷体" w:hint="eastAsia"/>
          <w:b w:val="0"/>
          <w:bCs w:val="0"/>
          <w:spacing w:val="-4"/>
          <w:sz w:val="32"/>
          <w:szCs w:val="32"/>
        </w:rPr>
        <w:br/>
        <w:t>1. 项目背景、主要内容及实施情况</w:t>
      </w:r>
      <w:r w:rsidRPr="00106B6D">
        <w:rPr>
          <w:rStyle w:val="ad"/>
          <w:rFonts w:ascii="楷体" w:eastAsia="楷体" w:hAnsi="楷体" w:hint="eastAsia"/>
          <w:b w:val="0"/>
          <w:bCs w:val="0"/>
          <w:spacing w:val="-4"/>
          <w:sz w:val="32"/>
          <w:szCs w:val="32"/>
        </w:rPr>
        <w:br/>
        <w:t>（1）该项目实施背景：根据区委、区政府相关工作安排，为保障全区招商引资工作顺利开展，米东区设立招商引资专项经费项目。</w:t>
      </w:r>
      <w:r w:rsidRPr="00106B6D">
        <w:rPr>
          <w:rStyle w:val="ad"/>
          <w:rFonts w:ascii="楷体" w:eastAsia="楷体" w:hAnsi="楷体" w:hint="eastAsia"/>
          <w:b w:val="0"/>
          <w:bCs w:val="0"/>
          <w:spacing w:val="-4"/>
          <w:sz w:val="32"/>
          <w:szCs w:val="32"/>
        </w:rPr>
        <w:br/>
        <w:t>（2）项目2023年的主要实施内容：</w:t>
      </w:r>
      <w:r w:rsidRPr="00106B6D">
        <w:rPr>
          <w:rStyle w:val="ad"/>
          <w:rFonts w:ascii="楷体" w:eastAsia="楷体" w:hAnsi="楷体" w:hint="eastAsia"/>
          <w:b w:val="0"/>
          <w:bCs w:val="0"/>
          <w:spacing w:val="-4"/>
          <w:sz w:val="32"/>
          <w:szCs w:val="32"/>
        </w:rPr>
        <w:br/>
        <w:t>①提早谋划，精准包装项目。围绕五大重点产业和五大配套产业研究细化产业链主攻方向，绘制2023目标企业招商地图，建立200家目标企业资源库，精准包装各产业招商项目不少于40个，在新能源、新材料、食品加工、大数据等产业方面力争引进龙头企业，实现新突破。</w:t>
      </w:r>
      <w:r w:rsidRPr="00106B6D">
        <w:rPr>
          <w:rStyle w:val="ad"/>
          <w:rFonts w:ascii="楷体" w:eastAsia="楷体" w:hAnsi="楷体" w:hint="eastAsia"/>
          <w:b w:val="0"/>
          <w:bCs w:val="0"/>
          <w:spacing w:val="-4"/>
          <w:sz w:val="32"/>
          <w:szCs w:val="32"/>
        </w:rPr>
        <w:br/>
        <w:t>②聚焦重点，强链延链补链。围绕产业关键、缺失环节“引新”，推进PTA项目、乌石化石油炼化转型升级项目建设开工，华峰集</w:t>
      </w:r>
      <w:r w:rsidRPr="00106B6D">
        <w:rPr>
          <w:rStyle w:val="ad"/>
          <w:rFonts w:ascii="楷体" w:eastAsia="楷体" w:hAnsi="楷体" w:hint="eastAsia"/>
          <w:b w:val="0"/>
          <w:bCs w:val="0"/>
          <w:spacing w:val="-4"/>
          <w:sz w:val="32"/>
          <w:szCs w:val="32"/>
        </w:rPr>
        <w:lastRenderedPageBreak/>
        <w:t>团总部基地项目落地，推动纺织服装产业项目签约。</w:t>
      </w:r>
      <w:r w:rsidRPr="00106B6D">
        <w:rPr>
          <w:rStyle w:val="ad"/>
          <w:rFonts w:ascii="楷体" w:eastAsia="楷体" w:hAnsi="楷体" w:hint="eastAsia"/>
          <w:b w:val="0"/>
          <w:bCs w:val="0"/>
          <w:spacing w:val="-4"/>
          <w:sz w:val="32"/>
          <w:szCs w:val="32"/>
        </w:rPr>
        <w:br/>
        <w:t>③高位推动，强化外出招商。发挥市区两级领导招商的优势，对长三角、珠三角、京津冀和成渝等地区域内的关联企业进行全面摸排，寻求合作项目，并安排招商小分队和驻点招商组跟进对接，成功引入企业落户。</w:t>
      </w:r>
      <w:r w:rsidRPr="00106B6D">
        <w:rPr>
          <w:rStyle w:val="ad"/>
          <w:rFonts w:ascii="楷体" w:eastAsia="楷体" w:hAnsi="楷体" w:hint="eastAsia"/>
          <w:b w:val="0"/>
          <w:bCs w:val="0"/>
          <w:spacing w:val="-4"/>
          <w:sz w:val="32"/>
          <w:szCs w:val="32"/>
        </w:rPr>
        <w:br/>
        <w:t>④强化宣传，提升米东知名度。充分发挥商协会和以商招商作用，精心谋划江浙等重点地区大型推介会，组织不同产业专场推介活动，多方位宣传米东优势资源，提高米东的知名度和影响力。</w:t>
      </w:r>
      <w:r w:rsidRPr="00106B6D">
        <w:rPr>
          <w:rStyle w:val="ad"/>
          <w:rFonts w:ascii="楷体" w:eastAsia="楷体" w:hAnsi="楷体" w:hint="eastAsia"/>
          <w:b w:val="0"/>
          <w:bCs w:val="0"/>
          <w:spacing w:val="-4"/>
          <w:sz w:val="32"/>
          <w:szCs w:val="32"/>
        </w:rPr>
        <w:br/>
        <w:t>（3）2023年当年完成情况：实际完成情况为：</w:t>
      </w:r>
      <w:r w:rsidRPr="00106B6D">
        <w:rPr>
          <w:rStyle w:val="ad"/>
          <w:rFonts w:ascii="楷体" w:eastAsia="楷体" w:hAnsi="楷体" w:hint="eastAsia"/>
          <w:b w:val="0"/>
          <w:bCs w:val="0"/>
          <w:spacing w:val="-4"/>
          <w:sz w:val="32"/>
          <w:szCs w:val="32"/>
        </w:rPr>
        <w:br/>
        <w:t>1-11月，招商引资项目181个累计区外到位资金305.33亿元，同比增长2.75%，完成年度304亿元目标任务的100.43%。具体情况为：</w:t>
      </w:r>
      <w:r w:rsidRPr="00106B6D">
        <w:rPr>
          <w:rStyle w:val="ad"/>
          <w:rFonts w:ascii="楷体" w:eastAsia="楷体" w:hAnsi="楷体" w:hint="eastAsia"/>
          <w:b w:val="0"/>
          <w:bCs w:val="0"/>
          <w:spacing w:val="-4"/>
          <w:sz w:val="32"/>
          <w:szCs w:val="32"/>
        </w:rPr>
        <w:br/>
        <w:t>①组织疆内外大型推介及座谈会5场，宣传推介360余家企业。签约项目35个，签约金额1372.01亿元，涉及新能源、总部经济、酒店、工业地产等领域。其中，百亿元以上项目6个，签约金额879.4亿元。落地项目21个，计划总投资480.53亿元，落地率60%。</w:t>
      </w:r>
      <w:r w:rsidRPr="00106B6D">
        <w:rPr>
          <w:rStyle w:val="ad"/>
          <w:rFonts w:ascii="楷体" w:eastAsia="楷体" w:hAnsi="楷体" w:hint="eastAsia"/>
          <w:b w:val="0"/>
          <w:bCs w:val="0"/>
          <w:spacing w:val="-4"/>
          <w:sz w:val="32"/>
          <w:szCs w:val="32"/>
        </w:rPr>
        <w:br/>
        <w:t>②细化招商方向，精准包装项目。一是确定目标企业。围绕乌鲁木齐市产业布局和米东区产业定位，研究细化产业链招商主攻方向，绘制了2023年目标企业招商地图，建立了240余家目标企业资源库，为精准招商奠定坚实基础。二是精准包装项目。精准包装了招商项目53个，计划总投资2305.15亿元，提高招商引资吸引力和成功率。</w:t>
      </w:r>
      <w:r w:rsidRPr="00106B6D">
        <w:rPr>
          <w:rStyle w:val="ad"/>
          <w:rFonts w:ascii="楷体" w:eastAsia="楷体" w:hAnsi="楷体" w:hint="eastAsia"/>
          <w:b w:val="0"/>
          <w:bCs w:val="0"/>
          <w:spacing w:val="-4"/>
          <w:sz w:val="32"/>
          <w:szCs w:val="32"/>
        </w:rPr>
        <w:br/>
        <w:t>③创新招商方式，激发招商合力。一是开展“走出去、请进来”小分队招商。紧盯重点项目，赴长三角、京津冀等地区，开展上</w:t>
      </w:r>
      <w:r w:rsidRPr="00106B6D">
        <w:rPr>
          <w:rStyle w:val="ad"/>
          <w:rFonts w:ascii="楷体" w:eastAsia="楷体" w:hAnsi="楷体" w:hint="eastAsia"/>
          <w:b w:val="0"/>
          <w:bCs w:val="0"/>
          <w:spacing w:val="-4"/>
          <w:sz w:val="32"/>
          <w:szCs w:val="32"/>
        </w:rPr>
        <w:lastRenderedPageBreak/>
        <w:t>门招商7批次，考察目标企业80余家，吸引50余家企业来我区投资考察。二是开展驻点招商。按照长三角目标企业资源库电话联系企业近100家，上门拜访企业33家，拜访商会11家，18家企业进行了回访，1家企业签订战略合作协议。</w:t>
      </w:r>
      <w:r w:rsidRPr="00106B6D">
        <w:rPr>
          <w:rStyle w:val="ad"/>
          <w:rFonts w:ascii="楷体" w:eastAsia="楷体" w:hAnsi="楷体" w:hint="eastAsia"/>
          <w:b w:val="0"/>
          <w:bCs w:val="0"/>
          <w:spacing w:val="-4"/>
          <w:sz w:val="32"/>
          <w:szCs w:val="32"/>
        </w:rPr>
        <w:br/>
        <w:t>④全面优化环境，树立招商新形象。一是积极开展企业服务月活动，与化工园、工商联和金融办通过政银企座谈和走访的形式，纾解民营企业融资难等问题。二是盘活闲置土地。对机电通讯产业园、一带一路医药产业园、精密制造产业园进行盘活。三是“零阻碍”服务项目。协调解决待挂地项目堵点问题共计164件，协助企业注册公司50个，针对问题转发交办单50余件。</w:t>
      </w:r>
      <w:r w:rsidRPr="00106B6D">
        <w:rPr>
          <w:rStyle w:val="ad"/>
          <w:rFonts w:ascii="楷体" w:eastAsia="楷体" w:hAnsi="楷体" w:hint="eastAsia"/>
          <w:b w:val="0"/>
          <w:bCs w:val="0"/>
          <w:spacing w:val="-4"/>
          <w:sz w:val="32"/>
          <w:szCs w:val="32"/>
        </w:rPr>
        <w:br/>
        <w:t>2. 资金投入和使用情况</w:t>
      </w:r>
      <w:r w:rsidRPr="00106B6D">
        <w:rPr>
          <w:rStyle w:val="ad"/>
          <w:rFonts w:ascii="楷体" w:eastAsia="楷体" w:hAnsi="楷体" w:hint="eastAsia"/>
          <w:b w:val="0"/>
          <w:bCs w:val="0"/>
          <w:spacing w:val="-4"/>
          <w:sz w:val="32"/>
          <w:szCs w:val="32"/>
        </w:rPr>
        <w:br/>
        <w:t>（1）该项目资金投入情况：《关于2023年乌鲁木齐市米东区招商引资目标任务分解的预通知》，项目系2023年本级资金，共安排预算248万元，于2023年年中追加批复项目，年中资金调整情况为年中追加248万元。</w:t>
      </w:r>
      <w:r w:rsidRPr="00106B6D">
        <w:rPr>
          <w:rStyle w:val="ad"/>
          <w:rFonts w:ascii="楷体" w:eastAsia="楷体" w:hAnsi="楷体" w:hint="eastAsia"/>
          <w:b w:val="0"/>
          <w:bCs w:val="0"/>
          <w:spacing w:val="-4"/>
          <w:sz w:val="32"/>
          <w:szCs w:val="32"/>
        </w:rPr>
        <w:br/>
        <w:t>（2）该项目资金使用情况：①总预算情况：248万元；②需要制作宣传片、宣传册、项目库、编印2023年招商项目册、投资指南、工作用图等宣传资料；参加展会、考察、接待、项目促进落地帮办等工作经费。共计支出126.54万元；③预算执行率：51.02%。</w:t>
      </w:r>
    </w:p>
    <w:p w14:paraId="4EE91996" w14:textId="77777777" w:rsidR="000048AA" w:rsidRPr="00106B6D" w:rsidRDefault="00000000">
      <w:pPr>
        <w:spacing w:line="540" w:lineRule="exact"/>
        <w:ind w:firstLine="567"/>
        <w:rPr>
          <w:rStyle w:val="ad"/>
          <w:rFonts w:ascii="楷体" w:eastAsia="楷体" w:hAnsi="楷体" w:hint="eastAsia"/>
          <w:spacing w:val="-4"/>
          <w:sz w:val="32"/>
          <w:szCs w:val="32"/>
        </w:rPr>
      </w:pPr>
      <w:r w:rsidRPr="00106B6D">
        <w:rPr>
          <w:rStyle w:val="ad"/>
          <w:rFonts w:ascii="楷体" w:eastAsia="楷体" w:hAnsi="楷体" w:hint="eastAsia"/>
          <w:spacing w:val="-4"/>
          <w:sz w:val="32"/>
          <w:szCs w:val="32"/>
        </w:rPr>
        <w:t>（二）项目绩效目标</w:t>
      </w:r>
    </w:p>
    <w:p w14:paraId="5F877E16"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（二）项目绩效目标</w:t>
      </w:r>
      <w:r w:rsidRPr="00106B6D">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w:t>
      </w:r>
      <w:r w:rsidRPr="00106B6D">
        <w:rPr>
          <w:rStyle w:val="ad"/>
          <w:rFonts w:ascii="楷体" w:eastAsia="楷体" w:hAnsi="楷体" w:hint="eastAsia"/>
          <w:b w:val="0"/>
          <w:bCs w:val="0"/>
          <w:spacing w:val="-4"/>
          <w:sz w:val="32"/>
          <w:szCs w:val="32"/>
        </w:rPr>
        <w:lastRenderedPageBreak/>
        <w:t>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106B6D">
        <w:rPr>
          <w:rStyle w:val="ad"/>
          <w:rFonts w:ascii="楷体" w:eastAsia="楷体" w:hAnsi="楷体" w:hint="eastAsia"/>
          <w:b w:val="0"/>
          <w:bCs w:val="0"/>
          <w:spacing w:val="-4"/>
          <w:sz w:val="32"/>
          <w:szCs w:val="32"/>
        </w:rPr>
        <w:br/>
        <w:t>该项目为经常性项目。</w:t>
      </w:r>
      <w:r w:rsidRPr="00106B6D">
        <w:rPr>
          <w:rStyle w:val="ad"/>
          <w:rFonts w:ascii="楷体" w:eastAsia="楷体" w:hAnsi="楷体" w:hint="eastAsia"/>
          <w:b w:val="0"/>
          <w:bCs w:val="0"/>
          <w:spacing w:val="-4"/>
          <w:sz w:val="32"/>
          <w:szCs w:val="32"/>
        </w:rPr>
        <w:br/>
        <w:t>该项目总体绩效目标：2023年1-12月，招商引资项目181个累计区外到位资金305.33亿元，同比增长2.75%，完成年度304亿元目标任务的100.43%。 2、完成区级“2+2”任务情况 组织疆内外大型推介及座谈会5场，宣传推介360余家企业。签约项目35个，签约金额1372.01亿元，涉及新能源、总部经济、酒店、工业地产等领域。其中，百亿元以上项目6个，签约金额951.4亿元。落地项目21个，计划总投资480.53亿元，落地率60%。吸引外部的资金和先进技术，为我区的发展提供重要的支持和保障。这些资金可以用于基础设施建设、产业升级、技术研发等方面，帮助我区提升整体实力和竞争力。同时，技术的引入还可以促进我区的科技创新和技术进步，为未来的发展奠定更加坚实的基础。</w:t>
      </w:r>
    </w:p>
    <w:p w14:paraId="6BFCEFBA" w14:textId="77777777" w:rsidR="000048AA" w:rsidRPr="00106B6D" w:rsidRDefault="00000000">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二、绩效评价工作开展情况</w:t>
      </w:r>
    </w:p>
    <w:p w14:paraId="61859553" w14:textId="77777777" w:rsidR="000048AA" w:rsidRPr="00106B6D" w:rsidRDefault="00000000">
      <w:pPr>
        <w:spacing w:line="540" w:lineRule="exact"/>
        <w:ind w:firstLineChars="181" w:firstLine="567"/>
        <w:rPr>
          <w:rStyle w:val="ad"/>
          <w:rFonts w:ascii="楷体" w:eastAsia="楷体" w:hAnsi="楷体" w:hint="eastAsia"/>
          <w:spacing w:val="-4"/>
          <w:sz w:val="32"/>
          <w:szCs w:val="32"/>
        </w:rPr>
      </w:pPr>
      <w:r w:rsidRPr="00106B6D">
        <w:rPr>
          <w:rStyle w:val="ad"/>
          <w:rFonts w:ascii="楷体" w:eastAsia="楷体" w:hAnsi="楷体" w:hint="eastAsia"/>
          <w:spacing w:val="-4"/>
          <w:sz w:val="32"/>
          <w:szCs w:val="32"/>
        </w:rPr>
        <w:t>（一）绩效评价目的、对象和范围</w:t>
      </w:r>
    </w:p>
    <w:p w14:paraId="5CBE7A93"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（一）绩效评价目的、对象和范围</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1. 绩效评价完整性</w:t>
      </w:r>
      <w:r w:rsidRPr="00106B6D">
        <w:rPr>
          <w:rStyle w:val="ad"/>
          <w:rFonts w:ascii="楷体" w:eastAsia="楷体" w:hAnsi="楷体" w:hint="eastAsia"/>
          <w:b w:val="0"/>
          <w:bCs w:val="0"/>
          <w:spacing w:val="-4"/>
          <w:sz w:val="32"/>
          <w:szCs w:val="32"/>
        </w:rPr>
        <w:br/>
        <w:t>首先，根据区委、区政府相关工作安排，为保障全区招商引资工作顺利开展，米东区设立招商引资专项经费项目。2023年招商引资专项经费预算为248万元，项目实施部门为米东区招商服务局。</w:t>
      </w:r>
      <w:r w:rsidRPr="00106B6D">
        <w:rPr>
          <w:rStyle w:val="ad"/>
          <w:rFonts w:ascii="楷体" w:eastAsia="楷体" w:hAnsi="楷体" w:hint="eastAsia"/>
          <w:b w:val="0"/>
          <w:bCs w:val="0"/>
          <w:spacing w:val="-4"/>
          <w:sz w:val="32"/>
          <w:szCs w:val="32"/>
        </w:rPr>
        <w:br/>
        <w:t>该项目主要包括举办、承办招商引资洽谈、座谈、签约、推介等会议，参加各类展会，外出招商、项目考察等多项招商活动。具体为宣传费用100万元；会务费用100万元；招待费用12万元；购置办公设备15万元；办公服务费12.5万元；公务车辆费用7.5万元；雇员、西部计划志愿者和借调人员办公经费1万元，共计248万元。招商引资专项经费的列支通过财政系统数据进行采集，佐证材料通过发票、原始凭证、合同、会议纪要等进行说明，确保数据的准确性和完整性。</w:t>
      </w:r>
      <w:r w:rsidRPr="00106B6D">
        <w:rPr>
          <w:rStyle w:val="ad"/>
          <w:rFonts w:ascii="楷体" w:eastAsia="楷体" w:hAnsi="楷体" w:hint="eastAsia"/>
          <w:b w:val="0"/>
          <w:bCs w:val="0"/>
          <w:spacing w:val="-4"/>
          <w:sz w:val="32"/>
          <w:szCs w:val="32"/>
        </w:rPr>
        <w:br/>
        <w:t>其次，项目计划投入招商引资专项经费248万元，开展招商引资活动，预计完成到位资金300亿元，实现区域产业布局协调、营商环境改善、经济高质量发展。与预期产出及效果相匹配。本项目资金全部由财政资金投入，没有其他渠道投入。</w:t>
      </w:r>
      <w:r w:rsidRPr="00106B6D">
        <w:rPr>
          <w:rStyle w:val="ad"/>
          <w:rFonts w:ascii="楷体" w:eastAsia="楷体" w:hAnsi="楷体" w:hint="eastAsia"/>
          <w:b w:val="0"/>
          <w:bCs w:val="0"/>
          <w:spacing w:val="-4"/>
          <w:sz w:val="32"/>
          <w:szCs w:val="32"/>
        </w:rPr>
        <w:br/>
        <w:t>最后，该项目评价的数据来源是各个招商产业科室对自有资料的汇总得到，材料证实有效，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106B6D">
        <w:rPr>
          <w:rStyle w:val="ad"/>
          <w:rFonts w:ascii="楷体" w:eastAsia="楷体" w:hAnsi="楷体" w:hint="eastAsia"/>
          <w:b w:val="0"/>
          <w:bCs w:val="0"/>
          <w:spacing w:val="-4"/>
          <w:sz w:val="32"/>
          <w:szCs w:val="32"/>
        </w:rPr>
        <w:br/>
        <w:t>2. 评价目的</w:t>
      </w:r>
      <w:r w:rsidRPr="00106B6D">
        <w:rPr>
          <w:rStyle w:val="ad"/>
          <w:rFonts w:ascii="楷体" w:eastAsia="楷体" w:hAnsi="楷体" w:hint="eastAsia"/>
          <w:b w:val="0"/>
          <w:bCs w:val="0"/>
          <w:spacing w:val="-4"/>
          <w:sz w:val="32"/>
          <w:szCs w:val="32"/>
        </w:rPr>
        <w:br/>
        <w:t>本项工作旨在落实《中共中央 国务院关于全面实施预算绩效管</w:t>
      </w:r>
      <w:r w:rsidRPr="00106B6D">
        <w:rPr>
          <w:rStyle w:val="ad"/>
          <w:rFonts w:ascii="楷体" w:eastAsia="楷体" w:hAnsi="楷体" w:hint="eastAsia"/>
          <w:b w:val="0"/>
          <w:bCs w:val="0"/>
          <w:spacing w:val="-4"/>
          <w:sz w:val="32"/>
          <w:szCs w:val="32"/>
        </w:rPr>
        <w:lastRenderedPageBreak/>
        <w:t>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招商引资专项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106B6D">
        <w:rPr>
          <w:rStyle w:val="ad"/>
          <w:rFonts w:ascii="楷体" w:eastAsia="楷体" w:hAnsi="楷体" w:hint="eastAsia"/>
          <w:b w:val="0"/>
          <w:bCs w:val="0"/>
          <w:spacing w:val="-4"/>
          <w:sz w:val="32"/>
          <w:szCs w:val="32"/>
        </w:rPr>
        <w:br/>
        <w:t>3. 评价对象</w:t>
      </w:r>
      <w:r w:rsidRPr="00106B6D">
        <w:rPr>
          <w:rStyle w:val="ad"/>
          <w:rFonts w:ascii="楷体" w:eastAsia="楷体" w:hAnsi="楷体" w:hint="eastAsia"/>
          <w:b w:val="0"/>
          <w:bCs w:val="0"/>
          <w:spacing w:val="-4"/>
          <w:sz w:val="32"/>
          <w:szCs w:val="32"/>
        </w:rPr>
        <w:br/>
        <w:t>（1）绩效评价的对象：招商引资专项经费</w:t>
      </w:r>
      <w:r w:rsidRPr="00106B6D">
        <w:rPr>
          <w:rStyle w:val="ad"/>
          <w:rFonts w:ascii="楷体" w:eastAsia="楷体" w:hAnsi="楷体" w:hint="eastAsia"/>
          <w:b w:val="0"/>
          <w:bCs w:val="0"/>
          <w:spacing w:val="-4"/>
          <w:sz w:val="32"/>
          <w:szCs w:val="32"/>
        </w:rPr>
        <w:br/>
        <w:t>4. 绩效评价范围</w:t>
      </w:r>
      <w:r w:rsidRPr="00106B6D">
        <w:rPr>
          <w:rStyle w:val="ad"/>
          <w:rFonts w:ascii="楷体" w:eastAsia="楷体" w:hAnsi="楷体" w:hint="eastAsia"/>
          <w:b w:val="0"/>
          <w:bCs w:val="0"/>
          <w:spacing w:val="-4"/>
          <w:sz w:val="32"/>
          <w:szCs w:val="32"/>
        </w:rPr>
        <w:br/>
        <w:t>（1）时间范围：2023年1月1日至2023年12月31日。</w:t>
      </w:r>
      <w:r w:rsidRPr="00106B6D">
        <w:rPr>
          <w:rStyle w:val="ad"/>
          <w:rFonts w:ascii="楷体" w:eastAsia="楷体" w:hAnsi="楷体" w:hint="eastAsia"/>
          <w:b w:val="0"/>
          <w:bCs w:val="0"/>
          <w:spacing w:val="-4"/>
          <w:sz w:val="32"/>
          <w:szCs w:val="32"/>
        </w:rPr>
        <w:br/>
        <w:t>（2）项目范围：该项目主要包括举办、承办招商引资洽谈、座谈、签约、推介等会议，参加各类展会，外出招商、项目考察等多项招商活动。具体为宣传费用100万元；会务费用100万元；招待费用12万元；购置办公设备15万元；办公服务费12.5万元；公务车辆费用7.5万元；雇员、西部计划志愿者和借调人员办公经费1万元，共计248万元。</w:t>
      </w:r>
      <w:r w:rsidRPr="00106B6D">
        <w:rPr>
          <w:rStyle w:val="ad"/>
          <w:rFonts w:ascii="楷体" w:eastAsia="楷体" w:hAnsi="楷体" w:hint="eastAsia"/>
          <w:b w:val="0"/>
          <w:bCs w:val="0"/>
          <w:spacing w:val="-4"/>
          <w:sz w:val="32"/>
          <w:szCs w:val="32"/>
        </w:rPr>
        <w:br/>
        <w:t>2023年1-12月，招商引资项目181个累计区外到位资金305.33亿元， 2、完成区级“2+2”任务情况 组织疆内外大型推介及座谈会5场，宣传推介360余家企业。签约项目35个，签约金额1372.01亿元，涉及新能源、总部经济、酒店、工业地产等领域。其中，百亿元以上项目6个，签约金额951.4亿元。落地项目</w:t>
      </w:r>
      <w:r w:rsidRPr="00106B6D">
        <w:rPr>
          <w:rStyle w:val="ad"/>
          <w:rFonts w:ascii="楷体" w:eastAsia="楷体" w:hAnsi="楷体" w:hint="eastAsia"/>
          <w:b w:val="0"/>
          <w:bCs w:val="0"/>
          <w:spacing w:val="-4"/>
          <w:sz w:val="32"/>
          <w:szCs w:val="32"/>
        </w:rPr>
        <w:lastRenderedPageBreak/>
        <w:t>21个，计划总投资480.53亿元，落地率60%。吸引外部的资金和先进技术，为我区的发展提供重要的支持和保障。这些资金可以用于基础设施建设、产业升级、技术研发等方面，帮助我区提升整体实力和竞争力。同时，技术的引入还可以促进我区的科技创新和技术进步，为未来的发展奠定更加坚实的基础。</w:t>
      </w:r>
    </w:p>
    <w:p w14:paraId="1271490C" w14:textId="77777777" w:rsidR="000048AA" w:rsidRPr="00106B6D" w:rsidRDefault="00000000">
      <w:pPr>
        <w:spacing w:line="540" w:lineRule="exact"/>
        <w:ind w:firstLine="567"/>
        <w:rPr>
          <w:rStyle w:val="ad"/>
          <w:rFonts w:ascii="楷体" w:eastAsia="楷体" w:hAnsi="楷体" w:hint="eastAsia"/>
          <w:spacing w:val="-4"/>
          <w:sz w:val="32"/>
          <w:szCs w:val="32"/>
        </w:rPr>
      </w:pPr>
      <w:r w:rsidRPr="00106B6D">
        <w:rPr>
          <w:rStyle w:val="ad"/>
          <w:rFonts w:ascii="楷体" w:eastAsia="楷体" w:hAnsi="楷体" w:hint="eastAsia"/>
          <w:spacing w:val="-4"/>
          <w:sz w:val="32"/>
          <w:szCs w:val="32"/>
        </w:rPr>
        <w:t>（二）绩效评价原则、评价指标体系、评价方法、评价标准</w:t>
      </w:r>
    </w:p>
    <w:p w14:paraId="1F0C1D90"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（二）绩效评价原则、指标体系、方法及标准</w:t>
      </w:r>
      <w:r w:rsidRPr="00106B6D">
        <w:rPr>
          <w:rStyle w:val="ad"/>
          <w:rFonts w:ascii="楷体" w:eastAsia="楷体" w:hAnsi="楷体" w:hint="eastAsia"/>
          <w:b w:val="0"/>
          <w:bCs w:val="0"/>
          <w:spacing w:val="-4"/>
          <w:sz w:val="32"/>
          <w:szCs w:val="32"/>
        </w:rPr>
        <w:br/>
        <w:t>1. 评价原则</w:t>
      </w:r>
      <w:r w:rsidRPr="00106B6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106B6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106B6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106B6D">
        <w:rPr>
          <w:rStyle w:val="ad"/>
          <w:rFonts w:ascii="楷体" w:eastAsia="楷体" w:hAnsi="楷体" w:hint="eastAsia"/>
          <w:b w:val="0"/>
          <w:bCs w:val="0"/>
          <w:spacing w:val="-4"/>
          <w:sz w:val="32"/>
          <w:szCs w:val="32"/>
        </w:rPr>
        <w:br/>
        <w:t>（4）公开透明。绩效评价结果应依法依规公开，并自觉接受社会监督。</w:t>
      </w:r>
      <w:r w:rsidRPr="00106B6D">
        <w:rPr>
          <w:rStyle w:val="ad"/>
          <w:rFonts w:ascii="楷体" w:eastAsia="楷体" w:hAnsi="楷体" w:hint="eastAsia"/>
          <w:b w:val="0"/>
          <w:bCs w:val="0"/>
          <w:spacing w:val="-4"/>
          <w:sz w:val="32"/>
          <w:szCs w:val="32"/>
        </w:rPr>
        <w:br/>
        <w:t>2. 评价指标体系</w:t>
      </w:r>
      <w:r w:rsidRPr="00106B6D">
        <w:rPr>
          <w:rStyle w:val="ad"/>
          <w:rFonts w:ascii="楷体" w:eastAsia="楷体" w:hAnsi="楷体" w:hint="eastAsia"/>
          <w:b w:val="0"/>
          <w:bCs w:val="0"/>
          <w:spacing w:val="-4"/>
          <w:sz w:val="32"/>
          <w:szCs w:val="32"/>
        </w:rPr>
        <w:br/>
        <w:t>绩效评价指标体系作为衡量绩效目标实现程度的考核工具，一般遵循以下原则：</w:t>
      </w:r>
      <w:r w:rsidRPr="00106B6D">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106B6D">
        <w:rPr>
          <w:rStyle w:val="ad"/>
          <w:rFonts w:ascii="楷体" w:eastAsia="楷体" w:hAnsi="楷体" w:hint="eastAsia"/>
          <w:b w:val="0"/>
          <w:bCs w:val="0"/>
          <w:spacing w:val="-4"/>
          <w:sz w:val="32"/>
          <w:szCs w:val="32"/>
        </w:rPr>
        <w:br/>
        <w:t>（2）重要性原则：应当优先使用最具评价对象代表性、最能反</w:t>
      </w:r>
      <w:r w:rsidRPr="00106B6D">
        <w:rPr>
          <w:rStyle w:val="ad"/>
          <w:rFonts w:ascii="楷体" w:eastAsia="楷体" w:hAnsi="楷体" w:hint="eastAsia"/>
          <w:b w:val="0"/>
          <w:bCs w:val="0"/>
          <w:spacing w:val="-4"/>
          <w:sz w:val="32"/>
          <w:szCs w:val="32"/>
        </w:rPr>
        <w:lastRenderedPageBreak/>
        <w:t>映评价要求的核心指标。</w:t>
      </w:r>
      <w:r w:rsidRPr="00106B6D">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106B6D">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106B6D">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106B6D">
        <w:rPr>
          <w:rStyle w:val="ad"/>
          <w:rFonts w:ascii="楷体" w:eastAsia="楷体" w:hAnsi="楷体" w:hint="eastAsia"/>
          <w:b w:val="0"/>
          <w:bCs w:val="0"/>
          <w:spacing w:val="-4"/>
          <w:sz w:val="32"/>
          <w:szCs w:val="32"/>
        </w:rPr>
        <w:br/>
        <w:t>本项目的评价指标体系建立如表2-1所示。</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br/>
        <w:t>表2-1 项目支出绩效评价指标体系</w:t>
      </w:r>
      <w:r w:rsidRPr="00106B6D">
        <w:rPr>
          <w:rStyle w:val="ad"/>
          <w:rFonts w:ascii="楷体" w:eastAsia="楷体" w:hAnsi="楷体" w:hint="eastAsia"/>
          <w:b w:val="0"/>
          <w:bCs w:val="0"/>
          <w:spacing w:val="-4"/>
          <w:sz w:val="32"/>
          <w:szCs w:val="32"/>
        </w:rPr>
        <w:br/>
        <w:t>一级指标 二级指标 三级指标 指标解释 指标说明</w:t>
      </w:r>
      <w:r w:rsidRPr="00106B6D">
        <w:rPr>
          <w:rStyle w:val="ad"/>
          <w:rFonts w:ascii="楷体" w:eastAsia="楷体" w:hAnsi="楷体" w:hint="eastAsia"/>
          <w:b w:val="0"/>
          <w:bCs w:val="0"/>
          <w:spacing w:val="-4"/>
          <w:sz w:val="32"/>
          <w:szCs w:val="32"/>
        </w:rPr>
        <w:br/>
        <w:t>决策 项目立项 立项依据</w:t>
      </w:r>
      <w:r w:rsidRPr="00106B6D">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106B6D">
        <w:rPr>
          <w:rStyle w:val="ad"/>
          <w:rFonts w:ascii="楷体" w:eastAsia="楷体" w:hAnsi="楷体" w:hint="eastAsia"/>
          <w:b w:val="0"/>
          <w:bCs w:val="0"/>
          <w:spacing w:val="-4"/>
          <w:sz w:val="32"/>
          <w:szCs w:val="32"/>
        </w:rPr>
        <w:br/>
        <w:t>①项目立项是否符合国家法律法规、国民经济发展规划和相关政策；</w:t>
      </w:r>
      <w:r w:rsidRPr="00106B6D">
        <w:rPr>
          <w:rStyle w:val="ad"/>
          <w:rFonts w:ascii="楷体" w:eastAsia="楷体" w:hAnsi="楷体" w:hint="eastAsia"/>
          <w:b w:val="0"/>
          <w:bCs w:val="0"/>
          <w:spacing w:val="-4"/>
          <w:sz w:val="32"/>
          <w:szCs w:val="32"/>
        </w:rPr>
        <w:br/>
        <w:t>②项目立项是否符合行业发展规划和政策要求；</w:t>
      </w:r>
      <w:r w:rsidRPr="00106B6D">
        <w:rPr>
          <w:rStyle w:val="ad"/>
          <w:rFonts w:ascii="楷体" w:eastAsia="楷体" w:hAnsi="楷体" w:hint="eastAsia"/>
          <w:b w:val="0"/>
          <w:bCs w:val="0"/>
          <w:spacing w:val="-4"/>
          <w:sz w:val="32"/>
          <w:szCs w:val="32"/>
        </w:rPr>
        <w:br/>
        <w:t>③项目立项是否与部门职责范围相符，属于部门履职所需；</w:t>
      </w:r>
      <w:r w:rsidRPr="00106B6D">
        <w:rPr>
          <w:rStyle w:val="ad"/>
          <w:rFonts w:ascii="楷体" w:eastAsia="楷体" w:hAnsi="楷体" w:hint="eastAsia"/>
          <w:b w:val="0"/>
          <w:bCs w:val="0"/>
          <w:spacing w:val="-4"/>
          <w:sz w:val="32"/>
          <w:szCs w:val="32"/>
        </w:rPr>
        <w:br/>
        <w:t>④项目是否属于公共财政支持范围，是否符合中央、地方事权支出责任划分原则；</w:t>
      </w:r>
      <w:r w:rsidRPr="00106B6D">
        <w:rPr>
          <w:rStyle w:val="ad"/>
          <w:rFonts w:ascii="楷体" w:eastAsia="楷体" w:hAnsi="楷体" w:hint="eastAsia"/>
          <w:b w:val="0"/>
          <w:bCs w:val="0"/>
          <w:spacing w:val="-4"/>
          <w:sz w:val="32"/>
          <w:szCs w:val="32"/>
        </w:rPr>
        <w:br/>
        <w:t>⑤项目是否与相关部门同类项目或部门内部相关项目重复。</w:t>
      </w:r>
      <w:r w:rsidRPr="00106B6D">
        <w:rPr>
          <w:rStyle w:val="ad"/>
          <w:rFonts w:ascii="楷体" w:eastAsia="楷体" w:hAnsi="楷体" w:hint="eastAsia"/>
          <w:b w:val="0"/>
          <w:bCs w:val="0"/>
          <w:spacing w:val="-4"/>
          <w:sz w:val="32"/>
          <w:szCs w:val="32"/>
        </w:rPr>
        <w:br/>
        <w:t>立项程序</w:t>
      </w:r>
      <w:r w:rsidRPr="00106B6D">
        <w:rPr>
          <w:rStyle w:val="ad"/>
          <w:rFonts w:ascii="楷体" w:eastAsia="楷体" w:hAnsi="楷体" w:hint="eastAsia"/>
          <w:b w:val="0"/>
          <w:bCs w:val="0"/>
          <w:spacing w:val="-4"/>
          <w:sz w:val="32"/>
          <w:szCs w:val="32"/>
        </w:rPr>
        <w:br/>
        <w:t>规范性 项目申请、设立过程是否符合相关要求，用以反映和考</w:t>
      </w:r>
      <w:r w:rsidRPr="00106B6D">
        <w:rPr>
          <w:rStyle w:val="ad"/>
          <w:rFonts w:ascii="楷体" w:eastAsia="楷体" w:hAnsi="楷体" w:hint="eastAsia"/>
          <w:b w:val="0"/>
          <w:bCs w:val="0"/>
          <w:spacing w:val="-4"/>
          <w:sz w:val="32"/>
          <w:szCs w:val="32"/>
        </w:rPr>
        <w:lastRenderedPageBreak/>
        <w:t>核项目立项的规范情况。 评价要点：</w:t>
      </w:r>
      <w:r w:rsidRPr="00106B6D">
        <w:rPr>
          <w:rStyle w:val="ad"/>
          <w:rFonts w:ascii="楷体" w:eastAsia="楷体" w:hAnsi="楷体" w:hint="eastAsia"/>
          <w:b w:val="0"/>
          <w:bCs w:val="0"/>
          <w:spacing w:val="-4"/>
          <w:sz w:val="32"/>
          <w:szCs w:val="32"/>
        </w:rPr>
        <w:br/>
        <w:t>①项目是否按照规定的程序申请设立；</w:t>
      </w:r>
      <w:r w:rsidRPr="00106B6D">
        <w:rPr>
          <w:rStyle w:val="ad"/>
          <w:rFonts w:ascii="楷体" w:eastAsia="楷体" w:hAnsi="楷体" w:hint="eastAsia"/>
          <w:b w:val="0"/>
          <w:bCs w:val="0"/>
          <w:spacing w:val="-4"/>
          <w:sz w:val="32"/>
          <w:szCs w:val="32"/>
        </w:rPr>
        <w:br/>
        <w:t>②审批文件、材料是否符合相关要求；</w:t>
      </w:r>
      <w:r w:rsidRPr="00106B6D">
        <w:rPr>
          <w:rStyle w:val="ad"/>
          <w:rFonts w:ascii="楷体" w:eastAsia="楷体" w:hAnsi="楷体" w:hint="eastAsia"/>
          <w:b w:val="0"/>
          <w:bCs w:val="0"/>
          <w:spacing w:val="-4"/>
          <w:sz w:val="32"/>
          <w:szCs w:val="32"/>
        </w:rPr>
        <w:br/>
        <w:t>③事前是否已经过必要的可行性研究、专家论证、风险评估、绩效评估、集体决策。</w:t>
      </w:r>
      <w:r w:rsidRPr="00106B6D">
        <w:rPr>
          <w:rStyle w:val="ad"/>
          <w:rFonts w:ascii="楷体" w:eastAsia="楷体" w:hAnsi="楷体" w:hint="eastAsia"/>
          <w:b w:val="0"/>
          <w:bCs w:val="0"/>
          <w:spacing w:val="-4"/>
          <w:sz w:val="32"/>
          <w:szCs w:val="32"/>
        </w:rPr>
        <w:br/>
        <w:t>绩效目标 绩效目标</w:t>
      </w:r>
      <w:r w:rsidRPr="00106B6D">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106B6D">
        <w:rPr>
          <w:rStyle w:val="ad"/>
          <w:rFonts w:ascii="楷体" w:eastAsia="楷体" w:hAnsi="楷体" w:hint="eastAsia"/>
          <w:b w:val="0"/>
          <w:bCs w:val="0"/>
          <w:spacing w:val="-4"/>
          <w:sz w:val="32"/>
          <w:szCs w:val="32"/>
        </w:rPr>
        <w:br/>
        <w:t>（如未设定预算绩效目标，也可考核其他工作任务目标）</w:t>
      </w:r>
      <w:r w:rsidRPr="00106B6D">
        <w:rPr>
          <w:rStyle w:val="ad"/>
          <w:rFonts w:ascii="楷体" w:eastAsia="楷体" w:hAnsi="楷体" w:hint="eastAsia"/>
          <w:b w:val="0"/>
          <w:bCs w:val="0"/>
          <w:spacing w:val="-4"/>
          <w:sz w:val="32"/>
          <w:szCs w:val="32"/>
        </w:rPr>
        <w:br/>
        <w:t>①项目是否有绩效目标；</w:t>
      </w:r>
      <w:r w:rsidRPr="00106B6D">
        <w:rPr>
          <w:rStyle w:val="ad"/>
          <w:rFonts w:ascii="楷体" w:eastAsia="楷体" w:hAnsi="楷体" w:hint="eastAsia"/>
          <w:b w:val="0"/>
          <w:bCs w:val="0"/>
          <w:spacing w:val="-4"/>
          <w:sz w:val="32"/>
          <w:szCs w:val="32"/>
        </w:rPr>
        <w:br/>
        <w:t>②项目绩效目标与实际工作内容是否具有相关性；</w:t>
      </w:r>
      <w:r w:rsidRPr="00106B6D">
        <w:rPr>
          <w:rStyle w:val="ad"/>
          <w:rFonts w:ascii="楷体" w:eastAsia="楷体" w:hAnsi="楷体" w:hint="eastAsia"/>
          <w:b w:val="0"/>
          <w:bCs w:val="0"/>
          <w:spacing w:val="-4"/>
          <w:sz w:val="32"/>
          <w:szCs w:val="32"/>
        </w:rPr>
        <w:br/>
        <w:t>③项目预期产出效益和效果是否符合正常的业绩水平；</w:t>
      </w:r>
      <w:r w:rsidRPr="00106B6D">
        <w:rPr>
          <w:rStyle w:val="ad"/>
          <w:rFonts w:ascii="楷体" w:eastAsia="楷体" w:hAnsi="楷体" w:hint="eastAsia"/>
          <w:b w:val="0"/>
          <w:bCs w:val="0"/>
          <w:spacing w:val="-4"/>
          <w:sz w:val="32"/>
          <w:szCs w:val="32"/>
        </w:rPr>
        <w:br/>
        <w:t>④是否与预算确定的项目投资额或资金量相匹配。</w:t>
      </w:r>
      <w:r w:rsidRPr="00106B6D">
        <w:rPr>
          <w:rStyle w:val="ad"/>
          <w:rFonts w:ascii="楷体" w:eastAsia="楷体" w:hAnsi="楷体" w:hint="eastAsia"/>
          <w:b w:val="0"/>
          <w:bCs w:val="0"/>
          <w:spacing w:val="-4"/>
          <w:sz w:val="32"/>
          <w:szCs w:val="32"/>
        </w:rPr>
        <w:br/>
        <w:t>决策 绩效目标 绩效指标</w:t>
      </w:r>
      <w:r w:rsidRPr="00106B6D">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106B6D">
        <w:rPr>
          <w:rStyle w:val="ad"/>
          <w:rFonts w:ascii="楷体" w:eastAsia="楷体" w:hAnsi="楷体" w:hint="eastAsia"/>
          <w:b w:val="0"/>
          <w:bCs w:val="0"/>
          <w:spacing w:val="-4"/>
          <w:sz w:val="32"/>
          <w:szCs w:val="32"/>
        </w:rPr>
        <w:br/>
        <w:t>①是否将项目绩效目标细化分解为具体的绩效指标；</w:t>
      </w:r>
      <w:r w:rsidRPr="00106B6D">
        <w:rPr>
          <w:rStyle w:val="ad"/>
          <w:rFonts w:ascii="楷体" w:eastAsia="楷体" w:hAnsi="楷体" w:hint="eastAsia"/>
          <w:b w:val="0"/>
          <w:bCs w:val="0"/>
          <w:spacing w:val="-4"/>
          <w:sz w:val="32"/>
          <w:szCs w:val="32"/>
        </w:rPr>
        <w:br/>
        <w:t>②是否通过清晰、可衡量的指标值予以体现；</w:t>
      </w:r>
      <w:r w:rsidRPr="00106B6D">
        <w:rPr>
          <w:rStyle w:val="ad"/>
          <w:rFonts w:ascii="楷体" w:eastAsia="楷体" w:hAnsi="楷体" w:hint="eastAsia"/>
          <w:b w:val="0"/>
          <w:bCs w:val="0"/>
          <w:spacing w:val="-4"/>
          <w:sz w:val="32"/>
          <w:szCs w:val="32"/>
        </w:rPr>
        <w:br/>
        <w:t>③是否与项目目标任务数或计划数相对应。</w:t>
      </w:r>
      <w:r w:rsidRPr="00106B6D">
        <w:rPr>
          <w:rStyle w:val="ad"/>
          <w:rFonts w:ascii="楷体" w:eastAsia="楷体" w:hAnsi="楷体" w:hint="eastAsia"/>
          <w:b w:val="0"/>
          <w:bCs w:val="0"/>
          <w:spacing w:val="-4"/>
          <w:sz w:val="32"/>
          <w:szCs w:val="32"/>
        </w:rPr>
        <w:br/>
        <w:t>资金投入 预算编制</w:t>
      </w:r>
      <w:r w:rsidRPr="00106B6D">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106B6D">
        <w:rPr>
          <w:rStyle w:val="ad"/>
          <w:rFonts w:ascii="楷体" w:eastAsia="楷体" w:hAnsi="楷体" w:hint="eastAsia"/>
          <w:b w:val="0"/>
          <w:bCs w:val="0"/>
          <w:spacing w:val="-4"/>
          <w:sz w:val="32"/>
          <w:szCs w:val="32"/>
        </w:rPr>
        <w:br/>
        <w:t>①预算编制是否经过科学论证；</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②预算内容与项目内容是否匹配；</w:t>
      </w:r>
      <w:r w:rsidRPr="00106B6D">
        <w:rPr>
          <w:rStyle w:val="ad"/>
          <w:rFonts w:ascii="楷体" w:eastAsia="楷体" w:hAnsi="楷体" w:hint="eastAsia"/>
          <w:b w:val="0"/>
          <w:bCs w:val="0"/>
          <w:spacing w:val="-4"/>
          <w:sz w:val="32"/>
          <w:szCs w:val="32"/>
        </w:rPr>
        <w:br/>
        <w:t>③预算额度测算依据是否充分，是否按照标准编制；</w:t>
      </w:r>
      <w:r w:rsidRPr="00106B6D">
        <w:rPr>
          <w:rStyle w:val="ad"/>
          <w:rFonts w:ascii="楷体" w:eastAsia="楷体" w:hAnsi="楷体" w:hint="eastAsia"/>
          <w:b w:val="0"/>
          <w:bCs w:val="0"/>
          <w:spacing w:val="-4"/>
          <w:sz w:val="32"/>
          <w:szCs w:val="32"/>
        </w:rPr>
        <w:br/>
        <w:t>④预算确定的项目投资额或资金量是否与工作任务相匹配。</w:t>
      </w:r>
      <w:r w:rsidRPr="00106B6D">
        <w:rPr>
          <w:rStyle w:val="ad"/>
          <w:rFonts w:ascii="楷体" w:eastAsia="楷体" w:hAnsi="楷体" w:hint="eastAsia"/>
          <w:b w:val="0"/>
          <w:bCs w:val="0"/>
          <w:spacing w:val="-4"/>
          <w:sz w:val="32"/>
          <w:szCs w:val="32"/>
        </w:rPr>
        <w:br/>
        <w:t>资金分配</w:t>
      </w:r>
      <w:r w:rsidRPr="00106B6D">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106B6D">
        <w:rPr>
          <w:rStyle w:val="ad"/>
          <w:rFonts w:ascii="楷体" w:eastAsia="楷体" w:hAnsi="楷体" w:hint="eastAsia"/>
          <w:b w:val="0"/>
          <w:bCs w:val="0"/>
          <w:spacing w:val="-4"/>
          <w:sz w:val="32"/>
          <w:szCs w:val="32"/>
        </w:rPr>
        <w:br/>
        <w:t>①预算资金分配依据是否充分；</w:t>
      </w:r>
      <w:r w:rsidRPr="00106B6D">
        <w:rPr>
          <w:rStyle w:val="ad"/>
          <w:rFonts w:ascii="楷体" w:eastAsia="楷体" w:hAnsi="楷体" w:hint="eastAsia"/>
          <w:b w:val="0"/>
          <w:bCs w:val="0"/>
          <w:spacing w:val="-4"/>
          <w:sz w:val="32"/>
          <w:szCs w:val="32"/>
        </w:rPr>
        <w:br/>
        <w:t>②资金分配额度是否合理，与项目单位或地方实际是否相适应。</w:t>
      </w:r>
      <w:r w:rsidRPr="00106B6D">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106B6D">
        <w:rPr>
          <w:rStyle w:val="ad"/>
          <w:rFonts w:ascii="楷体" w:eastAsia="楷体" w:hAnsi="楷体" w:hint="eastAsia"/>
          <w:b w:val="0"/>
          <w:bCs w:val="0"/>
          <w:spacing w:val="-4"/>
          <w:sz w:val="32"/>
          <w:szCs w:val="32"/>
        </w:rPr>
        <w:br/>
        <w:t>实际到位资金：一定时期（本年度或项目期）内落实到具体项目的资金。</w:t>
      </w:r>
      <w:r w:rsidRPr="00106B6D">
        <w:rPr>
          <w:rStyle w:val="ad"/>
          <w:rFonts w:ascii="楷体" w:eastAsia="楷体" w:hAnsi="楷体" w:hint="eastAsia"/>
          <w:b w:val="0"/>
          <w:bCs w:val="0"/>
          <w:spacing w:val="-4"/>
          <w:sz w:val="32"/>
          <w:szCs w:val="32"/>
        </w:rPr>
        <w:br/>
        <w:t>预算资金：一定时期（本年度或项目期）内预算安排到具体项目的资金。</w:t>
      </w:r>
      <w:r w:rsidRPr="00106B6D">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106B6D">
        <w:rPr>
          <w:rStyle w:val="ad"/>
          <w:rFonts w:ascii="楷体" w:eastAsia="楷体" w:hAnsi="楷体" w:hint="eastAsia"/>
          <w:b w:val="0"/>
          <w:bCs w:val="0"/>
          <w:spacing w:val="-4"/>
          <w:sz w:val="32"/>
          <w:szCs w:val="32"/>
        </w:rPr>
        <w:br/>
        <w:t>实际支出资金：一定时期（本年度或项目期）内项目实际拨付的资金。</w:t>
      </w:r>
      <w:r w:rsidRPr="00106B6D">
        <w:rPr>
          <w:rStyle w:val="ad"/>
          <w:rFonts w:ascii="楷体" w:eastAsia="楷体" w:hAnsi="楷体" w:hint="eastAsia"/>
          <w:b w:val="0"/>
          <w:bCs w:val="0"/>
          <w:spacing w:val="-4"/>
          <w:sz w:val="32"/>
          <w:szCs w:val="32"/>
        </w:rPr>
        <w:br/>
        <w:t>过程 资金管理 资金使用</w:t>
      </w:r>
      <w:r w:rsidRPr="00106B6D">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106B6D">
        <w:rPr>
          <w:rStyle w:val="ad"/>
          <w:rFonts w:ascii="楷体" w:eastAsia="楷体" w:hAnsi="楷体" w:hint="eastAsia"/>
          <w:b w:val="0"/>
          <w:bCs w:val="0"/>
          <w:spacing w:val="-4"/>
          <w:sz w:val="32"/>
          <w:szCs w:val="32"/>
        </w:rPr>
        <w:br/>
        <w:t>①是否符合国家财经法规和财务管理制度以及有关专项资金管</w:t>
      </w:r>
      <w:r w:rsidRPr="00106B6D">
        <w:rPr>
          <w:rStyle w:val="ad"/>
          <w:rFonts w:ascii="楷体" w:eastAsia="楷体" w:hAnsi="楷体" w:hint="eastAsia"/>
          <w:b w:val="0"/>
          <w:bCs w:val="0"/>
          <w:spacing w:val="-4"/>
          <w:sz w:val="32"/>
          <w:szCs w:val="32"/>
        </w:rPr>
        <w:lastRenderedPageBreak/>
        <w:t>理办法的规定；</w:t>
      </w:r>
      <w:r w:rsidRPr="00106B6D">
        <w:rPr>
          <w:rStyle w:val="ad"/>
          <w:rFonts w:ascii="楷体" w:eastAsia="楷体" w:hAnsi="楷体" w:hint="eastAsia"/>
          <w:b w:val="0"/>
          <w:bCs w:val="0"/>
          <w:spacing w:val="-4"/>
          <w:sz w:val="32"/>
          <w:szCs w:val="32"/>
        </w:rPr>
        <w:br/>
        <w:t>②资金的拨付是否有完整的审批程序和手续；</w:t>
      </w:r>
      <w:r w:rsidRPr="00106B6D">
        <w:rPr>
          <w:rStyle w:val="ad"/>
          <w:rFonts w:ascii="楷体" w:eastAsia="楷体" w:hAnsi="楷体" w:hint="eastAsia"/>
          <w:b w:val="0"/>
          <w:bCs w:val="0"/>
          <w:spacing w:val="-4"/>
          <w:sz w:val="32"/>
          <w:szCs w:val="32"/>
        </w:rPr>
        <w:br/>
        <w:t>③是否符合项目预算批复或合同规定的用途；</w:t>
      </w:r>
      <w:r w:rsidRPr="00106B6D">
        <w:rPr>
          <w:rStyle w:val="ad"/>
          <w:rFonts w:ascii="楷体" w:eastAsia="楷体" w:hAnsi="楷体" w:hint="eastAsia"/>
          <w:b w:val="0"/>
          <w:bCs w:val="0"/>
          <w:spacing w:val="-4"/>
          <w:sz w:val="32"/>
          <w:szCs w:val="32"/>
        </w:rPr>
        <w:br/>
        <w:t>④是否存在截留、挤占、挪用、虚列支出等情况。</w:t>
      </w:r>
      <w:r w:rsidRPr="00106B6D">
        <w:rPr>
          <w:rStyle w:val="ad"/>
          <w:rFonts w:ascii="楷体" w:eastAsia="楷体" w:hAnsi="楷体" w:hint="eastAsia"/>
          <w:b w:val="0"/>
          <w:bCs w:val="0"/>
          <w:spacing w:val="-4"/>
          <w:sz w:val="32"/>
          <w:szCs w:val="32"/>
        </w:rPr>
        <w:br/>
        <w:t>组织实施 管理制度</w:t>
      </w:r>
      <w:r w:rsidRPr="00106B6D">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106B6D">
        <w:rPr>
          <w:rStyle w:val="ad"/>
          <w:rFonts w:ascii="楷体" w:eastAsia="楷体" w:hAnsi="楷体" w:hint="eastAsia"/>
          <w:b w:val="0"/>
          <w:bCs w:val="0"/>
          <w:spacing w:val="-4"/>
          <w:sz w:val="32"/>
          <w:szCs w:val="32"/>
        </w:rPr>
        <w:br/>
        <w:t>①是否已制定或具有相应的财务和业务管理制度；</w:t>
      </w:r>
      <w:r w:rsidRPr="00106B6D">
        <w:rPr>
          <w:rStyle w:val="ad"/>
          <w:rFonts w:ascii="楷体" w:eastAsia="楷体" w:hAnsi="楷体" w:hint="eastAsia"/>
          <w:b w:val="0"/>
          <w:bCs w:val="0"/>
          <w:spacing w:val="-4"/>
          <w:sz w:val="32"/>
          <w:szCs w:val="32"/>
        </w:rPr>
        <w:br/>
        <w:t>②财务和业务管理制度是否合法、合规、完整。</w:t>
      </w:r>
      <w:r w:rsidRPr="00106B6D">
        <w:rPr>
          <w:rStyle w:val="ad"/>
          <w:rFonts w:ascii="楷体" w:eastAsia="楷体" w:hAnsi="楷体" w:hint="eastAsia"/>
          <w:b w:val="0"/>
          <w:bCs w:val="0"/>
          <w:spacing w:val="-4"/>
          <w:sz w:val="32"/>
          <w:szCs w:val="32"/>
        </w:rPr>
        <w:br/>
        <w:t>制度执行</w:t>
      </w:r>
      <w:r w:rsidRPr="00106B6D">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106B6D">
        <w:rPr>
          <w:rStyle w:val="ad"/>
          <w:rFonts w:ascii="楷体" w:eastAsia="楷体" w:hAnsi="楷体" w:hint="eastAsia"/>
          <w:b w:val="0"/>
          <w:bCs w:val="0"/>
          <w:spacing w:val="-4"/>
          <w:sz w:val="32"/>
          <w:szCs w:val="32"/>
        </w:rPr>
        <w:br/>
        <w:t>①是否遵守相关法律法规和相关管理规定；</w:t>
      </w:r>
      <w:r w:rsidRPr="00106B6D">
        <w:rPr>
          <w:rStyle w:val="ad"/>
          <w:rFonts w:ascii="楷体" w:eastAsia="楷体" w:hAnsi="楷体" w:hint="eastAsia"/>
          <w:b w:val="0"/>
          <w:bCs w:val="0"/>
          <w:spacing w:val="-4"/>
          <w:sz w:val="32"/>
          <w:szCs w:val="32"/>
        </w:rPr>
        <w:br/>
        <w:t>②项目调整及支出调整手续是否完备；</w:t>
      </w:r>
      <w:r w:rsidRPr="00106B6D">
        <w:rPr>
          <w:rStyle w:val="ad"/>
          <w:rFonts w:ascii="楷体" w:eastAsia="楷体" w:hAnsi="楷体" w:hint="eastAsia"/>
          <w:b w:val="0"/>
          <w:bCs w:val="0"/>
          <w:spacing w:val="-4"/>
          <w:sz w:val="32"/>
          <w:szCs w:val="32"/>
        </w:rPr>
        <w:br/>
        <w:t>③项目合同书、验收报告、技术鉴定等资料是否齐全并及时归档；</w:t>
      </w:r>
      <w:r w:rsidRPr="00106B6D">
        <w:rPr>
          <w:rStyle w:val="ad"/>
          <w:rFonts w:ascii="楷体" w:eastAsia="楷体" w:hAnsi="楷体" w:hint="eastAsia"/>
          <w:b w:val="0"/>
          <w:bCs w:val="0"/>
          <w:spacing w:val="-4"/>
          <w:sz w:val="32"/>
          <w:szCs w:val="32"/>
        </w:rPr>
        <w:br/>
        <w:t>④项目实施的人员条件、场地设备、信息支撑等是否落实到位。</w:t>
      </w:r>
      <w:r w:rsidRPr="00106B6D">
        <w:rPr>
          <w:rStyle w:val="ad"/>
          <w:rFonts w:ascii="楷体" w:eastAsia="楷体" w:hAnsi="楷体" w:hint="eastAsia"/>
          <w:b w:val="0"/>
          <w:bCs w:val="0"/>
          <w:spacing w:val="-4"/>
          <w:sz w:val="32"/>
          <w:szCs w:val="32"/>
        </w:rPr>
        <w:br/>
        <w:t>产出 产出数量 招商引资到位资金 项目实施的实际产出数与计划产出数的比率，用以反映和考核项目产出数量目标的实现程度。 招商引资到位资金305.34亿元，完成比率101%</w:t>
      </w:r>
      <w:r w:rsidRPr="00106B6D">
        <w:rPr>
          <w:rStyle w:val="ad"/>
          <w:rFonts w:ascii="楷体" w:eastAsia="楷体" w:hAnsi="楷体" w:hint="eastAsia"/>
          <w:b w:val="0"/>
          <w:bCs w:val="0"/>
          <w:spacing w:val="-4"/>
          <w:sz w:val="32"/>
          <w:szCs w:val="32"/>
        </w:rPr>
        <w:br/>
        <w:t>招商引资推介会实际完成2场，完成比率100%</w:t>
      </w:r>
      <w:r w:rsidRPr="00106B6D">
        <w:rPr>
          <w:rStyle w:val="ad"/>
          <w:rFonts w:ascii="楷体" w:eastAsia="楷体" w:hAnsi="楷体" w:hint="eastAsia"/>
          <w:b w:val="0"/>
          <w:bCs w:val="0"/>
          <w:spacing w:val="-4"/>
          <w:sz w:val="32"/>
          <w:szCs w:val="32"/>
        </w:rPr>
        <w:br/>
        <w:t>招商引资推介会</w:t>
      </w:r>
      <w:r w:rsidRPr="00106B6D">
        <w:rPr>
          <w:rStyle w:val="ad"/>
          <w:rFonts w:ascii="楷体" w:eastAsia="楷体" w:hAnsi="楷体" w:hint="eastAsia"/>
          <w:b w:val="0"/>
          <w:bCs w:val="0"/>
          <w:spacing w:val="-4"/>
          <w:sz w:val="32"/>
          <w:szCs w:val="32"/>
        </w:rPr>
        <w:br/>
        <w:t>产出 产出质量 资金使用合规率 项目完成的质量达标产出数与实际产出数的比率，用以反映和考核项目产出质量目标的实现程度。 招商引资专项经费全部用于列支招商引资相关的活动，比</w:t>
      </w:r>
      <w:r w:rsidRPr="00106B6D">
        <w:rPr>
          <w:rStyle w:val="ad"/>
          <w:rFonts w:ascii="楷体" w:eastAsia="楷体" w:hAnsi="楷体" w:hint="eastAsia"/>
          <w:b w:val="0"/>
          <w:bCs w:val="0"/>
          <w:spacing w:val="-4"/>
          <w:sz w:val="32"/>
          <w:szCs w:val="32"/>
        </w:rPr>
        <w:lastRenderedPageBreak/>
        <w:t>如：外出招商差旅费、招商宣传手册、招商指南、招商宣传片等费用，没有超范围列支。</w:t>
      </w:r>
      <w:r w:rsidRPr="00106B6D">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招商引资工作如期开展，并与2023年11月前完成既定目标</w:t>
      </w:r>
      <w:r w:rsidRPr="00106B6D">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项目预算控制率=[预算支出数/预算数]×100%。</w:t>
      </w:r>
      <w:r w:rsidRPr="00106B6D">
        <w:rPr>
          <w:rStyle w:val="ad"/>
          <w:rFonts w:ascii="楷体" w:eastAsia="楷体" w:hAnsi="楷体" w:hint="eastAsia"/>
          <w:b w:val="0"/>
          <w:bCs w:val="0"/>
          <w:spacing w:val="-4"/>
          <w:sz w:val="32"/>
          <w:szCs w:val="32"/>
        </w:rPr>
        <w:br/>
        <w:t>效益 经济效益指标 营造良好营商环境，招引大项目、好项目，推动经济发展 项目实施所产生的效益。 为当地居民提供了更多的就业机会，提高了居民的收入水平，同时也吸引了更多的企业和投资者关注米东区的发展潜力，为未来的经济增长奠定了坚实的基础。</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br/>
        <w:t>社会效益指标 加快推进全区重大招商项目落地，补齐产业缺环，延伸产业链条，扩大社会效益  通过引进高端产业和品牌企业，可以提升城市的基础设施建设和公共服务水平，增强城市的吸引力，提高居民的生活质量，改善了产业结构，也为当地居民提供了更多的就业机会，提升了城市品质，对社会经济发展产生了积极的推动作用。</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br/>
        <w:t>满意度指标完成情况分析 满意度指标 企业满意度 社会公众或服务对象对项目实施效果的满意程度。 企业对我单位招商引资项目帮办服务、项目落地服务、政策解读等服务的满意度较高。</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br/>
        <w:t>3. 评价方法</w:t>
      </w:r>
      <w:r w:rsidRPr="00106B6D">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106B6D">
        <w:rPr>
          <w:rStyle w:val="ad"/>
          <w:rFonts w:ascii="楷体" w:eastAsia="楷体" w:hAnsi="楷体" w:hint="eastAsia"/>
          <w:b w:val="0"/>
          <w:bCs w:val="0"/>
          <w:spacing w:val="-4"/>
          <w:sz w:val="32"/>
          <w:szCs w:val="32"/>
        </w:rPr>
        <w:br/>
        <w:t>（1）成本效益分析法。是指将投入与产出、效益进行关联性分析的方法。</w:t>
      </w:r>
      <w:r w:rsidRPr="00106B6D">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106B6D">
        <w:rPr>
          <w:rStyle w:val="ad"/>
          <w:rFonts w:ascii="楷体" w:eastAsia="楷体" w:hAnsi="楷体" w:hint="eastAsia"/>
          <w:b w:val="0"/>
          <w:bCs w:val="0"/>
          <w:spacing w:val="-4"/>
          <w:sz w:val="32"/>
          <w:szCs w:val="32"/>
        </w:rPr>
        <w:br/>
        <w:t>（3）因素分析法。是指综合分析影响绩效目标实现、实施效果的内外部因素的方法。</w:t>
      </w:r>
      <w:r w:rsidRPr="00106B6D">
        <w:rPr>
          <w:rStyle w:val="ad"/>
          <w:rFonts w:ascii="楷体" w:eastAsia="楷体" w:hAnsi="楷体" w:hint="eastAsia"/>
          <w:b w:val="0"/>
          <w:bCs w:val="0"/>
          <w:spacing w:val="-4"/>
          <w:sz w:val="32"/>
          <w:szCs w:val="32"/>
        </w:rPr>
        <w:br/>
        <w:t>（4）最低成本法。是指在绩效目标确定的前提下，成本最小者为优的方法。</w:t>
      </w:r>
      <w:r w:rsidRPr="00106B6D">
        <w:rPr>
          <w:rStyle w:val="ad"/>
          <w:rFonts w:ascii="楷体" w:eastAsia="楷体" w:hAnsi="楷体" w:hint="eastAsia"/>
          <w:b w:val="0"/>
          <w:bCs w:val="0"/>
          <w:spacing w:val="-4"/>
          <w:sz w:val="32"/>
          <w:szCs w:val="32"/>
        </w:rPr>
        <w:br/>
        <w:t>（5）公众评判法。是指通过专家评估、公众问卷及抽样调查等方式进行评判的方法。</w:t>
      </w:r>
      <w:r w:rsidRPr="00106B6D">
        <w:rPr>
          <w:rStyle w:val="ad"/>
          <w:rFonts w:ascii="楷体" w:eastAsia="楷体" w:hAnsi="楷体" w:hint="eastAsia"/>
          <w:b w:val="0"/>
          <w:bCs w:val="0"/>
          <w:spacing w:val="-4"/>
          <w:sz w:val="32"/>
          <w:szCs w:val="32"/>
        </w:rPr>
        <w:br/>
        <w:t>（6）标杆管理法。是指以国内外同行业中较高的绩效水平为标杆进行评判的方法。</w:t>
      </w:r>
      <w:r w:rsidRPr="00106B6D">
        <w:rPr>
          <w:rStyle w:val="ad"/>
          <w:rFonts w:ascii="楷体" w:eastAsia="楷体" w:hAnsi="楷体" w:hint="eastAsia"/>
          <w:b w:val="0"/>
          <w:bCs w:val="0"/>
          <w:spacing w:val="-4"/>
          <w:sz w:val="32"/>
          <w:szCs w:val="32"/>
        </w:rPr>
        <w:br/>
        <w:t>（7）其他评价方法。</w:t>
      </w:r>
      <w:r w:rsidRPr="00106B6D">
        <w:rPr>
          <w:rStyle w:val="ad"/>
          <w:rFonts w:ascii="楷体" w:eastAsia="楷体" w:hAnsi="楷体" w:hint="eastAsia"/>
          <w:b w:val="0"/>
          <w:bCs w:val="0"/>
          <w:spacing w:val="-4"/>
          <w:sz w:val="32"/>
          <w:szCs w:val="32"/>
        </w:rPr>
        <w:br/>
        <w:t>根据本项目（招商引资专项经费）的特点，本次评价主要采用比较法和公众评判法对项目总预算和明细预算的内容、标准、计划是否经济合理进行深入分析，以考察实际产出和效益是否达到预期。</w:t>
      </w:r>
      <w:r w:rsidRPr="00106B6D">
        <w:rPr>
          <w:rStyle w:val="ad"/>
          <w:rFonts w:ascii="楷体" w:eastAsia="楷体" w:hAnsi="楷体" w:hint="eastAsia"/>
          <w:b w:val="0"/>
          <w:bCs w:val="0"/>
          <w:spacing w:val="-4"/>
          <w:sz w:val="32"/>
          <w:szCs w:val="32"/>
        </w:rPr>
        <w:br/>
        <w:t>4. 评价标准</w:t>
      </w:r>
      <w:r w:rsidRPr="00106B6D">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（1）计划标准。指以预先制定的目标、计划、预算、定额等作为评价标准。</w:t>
      </w:r>
      <w:r w:rsidRPr="00106B6D">
        <w:rPr>
          <w:rStyle w:val="ad"/>
          <w:rFonts w:ascii="楷体" w:eastAsia="楷体" w:hAnsi="楷体" w:hint="eastAsia"/>
          <w:b w:val="0"/>
          <w:bCs w:val="0"/>
          <w:spacing w:val="-4"/>
          <w:sz w:val="32"/>
          <w:szCs w:val="32"/>
        </w:rPr>
        <w:br/>
        <w:t>（2）行业标准。指参照国家公布的行业指标数据制定的评价标准。</w:t>
      </w:r>
      <w:r w:rsidRPr="00106B6D">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106B6D">
        <w:rPr>
          <w:rStyle w:val="ad"/>
          <w:rFonts w:ascii="楷体" w:eastAsia="楷体" w:hAnsi="楷体" w:hint="eastAsia"/>
          <w:b w:val="0"/>
          <w:bCs w:val="0"/>
          <w:spacing w:val="-4"/>
          <w:sz w:val="32"/>
          <w:szCs w:val="32"/>
        </w:rPr>
        <w:br/>
        <w:t>在上述评价标准的基础上，本次评价依据以下文件为重要指导和准绳：</w:t>
      </w:r>
      <w:r w:rsidRPr="00106B6D">
        <w:rPr>
          <w:rStyle w:val="ad"/>
          <w:rFonts w:ascii="楷体" w:eastAsia="楷体" w:hAnsi="楷体" w:hint="eastAsia"/>
          <w:b w:val="0"/>
          <w:bCs w:val="0"/>
          <w:spacing w:val="-4"/>
          <w:sz w:val="32"/>
          <w:szCs w:val="32"/>
        </w:rPr>
        <w:br/>
        <w:t>·《中共中央国务院关于全面实施预算绩效管理的意见》（中发〔2018〕34号）</w:t>
      </w:r>
      <w:r w:rsidRPr="00106B6D">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106B6D">
        <w:rPr>
          <w:rStyle w:val="ad"/>
          <w:rFonts w:ascii="楷体" w:eastAsia="楷体" w:hAnsi="楷体" w:hint="eastAsia"/>
          <w:b w:val="0"/>
          <w:bCs w:val="0"/>
          <w:spacing w:val="-4"/>
          <w:sz w:val="32"/>
          <w:szCs w:val="32"/>
        </w:rPr>
        <w:br/>
        <w:t>·《关于做好2019年部门预算项目支出绩效目标管理有关事宜的通知》（乌财预〔2018〕76号）</w:t>
      </w:r>
      <w:r w:rsidRPr="00106B6D">
        <w:rPr>
          <w:rStyle w:val="ad"/>
          <w:rFonts w:ascii="楷体" w:eastAsia="楷体" w:hAnsi="楷体" w:hint="eastAsia"/>
          <w:b w:val="0"/>
          <w:bCs w:val="0"/>
          <w:spacing w:val="-4"/>
          <w:sz w:val="32"/>
          <w:szCs w:val="32"/>
        </w:rPr>
        <w:br/>
        <w:t>·《项目支出绩效评价管理办法》（财预〔2020〕10号）</w:t>
      </w:r>
      <w:r w:rsidRPr="00106B6D">
        <w:rPr>
          <w:rStyle w:val="ad"/>
          <w:rFonts w:ascii="楷体" w:eastAsia="楷体" w:hAnsi="楷体" w:hint="eastAsia"/>
          <w:b w:val="0"/>
          <w:bCs w:val="0"/>
          <w:spacing w:val="-4"/>
          <w:sz w:val="32"/>
          <w:szCs w:val="32"/>
        </w:rPr>
        <w:br/>
        <w:t>·《米东区招商局收支管理制度》</w:t>
      </w:r>
      <w:r w:rsidRPr="00106B6D">
        <w:rPr>
          <w:rStyle w:val="ad"/>
          <w:rFonts w:ascii="楷体" w:eastAsia="楷体" w:hAnsi="楷体" w:hint="eastAsia"/>
          <w:b w:val="0"/>
          <w:bCs w:val="0"/>
          <w:spacing w:val="-4"/>
          <w:sz w:val="32"/>
          <w:szCs w:val="32"/>
        </w:rPr>
        <w:br/>
        <w:t>·《米东区招商局预算管理制度》</w:t>
      </w:r>
      <w:r w:rsidRPr="00106B6D">
        <w:rPr>
          <w:rStyle w:val="ad"/>
          <w:rFonts w:ascii="楷体" w:eastAsia="楷体" w:hAnsi="楷体" w:hint="eastAsia"/>
          <w:b w:val="0"/>
          <w:bCs w:val="0"/>
          <w:spacing w:val="-4"/>
          <w:sz w:val="32"/>
          <w:szCs w:val="32"/>
        </w:rPr>
        <w:br/>
        <w:t>·《米东区招商局制度汇编》</w:t>
      </w:r>
    </w:p>
    <w:p w14:paraId="2ED6ECBD" w14:textId="77777777" w:rsidR="000048AA" w:rsidRPr="00106B6D" w:rsidRDefault="00000000">
      <w:pPr>
        <w:spacing w:line="540" w:lineRule="exact"/>
        <w:ind w:firstLineChars="181" w:firstLine="567"/>
        <w:rPr>
          <w:rStyle w:val="ad"/>
          <w:rFonts w:ascii="楷体" w:eastAsia="楷体" w:hAnsi="楷体" w:hint="eastAsia"/>
          <w:spacing w:val="-4"/>
          <w:sz w:val="32"/>
          <w:szCs w:val="32"/>
        </w:rPr>
      </w:pPr>
      <w:r w:rsidRPr="00106B6D">
        <w:rPr>
          <w:rStyle w:val="ad"/>
          <w:rFonts w:ascii="楷体" w:eastAsia="楷体" w:hAnsi="楷体" w:hint="eastAsia"/>
          <w:spacing w:val="-4"/>
          <w:sz w:val="32"/>
          <w:szCs w:val="32"/>
        </w:rPr>
        <w:t>（三）绩效评价工作过程</w:t>
      </w:r>
    </w:p>
    <w:p w14:paraId="0644D6D2"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（三）绩效评价工作过程</w:t>
      </w:r>
      <w:r w:rsidRPr="00106B6D">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w:t>
      </w:r>
      <w:r w:rsidRPr="00106B6D">
        <w:rPr>
          <w:rStyle w:val="ad"/>
          <w:rFonts w:ascii="楷体" w:eastAsia="楷体" w:hAnsi="楷体" w:hint="eastAsia"/>
          <w:b w:val="0"/>
          <w:bCs w:val="0"/>
          <w:spacing w:val="-4"/>
          <w:sz w:val="32"/>
          <w:szCs w:val="32"/>
        </w:rPr>
        <w:lastRenderedPageBreak/>
        <w:t>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106B6D" w:rsidRDefault="00000000">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三、综合评价情况及评价结论</w:t>
      </w:r>
    </w:p>
    <w:p w14:paraId="702BFB2D"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（一）评价结论</w:t>
      </w:r>
      <w:r w:rsidRPr="00106B6D">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招商引资专项经费进行客观评价，最终评分结果为：总分为97.44分，绩效评级为“优”[本次绩效评价结果实施百分制和四级分类，其中90（含）-100分为优、80（含）-90分为良、70（含）-80分为中、70分以下为差。]。</w:t>
      </w:r>
      <w:r w:rsidRPr="00106B6D">
        <w:rPr>
          <w:rStyle w:val="ad"/>
          <w:rFonts w:ascii="楷体" w:eastAsia="楷体" w:hAnsi="楷体" w:hint="eastAsia"/>
          <w:b w:val="0"/>
          <w:bCs w:val="0"/>
          <w:spacing w:val="-4"/>
          <w:sz w:val="32"/>
          <w:szCs w:val="32"/>
        </w:rPr>
        <w:br/>
        <w:t>项目各部分权重和绩效分值如表3-1所示：</w:t>
      </w:r>
      <w:r w:rsidRPr="00106B6D">
        <w:rPr>
          <w:rStyle w:val="ad"/>
          <w:rFonts w:ascii="楷体" w:eastAsia="楷体" w:hAnsi="楷体" w:hint="eastAsia"/>
          <w:b w:val="0"/>
          <w:bCs w:val="0"/>
          <w:spacing w:val="-4"/>
          <w:sz w:val="32"/>
          <w:szCs w:val="32"/>
        </w:rPr>
        <w:br/>
        <w:t>表3-1 项目各部分权重和绩效分值</w:t>
      </w:r>
      <w:r w:rsidRPr="00106B6D">
        <w:rPr>
          <w:rStyle w:val="ad"/>
          <w:rFonts w:ascii="楷体" w:eastAsia="楷体" w:hAnsi="楷体" w:hint="eastAsia"/>
          <w:b w:val="0"/>
          <w:bCs w:val="0"/>
          <w:spacing w:val="-4"/>
          <w:sz w:val="32"/>
          <w:szCs w:val="32"/>
        </w:rPr>
        <w:br/>
        <w:t>一级指标 二级指标 三级指标 分值 得分 得分率</w:t>
      </w:r>
      <w:r w:rsidRPr="00106B6D">
        <w:rPr>
          <w:rStyle w:val="ad"/>
          <w:rFonts w:ascii="楷体" w:eastAsia="楷体" w:hAnsi="楷体" w:hint="eastAsia"/>
          <w:b w:val="0"/>
          <w:bCs w:val="0"/>
          <w:spacing w:val="-4"/>
          <w:sz w:val="32"/>
          <w:szCs w:val="32"/>
        </w:rPr>
        <w:br/>
        <w:t>决策 项目立项 立项依据充分性 4 4 100%</w:t>
      </w:r>
      <w:r w:rsidRPr="00106B6D">
        <w:rPr>
          <w:rStyle w:val="ad"/>
          <w:rFonts w:ascii="楷体" w:eastAsia="楷体" w:hAnsi="楷体" w:hint="eastAsia"/>
          <w:b w:val="0"/>
          <w:bCs w:val="0"/>
          <w:spacing w:val="-4"/>
          <w:sz w:val="32"/>
          <w:szCs w:val="32"/>
        </w:rPr>
        <w:br/>
        <w:t>立项程序规范性 4 4 100%</w:t>
      </w:r>
      <w:r w:rsidRPr="00106B6D">
        <w:rPr>
          <w:rStyle w:val="ad"/>
          <w:rFonts w:ascii="楷体" w:eastAsia="楷体" w:hAnsi="楷体" w:hint="eastAsia"/>
          <w:b w:val="0"/>
          <w:bCs w:val="0"/>
          <w:spacing w:val="-4"/>
          <w:sz w:val="32"/>
          <w:szCs w:val="32"/>
        </w:rPr>
        <w:br/>
        <w:t>绩效目标 绩效目标合理性 3 3 100%</w:t>
      </w:r>
      <w:r w:rsidRPr="00106B6D">
        <w:rPr>
          <w:rStyle w:val="ad"/>
          <w:rFonts w:ascii="楷体" w:eastAsia="楷体" w:hAnsi="楷体" w:hint="eastAsia"/>
          <w:b w:val="0"/>
          <w:bCs w:val="0"/>
          <w:spacing w:val="-4"/>
          <w:sz w:val="32"/>
          <w:szCs w:val="32"/>
        </w:rPr>
        <w:br/>
        <w:t>绩效指标明确性 3 3 100%</w:t>
      </w:r>
      <w:r w:rsidRPr="00106B6D">
        <w:rPr>
          <w:rStyle w:val="ad"/>
          <w:rFonts w:ascii="楷体" w:eastAsia="楷体" w:hAnsi="楷体" w:hint="eastAsia"/>
          <w:b w:val="0"/>
          <w:bCs w:val="0"/>
          <w:spacing w:val="-4"/>
          <w:sz w:val="32"/>
          <w:szCs w:val="32"/>
        </w:rPr>
        <w:br/>
        <w:t>资金投入 预算编制科学性 3 3 100%</w:t>
      </w:r>
      <w:r w:rsidRPr="00106B6D">
        <w:rPr>
          <w:rStyle w:val="ad"/>
          <w:rFonts w:ascii="楷体" w:eastAsia="楷体" w:hAnsi="楷体" w:hint="eastAsia"/>
          <w:b w:val="0"/>
          <w:bCs w:val="0"/>
          <w:spacing w:val="-4"/>
          <w:sz w:val="32"/>
          <w:szCs w:val="32"/>
        </w:rPr>
        <w:br/>
        <w:t>资金分配合理性 3 3 100%</w:t>
      </w:r>
      <w:r w:rsidRPr="00106B6D">
        <w:rPr>
          <w:rStyle w:val="ad"/>
          <w:rFonts w:ascii="楷体" w:eastAsia="楷体" w:hAnsi="楷体" w:hint="eastAsia"/>
          <w:b w:val="0"/>
          <w:bCs w:val="0"/>
          <w:spacing w:val="-4"/>
          <w:sz w:val="32"/>
          <w:szCs w:val="32"/>
        </w:rPr>
        <w:br/>
        <w:t>过程 资金管理 资金到位率 5 2.68 53.57%</w:t>
      </w:r>
      <w:r w:rsidRPr="00106B6D">
        <w:rPr>
          <w:rStyle w:val="ad"/>
          <w:rFonts w:ascii="楷体" w:eastAsia="楷体" w:hAnsi="楷体" w:hint="eastAsia"/>
          <w:b w:val="0"/>
          <w:bCs w:val="0"/>
          <w:spacing w:val="-4"/>
          <w:sz w:val="32"/>
          <w:szCs w:val="32"/>
        </w:rPr>
        <w:br/>
        <w:t>预算执行率 5 4.76 95.25%</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资金使用合规性 3 3 100%</w:t>
      </w:r>
      <w:r w:rsidRPr="00106B6D">
        <w:rPr>
          <w:rStyle w:val="ad"/>
          <w:rFonts w:ascii="楷体" w:eastAsia="楷体" w:hAnsi="楷体" w:hint="eastAsia"/>
          <w:b w:val="0"/>
          <w:bCs w:val="0"/>
          <w:spacing w:val="-4"/>
          <w:sz w:val="32"/>
          <w:szCs w:val="32"/>
        </w:rPr>
        <w:br/>
        <w:t>组织实施 管理制度健全性 3 3 100%</w:t>
      </w:r>
      <w:r w:rsidRPr="00106B6D">
        <w:rPr>
          <w:rStyle w:val="ad"/>
          <w:rFonts w:ascii="楷体" w:eastAsia="楷体" w:hAnsi="楷体" w:hint="eastAsia"/>
          <w:b w:val="0"/>
          <w:bCs w:val="0"/>
          <w:spacing w:val="-4"/>
          <w:sz w:val="32"/>
          <w:szCs w:val="32"/>
        </w:rPr>
        <w:br/>
        <w:t>制度执行有效性 4 4 100%</w:t>
      </w:r>
      <w:r w:rsidRPr="00106B6D">
        <w:rPr>
          <w:rStyle w:val="ad"/>
          <w:rFonts w:ascii="楷体" w:eastAsia="楷体" w:hAnsi="楷体" w:hint="eastAsia"/>
          <w:b w:val="0"/>
          <w:bCs w:val="0"/>
          <w:spacing w:val="-4"/>
          <w:sz w:val="32"/>
          <w:szCs w:val="32"/>
        </w:rPr>
        <w:br/>
        <w:t>产出 产出数量 招商引资到位资金 5 5 100%</w:t>
      </w:r>
      <w:r w:rsidRPr="00106B6D">
        <w:rPr>
          <w:rStyle w:val="ad"/>
          <w:rFonts w:ascii="楷体" w:eastAsia="楷体" w:hAnsi="楷体" w:hint="eastAsia"/>
          <w:b w:val="0"/>
          <w:bCs w:val="0"/>
          <w:spacing w:val="-4"/>
          <w:sz w:val="32"/>
          <w:szCs w:val="32"/>
        </w:rPr>
        <w:br/>
        <w:t>招商引资推介会 5 5 100%</w:t>
      </w:r>
      <w:r w:rsidRPr="00106B6D">
        <w:rPr>
          <w:rStyle w:val="ad"/>
          <w:rFonts w:ascii="楷体" w:eastAsia="楷体" w:hAnsi="楷体" w:hint="eastAsia"/>
          <w:b w:val="0"/>
          <w:bCs w:val="0"/>
          <w:spacing w:val="-4"/>
          <w:sz w:val="32"/>
          <w:szCs w:val="32"/>
        </w:rPr>
        <w:br/>
        <w:t>产出质量 资金使用合规率 10 10 100%</w:t>
      </w:r>
      <w:r w:rsidRPr="00106B6D">
        <w:rPr>
          <w:rStyle w:val="ad"/>
          <w:rFonts w:ascii="楷体" w:eastAsia="楷体" w:hAnsi="楷体" w:hint="eastAsia"/>
          <w:b w:val="0"/>
          <w:bCs w:val="0"/>
          <w:spacing w:val="-4"/>
          <w:sz w:val="32"/>
          <w:szCs w:val="32"/>
        </w:rPr>
        <w:br/>
        <w:t>产出时效 项目完成时间 10 10 100%</w:t>
      </w:r>
      <w:r w:rsidRPr="00106B6D">
        <w:rPr>
          <w:rStyle w:val="ad"/>
          <w:rFonts w:ascii="楷体" w:eastAsia="楷体" w:hAnsi="楷体" w:hint="eastAsia"/>
          <w:b w:val="0"/>
          <w:bCs w:val="0"/>
          <w:spacing w:val="-4"/>
          <w:sz w:val="32"/>
          <w:szCs w:val="32"/>
        </w:rPr>
        <w:br/>
        <w:t>产出成本 项目预算控制率 10 10 100%</w:t>
      </w:r>
      <w:r w:rsidRPr="00106B6D">
        <w:rPr>
          <w:rStyle w:val="ad"/>
          <w:rFonts w:ascii="楷体" w:eastAsia="楷体" w:hAnsi="楷体" w:hint="eastAsia"/>
          <w:b w:val="0"/>
          <w:bCs w:val="0"/>
          <w:spacing w:val="-4"/>
          <w:sz w:val="32"/>
          <w:szCs w:val="32"/>
        </w:rPr>
        <w:br/>
        <w:t>效益 经济效益指标 招引大项目、好项目，推动经济发展 10 10 100%</w:t>
      </w:r>
      <w:r w:rsidRPr="00106B6D">
        <w:rPr>
          <w:rStyle w:val="ad"/>
          <w:rFonts w:ascii="楷体" w:eastAsia="楷体" w:hAnsi="楷体" w:hint="eastAsia"/>
          <w:b w:val="0"/>
          <w:bCs w:val="0"/>
          <w:spacing w:val="-4"/>
          <w:sz w:val="32"/>
          <w:szCs w:val="32"/>
        </w:rPr>
        <w:br/>
        <w:t>社会效益指标 补齐产业缺环，扩大社会效益 5 5 100%</w:t>
      </w:r>
      <w:r w:rsidRPr="00106B6D">
        <w:rPr>
          <w:rStyle w:val="ad"/>
          <w:rFonts w:ascii="楷体" w:eastAsia="楷体" w:hAnsi="楷体" w:hint="eastAsia"/>
          <w:b w:val="0"/>
          <w:bCs w:val="0"/>
          <w:spacing w:val="-4"/>
          <w:sz w:val="32"/>
          <w:szCs w:val="32"/>
        </w:rPr>
        <w:br/>
        <w:t>满意度指标完成情况分析 满意度指标 群众满意度 5 5 100%</w:t>
      </w:r>
      <w:r w:rsidRPr="00106B6D">
        <w:rPr>
          <w:rStyle w:val="ad"/>
          <w:rFonts w:ascii="楷体" w:eastAsia="楷体" w:hAnsi="楷体" w:hint="eastAsia"/>
          <w:b w:val="0"/>
          <w:bCs w:val="0"/>
          <w:spacing w:val="-4"/>
          <w:sz w:val="32"/>
          <w:szCs w:val="32"/>
        </w:rPr>
        <w:br/>
        <w:t>（二）主要绩效</w:t>
      </w:r>
      <w:r w:rsidRPr="00106B6D">
        <w:rPr>
          <w:rStyle w:val="ad"/>
          <w:rFonts w:ascii="楷体" w:eastAsia="楷体" w:hAnsi="楷体" w:hint="eastAsia"/>
          <w:b w:val="0"/>
          <w:bCs w:val="0"/>
          <w:spacing w:val="-4"/>
          <w:sz w:val="32"/>
          <w:szCs w:val="32"/>
        </w:rPr>
        <w:br/>
        <w:t>该项目资金区财政及时拨付，单位在此次评价期间内，1-11月，招商引资项目181个累计区外到位资金305.33亿元，同比增长2.75%，完成年度304亿元目标任务的100.43%。组织疆内外大型推介及座谈会5场，宣传推介360余家企业。签约项目35个，签约金额1372.01亿元，涉及新能源、总部经济、酒店、工业地产等领域。其中，百亿元以上项目6个，签约金额879.4亿元。落地项目21个，计划总投资480.53亿元，落地率60%。</w:t>
      </w:r>
    </w:p>
    <w:p w14:paraId="624FD63F" w14:textId="77777777" w:rsidR="000048AA" w:rsidRPr="00106B6D" w:rsidRDefault="00000000">
      <w:pPr>
        <w:spacing w:line="540" w:lineRule="exact"/>
        <w:ind w:firstLine="640"/>
        <w:rPr>
          <w:rStyle w:val="ad"/>
          <w:rFonts w:ascii="黑体" w:eastAsia="黑体" w:hAnsi="黑体" w:hint="eastAsia"/>
        </w:rPr>
      </w:pPr>
      <w:r w:rsidRPr="00106B6D">
        <w:rPr>
          <w:rStyle w:val="ad"/>
          <w:rFonts w:ascii="黑体" w:eastAsia="黑体" w:hAnsi="黑体" w:hint="eastAsia"/>
          <w:b w:val="0"/>
          <w:spacing w:val="-4"/>
          <w:sz w:val="32"/>
          <w:szCs w:val="32"/>
        </w:rPr>
        <w:t>四、绩效评价指标分析</w:t>
      </w:r>
      <w:r w:rsidRPr="00106B6D">
        <w:rPr>
          <w:rStyle w:val="ad"/>
          <w:rFonts w:ascii="黑体" w:eastAsia="黑体" w:hAnsi="黑体" w:hint="eastAsia"/>
        </w:rPr>
        <w:t xml:space="preserve"> </w:t>
      </w:r>
    </w:p>
    <w:p w14:paraId="2BDB141E" w14:textId="77777777" w:rsidR="000048AA" w:rsidRPr="00106B6D" w:rsidRDefault="00000000">
      <w:pPr>
        <w:spacing w:line="540" w:lineRule="exact"/>
        <w:ind w:firstLineChars="181" w:firstLine="567"/>
        <w:rPr>
          <w:rFonts w:ascii="楷体" w:eastAsia="楷体" w:hAnsi="楷体" w:hint="eastAsia"/>
          <w:b/>
          <w:spacing w:val="-4"/>
          <w:sz w:val="32"/>
          <w:szCs w:val="32"/>
        </w:rPr>
      </w:pPr>
      <w:r w:rsidRPr="00106B6D">
        <w:rPr>
          <w:rFonts w:ascii="楷体" w:eastAsia="楷体" w:hAnsi="楷体" w:hint="eastAsia"/>
          <w:b/>
          <w:spacing w:val="-4"/>
          <w:sz w:val="32"/>
          <w:szCs w:val="32"/>
        </w:rPr>
        <w:t>（一）</w:t>
      </w:r>
      <w:r w:rsidRPr="00106B6D">
        <w:rPr>
          <w:rStyle w:val="ad"/>
          <w:rFonts w:ascii="楷体" w:eastAsia="楷体" w:hAnsi="楷体" w:hint="eastAsia"/>
          <w:spacing w:val="-4"/>
          <w:sz w:val="32"/>
          <w:szCs w:val="32"/>
        </w:rPr>
        <w:t>项目决策情况</w:t>
      </w:r>
    </w:p>
    <w:p w14:paraId="0E9F8597" w14:textId="77777777" w:rsidR="000048AA" w:rsidRPr="00106B6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（一）项目决策情况</w:t>
      </w:r>
      <w:r w:rsidRPr="00106B6D">
        <w:rPr>
          <w:rStyle w:val="ad"/>
          <w:rFonts w:ascii="楷体" w:eastAsia="楷体" w:hAnsi="楷体" w:hint="eastAsia"/>
          <w:b w:val="0"/>
          <w:bCs w:val="0"/>
          <w:spacing w:val="-4"/>
          <w:sz w:val="32"/>
          <w:szCs w:val="32"/>
        </w:rPr>
        <w:br/>
        <w:t>项目决策指标由3个二级指标和6个三级指标构成，权重为20分，实际得分20分。</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1. 项目立项</w:t>
      </w:r>
      <w:r w:rsidRPr="00106B6D">
        <w:rPr>
          <w:rStyle w:val="ad"/>
          <w:rFonts w:ascii="楷体" w:eastAsia="楷体" w:hAnsi="楷体" w:hint="eastAsia"/>
          <w:b w:val="0"/>
          <w:bCs w:val="0"/>
          <w:spacing w:val="-4"/>
          <w:sz w:val="32"/>
          <w:szCs w:val="32"/>
        </w:rPr>
        <w:br/>
        <w:t>立项依据充分性：项目立项符合二十大精神要求，符合米东区经济发展规划。同时，项目与部门职责范围相符，属于我部门三定方案中职能范围内事项。此外，本项目属于公共财政支持范围，符合地方事权支出责任划分原则，没有与相关部门同类项目或部门内部相关项目重复。因此，立项依据充分，得4分。</w:t>
      </w:r>
      <w:r w:rsidRPr="00106B6D">
        <w:rPr>
          <w:rStyle w:val="ad"/>
          <w:rFonts w:ascii="楷体" w:eastAsia="楷体" w:hAnsi="楷体" w:hint="eastAsia"/>
          <w:b w:val="0"/>
          <w:bCs w:val="0"/>
          <w:spacing w:val="-4"/>
          <w:sz w:val="32"/>
          <w:szCs w:val="32"/>
        </w:rPr>
        <w:br/>
        <w:t>立项程序规范性：项目按照规定的程序申请设立，按照区财政特定目标类项目预算要求准备材料，招商引资项目经费报告符合相关要求，故立项程序规范，得4分。</w:t>
      </w:r>
      <w:r w:rsidRPr="00106B6D">
        <w:rPr>
          <w:rStyle w:val="ad"/>
          <w:rFonts w:ascii="楷体" w:eastAsia="楷体" w:hAnsi="楷体" w:hint="eastAsia"/>
          <w:b w:val="0"/>
          <w:bCs w:val="0"/>
          <w:spacing w:val="-4"/>
          <w:sz w:val="32"/>
          <w:szCs w:val="32"/>
        </w:rPr>
        <w:br/>
        <w:t>综上，该指标满分8分，得分8分。</w:t>
      </w:r>
      <w:r w:rsidRPr="00106B6D">
        <w:rPr>
          <w:rStyle w:val="ad"/>
          <w:rFonts w:ascii="楷体" w:eastAsia="楷体" w:hAnsi="楷体" w:hint="eastAsia"/>
          <w:b w:val="0"/>
          <w:bCs w:val="0"/>
          <w:spacing w:val="-4"/>
          <w:sz w:val="32"/>
          <w:szCs w:val="32"/>
        </w:rPr>
        <w:br/>
        <w:t>2. 绩效目标</w:t>
      </w:r>
      <w:r w:rsidRPr="00106B6D">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绩效目标合理性：本项目的绩效目标按照产出、效益和满意度构建绩效评价指标，且具有明确性、可衡量性、相关性和时限性等特点，能较为全面地反映本项目的产出和效益，故绩效目标合理性指标得分3分。</w:t>
      </w:r>
      <w:r w:rsidRPr="00106B6D">
        <w:rPr>
          <w:rStyle w:val="ad"/>
          <w:rFonts w:ascii="楷体" w:eastAsia="楷体" w:hAnsi="楷体" w:hint="eastAsia"/>
          <w:b w:val="0"/>
          <w:bCs w:val="0"/>
          <w:spacing w:val="-4"/>
          <w:sz w:val="32"/>
          <w:szCs w:val="32"/>
        </w:rPr>
        <w:br/>
        <w:t>绩效目标明确性：其中，目标已细化为具体的绩效指标招商引资到位资金、招商引资推介会、资金使用合规率、项目完成时间、企业满意度等指标，并具有确切的评价标准，且指标设定均与目标相关。各项指标均能在现实条件下收集到相关数据进行佐证（招商产业一科、招商产业二科、招商产业三科通过对自有资料的汇总得到），并与当年项目年度计划相对应，故绩效目标明确性指标得分3分。</w:t>
      </w:r>
      <w:r w:rsidRPr="00106B6D">
        <w:rPr>
          <w:rStyle w:val="ad"/>
          <w:rFonts w:ascii="楷体" w:eastAsia="楷体" w:hAnsi="楷体" w:hint="eastAsia"/>
          <w:b w:val="0"/>
          <w:bCs w:val="0"/>
          <w:spacing w:val="-4"/>
          <w:sz w:val="32"/>
          <w:szCs w:val="32"/>
        </w:rPr>
        <w:br/>
        <w:t>综上，该指标满分6分，得分6分。</w:t>
      </w:r>
      <w:r w:rsidRPr="00106B6D">
        <w:rPr>
          <w:rStyle w:val="ad"/>
          <w:rFonts w:ascii="楷体" w:eastAsia="楷体" w:hAnsi="楷体" w:hint="eastAsia"/>
          <w:b w:val="0"/>
          <w:bCs w:val="0"/>
          <w:spacing w:val="-4"/>
          <w:sz w:val="32"/>
          <w:szCs w:val="32"/>
        </w:rPr>
        <w:br/>
        <w:t>3. 资金投入</w:t>
      </w:r>
      <w:r w:rsidRPr="00106B6D">
        <w:rPr>
          <w:rStyle w:val="ad"/>
          <w:rFonts w:ascii="楷体" w:eastAsia="楷体" w:hAnsi="楷体" w:hint="eastAsia"/>
          <w:b w:val="0"/>
          <w:bCs w:val="0"/>
          <w:spacing w:val="-4"/>
          <w:sz w:val="32"/>
          <w:szCs w:val="32"/>
        </w:rPr>
        <w:br/>
        <w:t>预算编制科学性：在编制预算之前，首先要明确项目的目标和范</w:t>
      </w:r>
      <w:r w:rsidRPr="00106B6D">
        <w:rPr>
          <w:rStyle w:val="ad"/>
          <w:rFonts w:ascii="楷体" w:eastAsia="楷体" w:hAnsi="楷体" w:hint="eastAsia"/>
          <w:b w:val="0"/>
          <w:bCs w:val="0"/>
          <w:spacing w:val="-4"/>
          <w:sz w:val="32"/>
          <w:szCs w:val="32"/>
        </w:rPr>
        <w:lastRenderedPageBreak/>
        <w:t>围，包括项目的预期成果、投资规模、实施周期等。这有助于为预算编制提供明确的方向和依据。收集充分的项目信息：收集与项目相关的充分信息，包括项目所需的人力资源、物资资源、资金资源等方面的信息。这些信息有助于更准确地估算项目成本，形成招商引资专项经费报告，为预算编制提供数据支持。</w:t>
      </w:r>
      <w:r w:rsidRPr="00106B6D">
        <w:rPr>
          <w:rStyle w:val="ad"/>
          <w:rFonts w:ascii="楷体" w:eastAsia="楷体" w:hAnsi="楷体" w:hint="eastAsia"/>
          <w:b w:val="0"/>
          <w:bCs w:val="0"/>
          <w:spacing w:val="-4"/>
          <w:sz w:val="32"/>
          <w:szCs w:val="32"/>
        </w:rPr>
        <w:br/>
        <w:t>故预算编制科学性指标得分3分。</w:t>
      </w:r>
      <w:r w:rsidRPr="00106B6D">
        <w:rPr>
          <w:rStyle w:val="ad"/>
          <w:rFonts w:ascii="楷体" w:eastAsia="楷体" w:hAnsi="楷体" w:hint="eastAsia"/>
          <w:b w:val="0"/>
          <w:bCs w:val="0"/>
          <w:spacing w:val="-4"/>
          <w:sz w:val="32"/>
          <w:szCs w:val="32"/>
        </w:rPr>
        <w:br/>
        <w:t>资金分配合理性：资金分配应遵循公平、公正、公开的原则，在资金分配过程中，推介会等会议费用、宣传资料费用，接待费等都参照以前年度列支金额和当年度招商引资到位资金任务综合考虑，各项费用都能获得公平的机会。评估标准公开透明，避免任何形式的偏袒或歧视。</w:t>
      </w:r>
      <w:r w:rsidRPr="00106B6D">
        <w:rPr>
          <w:rStyle w:val="ad"/>
          <w:rFonts w:ascii="楷体" w:eastAsia="楷体" w:hAnsi="楷体" w:hint="eastAsia"/>
          <w:b w:val="0"/>
          <w:bCs w:val="0"/>
          <w:spacing w:val="-4"/>
          <w:sz w:val="32"/>
          <w:szCs w:val="32"/>
        </w:rPr>
        <w:br/>
        <w:t>故资金分配合理性指标得分3分。</w:t>
      </w:r>
      <w:r w:rsidRPr="00106B6D">
        <w:rPr>
          <w:rStyle w:val="ad"/>
          <w:rFonts w:ascii="楷体" w:eastAsia="楷体" w:hAnsi="楷体" w:hint="eastAsia"/>
          <w:b w:val="0"/>
          <w:bCs w:val="0"/>
          <w:spacing w:val="-4"/>
          <w:sz w:val="32"/>
          <w:szCs w:val="32"/>
        </w:rPr>
        <w:br/>
        <w:t>综上，该指标满分6分，得分6分。</w:t>
      </w:r>
      <w:r w:rsidRPr="00106B6D">
        <w:rPr>
          <w:rStyle w:val="ad"/>
          <w:rFonts w:ascii="楷体" w:eastAsia="楷体" w:hAnsi="楷体" w:hint="eastAsia"/>
          <w:b w:val="0"/>
          <w:bCs w:val="0"/>
          <w:spacing w:val="-4"/>
          <w:sz w:val="32"/>
          <w:szCs w:val="32"/>
        </w:rPr>
        <w:tab/>
      </w:r>
    </w:p>
    <w:p w14:paraId="18D4984C" w14:textId="77777777" w:rsidR="000048AA" w:rsidRPr="00106B6D" w:rsidRDefault="00000000">
      <w:pPr>
        <w:spacing w:line="540" w:lineRule="exact"/>
        <w:ind w:firstLineChars="181" w:firstLine="567"/>
        <w:rPr>
          <w:rStyle w:val="ad"/>
          <w:rFonts w:ascii="楷体" w:eastAsia="楷体" w:hAnsi="楷体" w:hint="eastAsia"/>
          <w:spacing w:val="-4"/>
          <w:sz w:val="32"/>
          <w:szCs w:val="32"/>
        </w:rPr>
      </w:pPr>
      <w:r w:rsidRPr="00106B6D">
        <w:rPr>
          <w:rFonts w:ascii="楷体" w:eastAsia="楷体" w:hAnsi="楷体" w:hint="eastAsia"/>
          <w:b/>
          <w:spacing w:val="-4"/>
          <w:sz w:val="32"/>
          <w:szCs w:val="32"/>
        </w:rPr>
        <w:t>（二）</w:t>
      </w:r>
      <w:r w:rsidRPr="00106B6D">
        <w:rPr>
          <w:rStyle w:val="ad"/>
          <w:rFonts w:ascii="楷体" w:eastAsia="楷体" w:hAnsi="楷体" w:hint="eastAsia"/>
          <w:spacing w:val="-4"/>
          <w:sz w:val="32"/>
          <w:szCs w:val="32"/>
        </w:rPr>
        <w:t>项目过程情况</w:t>
      </w:r>
    </w:p>
    <w:p w14:paraId="2EE3560E"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（二）项目过程情况</w:t>
      </w:r>
      <w:r w:rsidRPr="00106B6D">
        <w:rPr>
          <w:rStyle w:val="ad"/>
          <w:rFonts w:ascii="楷体" w:eastAsia="楷体" w:hAnsi="楷体" w:hint="eastAsia"/>
          <w:b w:val="0"/>
          <w:bCs w:val="0"/>
          <w:spacing w:val="-4"/>
          <w:sz w:val="32"/>
          <w:szCs w:val="32"/>
        </w:rPr>
        <w:br/>
        <w:t>项目过程指标由2个二级指标和5个三级指标构成，权重为20分，实际得分17.44分。</w:t>
      </w:r>
      <w:r w:rsidRPr="00106B6D">
        <w:rPr>
          <w:rStyle w:val="ad"/>
          <w:rFonts w:ascii="楷体" w:eastAsia="楷体" w:hAnsi="楷体" w:hint="eastAsia"/>
          <w:b w:val="0"/>
          <w:bCs w:val="0"/>
          <w:spacing w:val="-4"/>
          <w:sz w:val="32"/>
          <w:szCs w:val="32"/>
        </w:rPr>
        <w:br/>
        <w:t>1. 资金管理</w:t>
      </w:r>
      <w:r w:rsidRPr="00106B6D">
        <w:rPr>
          <w:rStyle w:val="ad"/>
          <w:rFonts w:ascii="楷体" w:eastAsia="楷体" w:hAnsi="楷体" w:hint="eastAsia"/>
          <w:b w:val="0"/>
          <w:bCs w:val="0"/>
          <w:spacing w:val="-4"/>
          <w:sz w:val="32"/>
          <w:szCs w:val="32"/>
        </w:rPr>
        <w:br/>
        <w:t>资金到位率：2023年招商引资专项经费248万元，实际财政拨款招商引资到位资金132.85万元，无上年结转资金，资金到位率53.57%。故资金到位率指标得分2.68分。</w:t>
      </w:r>
      <w:r w:rsidRPr="00106B6D">
        <w:rPr>
          <w:rStyle w:val="ad"/>
          <w:rFonts w:ascii="楷体" w:eastAsia="楷体" w:hAnsi="楷体" w:hint="eastAsia"/>
          <w:b w:val="0"/>
          <w:bCs w:val="0"/>
          <w:spacing w:val="-4"/>
          <w:sz w:val="32"/>
          <w:szCs w:val="32"/>
        </w:rPr>
        <w:br/>
        <w:t>预算执行率：2023实际财政拨款招商引资到位资金132.85万元，全年共支出126.54万元，预算执行率95.25%。故预算执行率得分为4.76分。</w:t>
      </w:r>
      <w:r w:rsidRPr="00106B6D">
        <w:rPr>
          <w:rStyle w:val="ad"/>
          <w:rFonts w:ascii="楷体" w:eastAsia="楷体" w:hAnsi="楷体" w:hint="eastAsia"/>
          <w:b w:val="0"/>
          <w:bCs w:val="0"/>
          <w:spacing w:val="-4"/>
          <w:sz w:val="32"/>
          <w:szCs w:val="32"/>
        </w:rPr>
        <w:br/>
        <w:t>资金使用合规性：本项目资金的使用符合我单位财务报销流程和</w:t>
      </w:r>
      <w:r w:rsidRPr="00106B6D">
        <w:rPr>
          <w:rStyle w:val="ad"/>
          <w:rFonts w:ascii="楷体" w:eastAsia="楷体" w:hAnsi="楷体" w:hint="eastAsia"/>
          <w:b w:val="0"/>
          <w:bCs w:val="0"/>
          <w:spacing w:val="-4"/>
          <w:sz w:val="32"/>
          <w:szCs w:val="32"/>
        </w:rPr>
        <w:lastRenderedPageBreak/>
        <w:t>财务收支管理制度以及有专项资金管理办法的规定。同时，资金的拨付有针对各项费用的审批程序，建立健全的财务管理制度，加强项目管理和监督，确保资金的公开透明和严格责任追究。符合项目预算批复或合同规定的用途，不存在截留、挤占、挪用、虚列支出等情况。故资金使用合规性得分为3分。</w:t>
      </w:r>
      <w:r w:rsidRPr="00106B6D">
        <w:rPr>
          <w:rStyle w:val="ad"/>
          <w:rFonts w:ascii="楷体" w:eastAsia="楷体" w:hAnsi="楷体" w:hint="eastAsia"/>
          <w:b w:val="0"/>
          <w:bCs w:val="0"/>
          <w:spacing w:val="-4"/>
          <w:sz w:val="32"/>
          <w:szCs w:val="32"/>
        </w:rPr>
        <w:br/>
        <w:t>综上，该指标满分13分，得分10.44分。</w:t>
      </w:r>
      <w:r w:rsidRPr="00106B6D">
        <w:rPr>
          <w:rStyle w:val="ad"/>
          <w:rFonts w:ascii="楷体" w:eastAsia="楷体" w:hAnsi="楷体" w:hint="eastAsia"/>
          <w:b w:val="0"/>
          <w:bCs w:val="0"/>
          <w:spacing w:val="-4"/>
          <w:sz w:val="32"/>
          <w:szCs w:val="32"/>
        </w:rPr>
        <w:br/>
        <w:t>2. 组织实施</w:t>
      </w:r>
      <w:r w:rsidRPr="00106B6D">
        <w:rPr>
          <w:rStyle w:val="ad"/>
          <w:rFonts w:ascii="楷体" w:eastAsia="楷体" w:hAnsi="楷体" w:hint="eastAsia"/>
          <w:b w:val="0"/>
          <w:bCs w:val="0"/>
          <w:spacing w:val="-4"/>
          <w:sz w:val="32"/>
          <w:szCs w:val="32"/>
        </w:rPr>
        <w:br/>
        <w:t>管理制度健全性：我单位财务管理制度制定相应的各项费用的报销流程和项目收支管理制度，且制度合法、合规、完整，为项目顺利实施提供重要保障。故管理制度健全性得分为3分。</w:t>
      </w:r>
      <w:r w:rsidRPr="00106B6D">
        <w:rPr>
          <w:rStyle w:val="ad"/>
          <w:rFonts w:ascii="楷体" w:eastAsia="楷体" w:hAnsi="楷体" w:hint="eastAsia"/>
          <w:b w:val="0"/>
          <w:bCs w:val="0"/>
          <w:spacing w:val="-4"/>
          <w:sz w:val="32"/>
          <w:szCs w:val="32"/>
        </w:rPr>
        <w:br/>
        <w:t>制度执行有效性：根据评价小组核查情况，严格遵守《米东区招商局制度汇编》，项目调整及支出调整手续完备，整体管理合理有序，项目完成后，及时将会计凭证、采购合同、费用票据，政采云流程等相关资料分类归档，制度执行有效。故制度执行有效性指标得分4分。</w:t>
      </w:r>
      <w:r w:rsidRPr="00106B6D">
        <w:rPr>
          <w:rStyle w:val="ad"/>
          <w:rFonts w:ascii="楷体" w:eastAsia="楷体" w:hAnsi="楷体" w:hint="eastAsia"/>
          <w:b w:val="0"/>
          <w:bCs w:val="0"/>
          <w:spacing w:val="-4"/>
          <w:sz w:val="32"/>
          <w:szCs w:val="32"/>
        </w:rPr>
        <w:br/>
        <w:t>综上，该指标满分7分，得分7分。</w:t>
      </w:r>
    </w:p>
    <w:p w14:paraId="626924A3" w14:textId="77777777" w:rsidR="000048AA" w:rsidRPr="00106B6D" w:rsidRDefault="00000000">
      <w:pPr>
        <w:spacing w:line="540" w:lineRule="exact"/>
        <w:ind w:firstLineChars="181" w:firstLine="567"/>
        <w:rPr>
          <w:rFonts w:ascii="楷体" w:eastAsia="楷体" w:hAnsi="楷体" w:hint="eastAsia"/>
          <w:b/>
          <w:spacing w:val="-4"/>
          <w:sz w:val="32"/>
          <w:szCs w:val="32"/>
        </w:rPr>
      </w:pPr>
      <w:r w:rsidRPr="00106B6D">
        <w:rPr>
          <w:rFonts w:ascii="楷体" w:eastAsia="楷体" w:hAnsi="楷体" w:hint="eastAsia"/>
          <w:b/>
          <w:spacing w:val="-4"/>
          <w:sz w:val="32"/>
          <w:szCs w:val="32"/>
        </w:rPr>
        <w:t>（三）</w:t>
      </w:r>
      <w:r w:rsidRPr="00106B6D">
        <w:rPr>
          <w:rStyle w:val="ad"/>
          <w:rFonts w:ascii="楷体" w:eastAsia="楷体" w:hAnsi="楷体" w:hint="eastAsia"/>
          <w:spacing w:val="-4"/>
          <w:sz w:val="32"/>
          <w:szCs w:val="32"/>
        </w:rPr>
        <w:t>项目产出情况</w:t>
      </w:r>
    </w:p>
    <w:p w14:paraId="76AF5AFA"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（三）项目产出情况</w:t>
      </w:r>
      <w:r w:rsidRPr="00106B6D">
        <w:rPr>
          <w:rStyle w:val="ad"/>
          <w:rFonts w:ascii="楷体" w:eastAsia="楷体" w:hAnsi="楷体" w:hint="eastAsia"/>
          <w:b w:val="0"/>
          <w:bCs w:val="0"/>
          <w:spacing w:val="-4"/>
          <w:sz w:val="32"/>
          <w:szCs w:val="32"/>
        </w:rPr>
        <w:br/>
        <w:t>项目产出指标由4个二级指标和5个三级指标构成，权重为40分，实际得分40分。</w:t>
      </w:r>
      <w:r w:rsidRPr="00106B6D">
        <w:rPr>
          <w:rStyle w:val="ad"/>
          <w:rFonts w:ascii="楷体" w:eastAsia="楷体" w:hAnsi="楷体" w:hint="eastAsia"/>
          <w:b w:val="0"/>
          <w:bCs w:val="0"/>
          <w:spacing w:val="-4"/>
          <w:sz w:val="32"/>
          <w:szCs w:val="32"/>
        </w:rPr>
        <w:br/>
        <w:t>1. 产出数量</w:t>
      </w:r>
      <w:r w:rsidRPr="00106B6D">
        <w:rPr>
          <w:rStyle w:val="ad"/>
          <w:rFonts w:ascii="楷体" w:eastAsia="楷体" w:hAnsi="楷体" w:hint="eastAsia"/>
          <w:b w:val="0"/>
          <w:bCs w:val="0"/>
          <w:spacing w:val="-4"/>
          <w:sz w:val="32"/>
          <w:szCs w:val="32"/>
        </w:rPr>
        <w:br/>
        <w:t>数量指标“招商引资到位资金”的目标值是≥300亿元，2023年度我单位实际完成305.33亿元，原因是招商引资到位资金目标是不少于300亿元，执行率超出预期，完成较好。故“招商引资到位资金”得分5分。</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数量指标“招商引资推介会”的目标值是2场，2023年度我单位实际完成2场。故“招商引资推介会”得分5分。</w:t>
      </w:r>
      <w:r w:rsidRPr="00106B6D">
        <w:rPr>
          <w:rStyle w:val="ad"/>
          <w:rFonts w:ascii="楷体" w:eastAsia="楷体" w:hAnsi="楷体" w:hint="eastAsia"/>
          <w:b w:val="0"/>
          <w:bCs w:val="0"/>
          <w:spacing w:val="-4"/>
          <w:sz w:val="32"/>
          <w:szCs w:val="32"/>
        </w:rPr>
        <w:br/>
        <w:t>2. 产出质量</w:t>
      </w:r>
      <w:r w:rsidRPr="00106B6D">
        <w:rPr>
          <w:rStyle w:val="ad"/>
          <w:rFonts w:ascii="楷体" w:eastAsia="楷体" w:hAnsi="楷体" w:hint="eastAsia"/>
          <w:b w:val="0"/>
          <w:bCs w:val="0"/>
          <w:spacing w:val="-4"/>
          <w:sz w:val="32"/>
          <w:szCs w:val="32"/>
        </w:rPr>
        <w:br/>
        <w:t>质量指标“资金使用合规率”的目标值是100%，招商引资专项经费全部用于列支招商引资相关的活动，比如：外出招商差旅费、招商宣传手册、招商指南、招商宣传片等费用，没有超范围列支，2023年度我单位实际资金使用合规率100%。故资金使用合规率得分为10分。</w:t>
      </w:r>
      <w:r w:rsidRPr="00106B6D">
        <w:rPr>
          <w:rStyle w:val="ad"/>
          <w:rFonts w:ascii="楷体" w:eastAsia="楷体" w:hAnsi="楷体" w:hint="eastAsia"/>
          <w:b w:val="0"/>
          <w:bCs w:val="0"/>
          <w:spacing w:val="-4"/>
          <w:sz w:val="32"/>
          <w:szCs w:val="32"/>
        </w:rPr>
        <w:br/>
        <w:t>3. 产出时效</w:t>
      </w:r>
      <w:r w:rsidRPr="00106B6D">
        <w:rPr>
          <w:rStyle w:val="ad"/>
          <w:rFonts w:ascii="楷体" w:eastAsia="楷体" w:hAnsi="楷体" w:hint="eastAsia"/>
          <w:b w:val="0"/>
          <w:bCs w:val="0"/>
          <w:spacing w:val="-4"/>
          <w:sz w:val="32"/>
          <w:szCs w:val="32"/>
        </w:rPr>
        <w:br/>
        <w:t>时效指标“项目完成时间”的目标值是≤12个月，实际2023年度我单位该项目在11月已完成，完成率100%，故项目完成时间得分为10分。</w:t>
      </w:r>
      <w:r w:rsidRPr="00106B6D">
        <w:rPr>
          <w:rStyle w:val="ad"/>
          <w:rFonts w:ascii="楷体" w:eastAsia="楷体" w:hAnsi="楷体" w:hint="eastAsia"/>
          <w:b w:val="0"/>
          <w:bCs w:val="0"/>
          <w:spacing w:val="-4"/>
          <w:sz w:val="32"/>
          <w:szCs w:val="32"/>
        </w:rPr>
        <w:br/>
        <w:t>4. 产出成本</w:t>
      </w:r>
      <w:r w:rsidRPr="00106B6D">
        <w:rPr>
          <w:rStyle w:val="ad"/>
          <w:rFonts w:ascii="楷体" w:eastAsia="楷体" w:hAnsi="楷体" w:hint="eastAsia"/>
          <w:b w:val="0"/>
          <w:bCs w:val="0"/>
          <w:spacing w:val="-4"/>
          <w:sz w:val="32"/>
          <w:szCs w:val="32"/>
        </w:rPr>
        <w:br/>
        <w:t>成本指标“项目预算控制率”本项目实际支出126.54万元，为超出预算，因财政资金紧张，部分资金未支付完毕。故项目预算控制率得分为10分。</w:t>
      </w:r>
      <w:r w:rsidRPr="00106B6D">
        <w:rPr>
          <w:rStyle w:val="ad"/>
          <w:rFonts w:ascii="楷体" w:eastAsia="楷体" w:hAnsi="楷体" w:hint="eastAsia"/>
          <w:b w:val="0"/>
          <w:bCs w:val="0"/>
          <w:spacing w:val="-4"/>
          <w:sz w:val="32"/>
          <w:szCs w:val="32"/>
        </w:rPr>
        <w:br/>
        <w:t>综上，该部分指标满分40分，得分40分。</w:t>
      </w:r>
    </w:p>
    <w:p w14:paraId="404219E3" w14:textId="77777777" w:rsidR="000048AA" w:rsidRPr="00106B6D" w:rsidRDefault="00000000">
      <w:pPr>
        <w:spacing w:line="540" w:lineRule="exact"/>
        <w:ind w:firstLineChars="181" w:firstLine="567"/>
        <w:rPr>
          <w:rFonts w:ascii="楷体" w:eastAsia="楷体" w:hAnsi="楷体" w:hint="eastAsia"/>
          <w:b/>
          <w:spacing w:val="-4"/>
          <w:sz w:val="32"/>
          <w:szCs w:val="32"/>
        </w:rPr>
      </w:pPr>
      <w:r w:rsidRPr="00106B6D">
        <w:rPr>
          <w:rFonts w:ascii="楷体" w:eastAsia="楷体" w:hAnsi="楷体" w:hint="eastAsia"/>
          <w:b/>
          <w:spacing w:val="-4"/>
          <w:sz w:val="32"/>
          <w:szCs w:val="32"/>
        </w:rPr>
        <w:t>（四）</w:t>
      </w:r>
      <w:r w:rsidRPr="00106B6D">
        <w:rPr>
          <w:rStyle w:val="ad"/>
          <w:rFonts w:ascii="楷体" w:eastAsia="楷体" w:hAnsi="楷体" w:hint="eastAsia"/>
          <w:spacing w:val="-4"/>
          <w:sz w:val="32"/>
          <w:szCs w:val="32"/>
        </w:rPr>
        <w:t>项目效益情况</w:t>
      </w:r>
    </w:p>
    <w:p w14:paraId="5CE82706" w14:textId="380AB000" w:rsidR="009C229E" w:rsidRPr="00106B6D" w:rsidRDefault="00000000" w:rsidP="000B0B98">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1. 项目效益</w:t>
      </w:r>
      <w:r w:rsidRPr="00106B6D">
        <w:rPr>
          <w:rStyle w:val="ad"/>
          <w:rFonts w:ascii="楷体" w:eastAsia="楷体" w:hAnsi="楷体" w:hint="eastAsia"/>
          <w:b w:val="0"/>
          <w:bCs w:val="0"/>
          <w:spacing w:val="-4"/>
          <w:sz w:val="32"/>
          <w:szCs w:val="32"/>
        </w:rPr>
        <w:br/>
        <w:t>（1）实施效益</w:t>
      </w:r>
      <w:r w:rsidRPr="00106B6D">
        <w:rPr>
          <w:rStyle w:val="ad"/>
          <w:rFonts w:ascii="楷体" w:eastAsia="楷体" w:hAnsi="楷体" w:hint="eastAsia"/>
          <w:b w:val="0"/>
          <w:bCs w:val="0"/>
          <w:spacing w:val="-4"/>
          <w:sz w:val="32"/>
          <w:szCs w:val="32"/>
        </w:rPr>
        <w:br/>
        <w:t>经济效益指标：评价指标“营造良好营商环境，招引大项目、好项目，推动经济发展”，指标值：有效推动，实际完成值：达成年度指标。本项目的实施：项目的引进对米东区的经济社会发展产生了积极的推动作用，不仅增强了当地的产业基础，优化了产业结构，而且为当地居民提供了更多的就业机会，提高了居民的</w:t>
      </w:r>
      <w:r w:rsidRPr="00106B6D">
        <w:rPr>
          <w:rStyle w:val="ad"/>
          <w:rFonts w:ascii="楷体" w:eastAsia="楷体" w:hAnsi="楷体" w:hint="eastAsia"/>
          <w:b w:val="0"/>
          <w:bCs w:val="0"/>
          <w:spacing w:val="-4"/>
          <w:sz w:val="32"/>
          <w:szCs w:val="32"/>
        </w:rPr>
        <w:lastRenderedPageBreak/>
        <w:t>收入水平，同时也吸引了更多的企业和投资者关注米东区的发展潜力，为未来的经济增长奠定了坚实的基础。</w:t>
      </w:r>
      <w:r w:rsidRPr="00106B6D">
        <w:rPr>
          <w:rStyle w:val="ad"/>
          <w:rFonts w:ascii="楷体" w:eastAsia="楷体" w:hAnsi="楷体" w:hint="eastAsia"/>
          <w:b w:val="0"/>
          <w:bCs w:val="0"/>
          <w:spacing w:val="-4"/>
          <w:sz w:val="32"/>
          <w:szCs w:val="32"/>
        </w:rPr>
        <w:br/>
        <w:t>社会效益指标：评价指标“加快推进全区重大招商项目落地，补齐产业缺环，延伸产业链条，扩大社会效益”，指标值：效果显著，实际完成值：达成年度指标。本项目的实施：通过引进高端产业和品牌企业，可以提升城市的基础设施建设和公共服务水平，增强城市的吸引力，提高居民的生活质量，改善了产业结构，也为当地居民提供了更多的就业机会，提升了城市品质，对社会经济发展产生了积极的推动作用。</w:t>
      </w:r>
      <w:r w:rsidRPr="00106B6D">
        <w:rPr>
          <w:rStyle w:val="ad"/>
          <w:rFonts w:ascii="楷体" w:eastAsia="楷体" w:hAnsi="楷体" w:hint="eastAsia"/>
          <w:b w:val="0"/>
          <w:bCs w:val="0"/>
          <w:spacing w:val="-4"/>
          <w:sz w:val="32"/>
          <w:szCs w:val="32"/>
        </w:rPr>
        <w:br/>
        <w:t>生态效益指标：不适用。</w:t>
      </w:r>
      <w:r w:rsidRPr="00106B6D">
        <w:rPr>
          <w:rStyle w:val="ad"/>
          <w:rFonts w:ascii="楷体" w:eastAsia="楷体" w:hAnsi="楷体" w:hint="eastAsia"/>
          <w:b w:val="0"/>
          <w:bCs w:val="0"/>
          <w:spacing w:val="-4"/>
          <w:sz w:val="32"/>
          <w:szCs w:val="32"/>
        </w:rPr>
        <w:br/>
        <w:t>综上，该指标满分10分，得分10分。</w:t>
      </w:r>
    </w:p>
    <w:p w14:paraId="57FD828A" w14:textId="202F46A4"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（1）满意度指标</w:t>
      </w:r>
      <w:r w:rsidRPr="00106B6D">
        <w:rPr>
          <w:rStyle w:val="ad"/>
          <w:rFonts w:ascii="楷体" w:eastAsia="楷体" w:hAnsi="楷体" w:hint="eastAsia"/>
          <w:b w:val="0"/>
          <w:bCs w:val="0"/>
          <w:spacing w:val="-4"/>
          <w:sz w:val="32"/>
          <w:szCs w:val="32"/>
        </w:rPr>
        <w:br/>
        <w:t>群众满意度：评价指标“企业满意度”，指标值：≥90%，实际完成值：≥100%。通过设置问卷调查的方式进行考评评价，共计调查样本总量为20个样本，有效调查问卷20份。其中，统计“满意”的平均值为100%。原因为积极开展企业服务月活动，通过政银企座谈和走访的形式，纾解民营企业融资难等问题，故满意度指标得分为10分。</w:t>
      </w:r>
      <w:r w:rsidRPr="00106B6D">
        <w:rPr>
          <w:rStyle w:val="ad"/>
          <w:rFonts w:ascii="楷体" w:eastAsia="楷体" w:hAnsi="楷体" w:hint="eastAsia"/>
          <w:b w:val="0"/>
          <w:bCs w:val="0"/>
          <w:spacing w:val="-4"/>
          <w:sz w:val="32"/>
          <w:szCs w:val="32"/>
        </w:rPr>
        <w:br/>
        <w:t>综上，该指标满分10分，得分10分。</w:t>
      </w:r>
    </w:p>
    <w:p w14:paraId="3385D9A6" w14:textId="77777777" w:rsidR="000048AA" w:rsidRPr="00106B6D"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106B6D" w:rsidRDefault="003A1721">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五、主要经验及做法、存在的问题及原因分析</w:t>
      </w:r>
    </w:p>
    <w:p w14:paraId="43BCB296" w14:textId="77777777" w:rsidR="000048AA" w:rsidRPr="00106B6D" w:rsidRDefault="00000000">
      <w:pPr>
        <w:spacing w:line="540" w:lineRule="exact"/>
        <w:ind w:firstLine="567"/>
        <w:rPr>
          <w:rFonts w:ascii="仿宋_GB2312" w:eastAsia="仿宋_GB2312"/>
          <w:spacing w:val="-4"/>
          <w:sz w:val="32"/>
          <w:szCs w:val="32"/>
        </w:rPr>
      </w:pPr>
      <w:r w:rsidRPr="00106B6D">
        <w:rPr>
          <w:rStyle w:val="ad"/>
          <w:rFonts w:ascii="楷体" w:eastAsia="楷体" w:hAnsi="楷体" w:hint="eastAsia"/>
          <w:b w:val="0"/>
          <w:bCs w:val="0"/>
          <w:spacing w:val="-4"/>
          <w:sz w:val="32"/>
          <w:szCs w:val="32"/>
        </w:rPr>
        <w:t>（一）主要经验及做法</w:t>
      </w:r>
      <w:r w:rsidRPr="00106B6D">
        <w:rPr>
          <w:rStyle w:val="ad"/>
          <w:rFonts w:ascii="楷体" w:eastAsia="楷体" w:hAnsi="楷体" w:hint="eastAsia"/>
          <w:b w:val="0"/>
          <w:bCs w:val="0"/>
          <w:spacing w:val="-4"/>
          <w:sz w:val="32"/>
          <w:szCs w:val="32"/>
        </w:rPr>
        <w:br/>
        <w:t>1.创新招商方式，激发招商合力。开展“走出去、请进来”小分队招商。紧盯重点项目，赴长三角、京津冀等地区，开展上门招商、驻点招商。</w:t>
      </w:r>
      <w:r w:rsidRPr="00106B6D">
        <w:rPr>
          <w:rStyle w:val="ad"/>
          <w:rFonts w:ascii="楷体" w:eastAsia="楷体" w:hAnsi="楷体" w:hint="eastAsia"/>
          <w:b w:val="0"/>
          <w:bCs w:val="0"/>
          <w:spacing w:val="-4"/>
          <w:sz w:val="32"/>
          <w:szCs w:val="32"/>
        </w:rPr>
        <w:br/>
      </w:r>
      <w:r w:rsidRPr="00106B6D">
        <w:rPr>
          <w:rStyle w:val="ad"/>
          <w:rFonts w:ascii="楷体" w:eastAsia="楷体" w:hAnsi="楷体" w:hint="eastAsia"/>
          <w:b w:val="0"/>
          <w:bCs w:val="0"/>
          <w:spacing w:val="-4"/>
          <w:sz w:val="32"/>
          <w:szCs w:val="32"/>
        </w:rPr>
        <w:lastRenderedPageBreak/>
        <w:t>2.聚力产业招商，突出招大引强。一是立足资源禀赋和产业基础，加快打造特色优势产业，积极构建现代化产业体系，构建新能源全产业链新格局。二是打开乡村振兴战略项目新局面。三是开启城市更新招商新高潮。</w:t>
      </w:r>
      <w:r w:rsidRPr="00106B6D">
        <w:rPr>
          <w:rStyle w:val="ad"/>
          <w:rFonts w:ascii="楷体" w:eastAsia="楷体" w:hAnsi="楷体" w:hint="eastAsia"/>
          <w:b w:val="0"/>
          <w:bCs w:val="0"/>
          <w:spacing w:val="-4"/>
          <w:sz w:val="32"/>
          <w:szCs w:val="32"/>
        </w:rPr>
        <w:br/>
        <w:t>3.全面优化环境，树立招商新形象</w:t>
      </w:r>
      <w:r w:rsidRPr="00106B6D">
        <w:rPr>
          <w:rStyle w:val="ad"/>
          <w:rFonts w:ascii="楷体" w:eastAsia="楷体" w:hAnsi="楷体" w:hint="eastAsia"/>
          <w:b w:val="0"/>
          <w:bCs w:val="0"/>
          <w:spacing w:val="-4"/>
          <w:sz w:val="32"/>
          <w:szCs w:val="32"/>
        </w:rPr>
        <w:br/>
        <w:t>一是积极开展企业服务月活动，通过政银企座谈和走访的形式，纾解民营企业融资难等问题。二是盘活闲置土地。三是“零阻碍”服务项目。</w:t>
      </w:r>
      <w:r w:rsidRPr="00106B6D">
        <w:rPr>
          <w:rStyle w:val="ad"/>
          <w:rFonts w:ascii="楷体" w:eastAsia="楷体" w:hAnsi="楷体" w:hint="eastAsia"/>
          <w:b w:val="0"/>
          <w:bCs w:val="0"/>
          <w:spacing w:val="-4"/>
          <w:sz w:val="32"/>
          <w:szCs w:val="32"/>
        </w:rPr>
        <w:br/>
        <w:t>（二）存在的问题及原因分析</w:t>
      </w:r>
      <w:r w:rsidRPr="00106B6D">
        <w:rPr>
          <w:rStyle w:val="ad"/>
          <w:rFonts w:ascii="楷体" w:eastAsia="楷体" w:hAnsi="楷体" w:hint="eastAsia"/>
          <w:b w:val="0"/>
          <w:bCs w:val="0"/>
          <w:spacing w:val="-4"/>
          <w:sz w:val="32"/>
          <w:szCs w:val="32"/>
        </w:rPr>
        <w:br/>
        <w:t>1.项目策划不足。由于缺乏专业性，项目策划存在着前期研究论证不充分、对外宣传推介不到位、实际组织实施不可行等问题，使得项目策划一直是区域招商引资的短板。对国家、自治区、市级战略研究不深人，不能较好地找到融人发展的契合点，使策划项目多停留在本地资源开发浅层次、产业链条初端。</w:t>
      </w:r>
      <w:r w:rsidRPr="00106B6D">
        <w:rPr>
          <w:rStyle w:val="ad"/>
          <w:rFonts w:ascii="楷体" w:eastAsia="楷体" w:hAnsi="楷体" w:hint="eastAsia"/>
          <w:b w:val="0"/>
          <w:bCs w:val="0"/>
          <w:spacing w:val="-4"/>
          <w:sz w:val="32"/>
          <w:szCs w:val="32"/>
        </w:rPr>
        <w:br/>
        <w:t>2.招商模式传统。与发达地区相比，我们招商方式还不活，理念还不新，思路还不宽，还不能适应激烈竞争的需要。专业招商、以商招商、中介招商和委托招商等新型招商方式运用不够，招商引资的市场化机制弱化，基本上还停留在全民招商和行政推动阶段，不能适应高质量发展下招商要求。</w:t>
      </w:r>
      <w:r w:rsidRPr="00106B6D">
        <w:rPr>
          <w:rStyle w:val="ad"/>
          <w:rFonts w:ascii="楷体" w:eastAsia="楷体" w:hAnsi="楷体" w:hint="eastAsia"/>
          <w:b w:val="0"/>
          <w:bCs w:val="0"/>
          <w:spacing w:val="-4"/>
          <w:sz w:val="32"/>
          <w:szCs w:val="32"/>
        </w:rPr>
        <w:br/>
        <w:t>3.招商引资队伍专业水平有待提高。目前，全区招商引资队伍中对招商业务知识的掌握水平不高，对产业链全过程的认知、对招商政策的掌握、对法律知识的把握、对商务礼仪的理解、对谈判技巧的运用均参差不齐，招商队伍专业素质与招商工作需求存在差距，与当前加快转型发展、奋力追赶超越的形势契合度不高。</w:t>
      </w:r>
    </w:p>
    <w:p w14:paraId="391BFB09" w14:textId="21B51445" w:rsidR="000048AA" w:rsidRPr="00106B6D" w:rsidRDefault="003A1721">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六、有关建议</w:t>
      </w:r>
    </w:p>
    <w:p w14:paraId="017A5A3F" w14:textId="77777777" w:rsidR="000048AA" w:rsidRPr="00106B6D" w:rsidRDefault="00000000">
      <w:pPr>
        <w:spacing w:line="540" w:lineRule="exact"/>
        <w:ind w:firstLine="567"/>
        <w:rPr>
          <w:rStyle w:val="ad"/>
          <w:rFonts w:ascii="楷体" w:eastAsia="楷体" w:hAnsi="楷体" w:hint="eastAsia"/>
          <w:spacing w:val="-4"/>
          <w:sz w:val="32"/>
          <w:szCs w:val="32"/>
        </w:rPr>
      </w:pPr>
      <w:r w:rsidRPr="00106B6D">
        <w:rPr>
          <w:rStyle w:val="ad"/>
          <w:rFonts w:ascii="楷体" w:eastAsia="楷体" w:hAnsi="楷体" w:hint="eastAsia"/>
          <w:b w:val="0"/>
          <w:bCs w:val="0"/>
          <w:spacing w:val="-4"/>
          <w:sz w:val="32"/>
          <w:szCs w:val="32"/>
        </w:rPr>
        <w:lastRenderedPageBreak/>
        <w:t>（一）进行深入的产业链研究，以便更好地理解市场需求和行业动态。这有助于确定哪些类型的项目最适合您的地区，并如何最好地吸引这些项目。</w:t>
      </w:r>
      <w:r w:rsidRPr="00106B6D">
        <w:rPr>
          <w:rStyle w:val="ad"/>
          <w:rFonts w:ascii="楷体" w:eastAsia="楷体" w:hAnsi="楷体" w:hint="eastAsia"/>
          <w:b w:val="0"/>
          <w:bCs w:val="0"/>
          <w:spacing w:val="-4"/>
          <w:sz w:val="32"/>
          <w:szCs w:val="32"/>
        </w:rPr>
        <w:br/>
        <w:t>（二）结合引企业和引资本，注重资本招商，引进国内知名基金，吸引优秀企业落户，实现以商招商；聚焦重点国家和地区的重点企业，开展登门招商，提高招商引资的精准度和实效性；综合运用多种招商方式，如专题招商、小团组招商、以商招商、网络招商等，提高招商引资的实效性。</w:t>
      </w:r>
      <w:r w:rsidRPr="00106B6D">
        <w:rPr>
          <w:rStyle w:val="ad"/>
          <w:rFonts w:ascii="楷体" w:eastAsia="楷体" w:hAnsi="楷体" w:hint="eastAsia"/>
          <w:b w:val="0"/>
          <w:bCs w:val="0"/>
          <w:spacing w:val="-4"/>
          <w:sz w:val="32"/>
          <w:szCs w:val="32"/>
        </w:rPr>
        <w:br/>
        <w:t>（三）加强培训，制定全面的培训计划，包括专业知识、沟通技巧、市场分析等方面，以提高团队成员的专业素质；引入行业专家，积极与行业内专家建立联系，邀请他们作为团队的顾问或导师，为团队成员提供实战指导和建议；拓展招商渠道与资源整合，建立完善的客户档案，定期回访与沟通，深入挖掘现有客户资源，实现精准对接。</w:t>
      </w:r>
    </w:p>
    <w:p w14:paraId="4DE4CB6C" w14:textId="75B864F1" w:rsidR="000048AA" w:rsidRPr="00106B6D" w:rsidRDefault="003A1721">
      <w:pPr>
        <w:spacing w:line="540" w:lineRule="exact"/>
        <w:ind w:firstLine="640"/>
        <w:rPr>
          <w:rStyle w:val="ad"/>
          <w:rFonts w:ascii="黑体" w:eastAsia="黑体" w:hAnsi="黑体" w:hint="eastAsia"/>
          <w:b w:val="0"/>
          <w:spacing w:val="-4"/>
          <w:sz w:val="32"/>
          <w:szCs w:val="32"/>
        </w:rPr>
      </w:pPr>
      <w:r w:rsidRPr="00106B6D">
        <w:rPr>
          <w:rStyle w:val="ad"/>
          <w:rFonts w:ascii="黑体" w:eastAsia="黑体" w:hAnsi="黑体" w:hint="eastAsia"/>
          <w:b w:val="0"/>
          <w:spacing w:val="-4"/>
          <w:sz w:val="32"/>
          <w:szCs w:val="32"/>
        </w:rPr>
        <w:t>七、其他需要说明的问题</w:t>
      </w:r>
    </w:p>
    <w:p w14:paraId="5D5CD257" w14:textId="77777777" w:rsidR="000048AA" w:rsidRPr="00106B6D" w:rsidRDefault="00000000">
      <w:pPr>
        <w:spacing w:line="540" w:lineRule="exact"/>
        <w:ind w:firstLine="567"/>
        <w:rPr>
          <w:rStyle w:val="ad"/>
          <w:rFonts w:ascii="楷体" w:eastAsia="楷体" w:hAnsi="楷体" w:hint="eastAsia"/>
          <w:b w:val="0"/>
          <w:bCs w:val="0"/>
          <w:spacing w:val="-4"/>
          <w:sz w:val="32"/>
          <w:szCs w:val="32"/>
        </w:rPr>
      </w:pPr>
      <w:r w:rsidRPr="00106B6D">
        <w:rPr>
          <w:rStyle w:val="ad"/>
          <w:rFonts w:ascii="楷体" w:eastAsia="楷体" w:hAnsi="楷体" w:hint="eastAsia"/>
          <w:b w:val="0"/>
          <w:bCs w:val="0"/>
          <w:spacing w:val="-4"/>
          <w:sz w:val="32"/>
          <w:szCs w:val="32"/>
        </w:rPr>
        <w:t>（一）项目支出政策和路径设计科学，符合实际需要；</w:t>
      </w:r>
      <w:r w:rsidRPr="00106B6D">
        <w:rPr>
          <w:rStyle w:val="ad"/>
          <w:rFonts w:ascii="楷体" w:eastAsia="楷体" w:hAnsi="楷体" w:hint="eastAsia"/>
          <w:b w:val="0"/>
          <w:bCs w:val="0"/>
          <w:spacing w:val="-4"/>
          <w:sz w:val="32"/>
          <w:szCs w:val="32"/>
        </w:rPr>
        <w:br/>
        <w:t>（二）项目安排准确，未发现背离项目立项初衷的情况；</w:t>
      </w:r>
      <w:r w:rsidRPr="00106B6D">
        <w:rPr>
          <w:rStyle w:val="ad"/>
          <w:rFonts w:ascii="楷体" w:eastAsia="楷体" w:hAnsi="楷体" w:hint="eastAsia"/>
          <w:b w:val="0"/>
          <w:bCs w:val="0"/>
          <w:spacing w:val="-4"/>
          <w:sz w:val="32"/>
          <w:szCs w:val="32"/>
        </w:rPr>
        <w:br/>
        <w:t>（三）项目的申报、审核机制完善；</w:t>
      </w:r>
      <w:r w:rsidRPr="00106B6D">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106B6D"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106B6D"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106B6D"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106B6D"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106B6D" w:rsidRDefault="000048AA">
      <w:pPr>
        <w:spacing w:line="540" w:lineRule="exact"/>
        <w:ind w:firstLine="567"/>
        <w:rPr>
          <w:rStyle w:val="ad"/>
          <w:rFonts w:ascii="仿宋" w:eastAsia="仿宋" w:hAnsi="仿宋" w:hint="eastAsia"/>
          <w:b w:val="0"/>
          <w:spacing w:val="-4"/>
          <w:sz w:val="32"/>
          <w:szCs w:val="32"/>
        </w:rPr>
      </w:pPr>
    </w:p>
    <w:sectPr w:rsidR="000048AA" w:rsidRPr="00106B6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9400D" w14:textId="77777777" w:rsidR="006C2E9F" w:rsidRDefault="006C2E9F">
      <w:r>
        <w:separator/>
      </w:r>
    </w:p>
  </w:endnote>
  <w:endnote w:type="continuationSeparator" w:id="0">
    <w:p w14:paraId="29DFB9A7" w14:textId="77777777" w:rsidR="006C2E9F" w:rsidRDefault="006C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EAF8B" w14:textId="77777777" w:rsidR="006C2E9F" w:rsidRDefault="006C2E9F">
      <w:r>
        <w:separator/>
      </w:r>
    </w:p>
  </w:footnote>
  <w:footnote w:type="continuationSeparator" w:id="0">
    <w:p w14:paraId="5764B356" w14:textId="77777777" w:rsidR="006C2E9F" w:rsidRDefault="006C2E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6B6D"/>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C2E9F"/>
    <w:rsid w:val="007A54D9"/>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04FF"/>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1946</Words>
  <Characters>11094</Characters>
  <Application>Microsoft Office Word</Application>
  <DocSecurity>0</DocSecurity>
  <Lines>92</Lines>
  <Paragraphs>26</Paragraphs>
  <ScaleCrop>false</ScaleCrop>
  <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