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A309CB">
      <w:pPr>
        <w:rPr>
          <w:rFonts w:hint="eastAsia" w:ascii="黑体" w:hAnsi="黑体" w:eastAsia="黑体"/>
          <w:sz w:val="32"/>
          <w:szCs w:val="32"/>
        </w:rPr>
      </w:pPr>
    </w:p>
    <w:p w14:paraId="18BB8BC9">
      <w:pPr>
        <w:jc w:val="center"/>
        <w:rPr>
          <w:rFonts w:hint="eastAsia" w:ascii="方正小标宋_GBK" w:hAnsi="宋体" w:eastAsia="方正小标宋_GBK"/>
          <w:sz w:val="44"/>
          <w:szCs w:val="44"/>
        </w:rPr>
      </w:pPr>
    </w:p>
    <w:p w14:paraId="6DEE6C18">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乌鲁木齐市米东区永祥街片区管理委员会</w:t>
      </w:r>
    </w:p>
    <w:p w14:paraId="6EB5B8E5">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4C8323D9">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5E032302">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3962E223">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218A2D76">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4CFECC0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65E6F3C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6823DA95">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4285818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16C744D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75A84D9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54B6364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6D4D557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4AD503A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68FB2CC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06F2F20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313C589A">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731FE62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29CD810C">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4BDC6E3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627D3169">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77DD658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038CEAD3">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50196104">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78ABB16A">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6DC21CF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4ADE8B3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568ED80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4103513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374FE42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0EEF997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18DF04A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3EC3659F">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691E5981">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4C5C9469">
      <w:r>
        <w:rPr>
          <w:rFonts w:hint="eastAsia" w:ascii="仿宋_GB2312" w:hAnsi="仿宋_GB2312" w:eastAsia="仿宋_GB2312" w:cs="仿宋_GB2312"/>
          <w:sz w:val="32"/>
          <w:szCs w:val="32"/>
        </w:rPr>
        <w:fldChar w:fldCharType="end"/>
      </w:r>
    </w:p>
    <w:p w14:paraId="16B6653A">
      <w:pPr>
        <w:rPr>
          <w:rFonts w:ascii="仿宋_GB2312" w:eastAsia="仿宋_GB2312"/>
          <w:sz w:val="32"/>
          <w:szCs w:val="32"/>
        </w:rPr>
      </w:pPr>
      <w:r>
        <w:rPr>
          <w:rFonts w:hint="eastAsia" w:ascii="仿宋_GB2312" w:eastAsia="仿宋_GB2312"/>
          <w:sz w:val="32"/>
          <w:szCs w:val="32"/>
        </w:rPr>
        <w:br w:type="page"/>
      </w:r>
    </w:p>
    <w:p w14:paraId="6E5616D1">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77B64B54">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06A3A860">
      <w:pPr>
        <w:ind w:firstLine="640" w:firstLineChars="200"/>
        <w:jc w:val="left"/>
        <w:rPr>
          <w:rFonts w:ascii="仿宋_GB2312" w:eastAsia="仿宋_GB2312"/>
          <w:sz w:val="32"/>
          <w:szCs w:val="32"/>
        </w:rPr>
      </w:pPr>
      <w:r>
        <w:rPr>
          <w:rFonts w:hint="eastAsia" w:ascii="仿宋_GB2312" w:eastAsia="仿宋_GB2312"/>
          <w:sz w:val="32"/>
          <w:szCs w:val="32"/>
        </w:rPr>
        <w:t>1、受区委、区人民政府委托，统一领导和管理辖区党务、行政和社会事务工作，促进片区和谐发展；</w:t>
      </w:r>
    </w:p>
    <w:p w14:paraId="4F7F2CBD">
      <w:pPr>
        <w:ind w:firstLine="640" w:firstLineChars="200"/>
        <w:jc w:val="left"/>
        <w:rPr>
          <w:rFonts w:ascii="仿宋_GB2312" w:eastAsia="仿宋_GB2312"/>
          <w:sz w:val="32"/>
          <w:szCs w:val="32"/>
        </w:rPr>
      </w:pPr>
      <w:r>
        <w:rPr>
          <w:rFonts w:hint="eastAsia" w:ascii="仿宋_GB2312" w:eastAsia="仿宋_GB2312"/>
          <w:sz w:val="32"/>
          <w:szCs w:val="32"/>
        </w:rPr>
        <w:t>2、拟订片区发展规划，提出强化“两个机制”、夯实基层基础工作的建议和措施，并组织实施；</w:t>
      </w:r>
    </w:p>
    <w:p w14:paraId="5CE41B89">
      <w:pPr>
        <w:ind w:firstLine="640" w:firstLineChars="200"/>
        <w:jc w:val="left"/>
        <w:rPr>
          <w:rFonts w:ascii="仿宋_GB2312" w:eastAsia="仿宋_GB2312"/>
          <w:sz w:val="32"/>
          <w:szCs w:val="32"/>
        </w:rPr>
      </w:pPr>
      <w:r>
        <w:rPr>
          <w:rFonts w:hint="eastAsia" w:ascii="仿宋_GB2312" w:eastAsia="仿宋_GB2312"/>
          <w:sz w:val="32"/>
          <w:szCs w:val="32"/>
        </w:rPr>
        <w:t>3、统筹整合辖区行政资源、社会资源和公共服务资源，综合协调相关职能部门和驻区企事业单位，为辖区商户、居民提供民生保障、社会治安、城市管理等综合服务；</w:t>
      </w:r>
    </w:p>
    <w:p w14:paraId="36013E8C">
      <w:pPr>
        <w:ind w:firstLine="640" w:firstLineChars="200"/>
        <w:jc w:val="left"/>
        <w:rPr>
          <w:rFonts w:ascii="仿宋_GB2312" w:eastAsia="仿宋_GB2312"/>
          <w:sz w:val="32"/>
          <w:szCs w:val="32"/>
        </w:rPr>
      </w:pPr>
      <w:r>
        <w:rPr>
          <w:rFonts w:hint="eastAsia" w:ascii="仿宋_GB2312" w:eastAsia="仿宋_GB2312"/>
          <w:sz w:val="32"/>
          <w:szCs w:val="32"/>
        </w:rPr>
        <w:t>4、对相关职能部门和驻区企事业单位履行社会管理和公共服务职能情况进行监督、检查和考核；</w:t>
      </w:r>
    </w:p>
    <w:p w14:paraId="2774DC04">
      <w:pPr>
        <w:ind w:firstLine="640" w:firstLineChars="200"/>
        <w:jc w:val="left"/>
        <w:rPr>
          <w:rFonts w:ascii="仿宋_GB2312" w:eastAsia="仿宋_GB2312"/>
          <w:sz w:val="32"/>
          <w:szCs w:val="32"/>
        </w:rPr>
      </w:pPr>
      <w:r>
        <w:rPr>
          <w:rFonts w:hint="eastAsia" w:ascii="仿宋_GB2312" w:eastAsia="仿宋_GB2312"/>
          <w:sz w:val="32"/>
          <w:szCs w:val="32"/>
        </w:rPr>
        <w:t>5、承办区委、区人民政府交办的其他事项。</w:t>
      </w:r>
    </w:p>
    <w:p w14:paraId="49293ABA">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4DBED107">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乌鲁木齐市米东区永祥街片区管理委员会2023年度，实有人数</w:t>
      </w:r>
      <w:r>
        <w:rPr>
          <w:rFonts w:hint="eastAsia" w:ascii="仿宋_GB2312" w:eastAsia="仿宋_GB2312"/>
          <w:sz w:val="32"/>
          <w:szCs w:val="32"/>
          <w:lang w:val="zh-CN"/>
        </w:rPr>
        <w:t>100</w:t>
      </w:r>
      <w:r>
        <w:rPr>
          <w:rFonts w:hint="eastAsia" w:ascii="仿宋_GB2312" w:eastAsia="仿宋_GB2312"/>
          <w:sz w:val="32"/>
          <w:szCs w:val="32"/>
        </w:rPr>
        <w:t>人，其中：在职人员</w:t>
      </w:r>
      <w:r>
        <w:rPr>
          <w:rFonts w:hint="eastAsia" w:ascii="仿宋_GB2312" w:eastAsia="仿宋_GB2312"/>
          <w:sz w:val="32"/>
          <w:szCs w:val="32"/>
          <w:lang w:val="zh-CN"/>
        </w:rPr>
        <w:t>98</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w:t>
      </w:r>
      <w:r>
        <w:rPr>
          <w:rFonts w:hint="eastAsia" w:ascii="仿宋_GB2312" w:eastAsia="仿宋_GB2312"/>
          <w:sz w:val="32"/>
          <w:szCs w:val="32"/>
        </w:rPr>
        <w:t>人。</w:t>
      </w:r>
    </w:p>
    <w:p w14:paraId="27A2946D">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党群服务中心、社会事务（统计）服务中心（退役军人服务站）、综治中心（网格化服务中心）、城市管理综合行政执法中心、防疫专员办公室（公共卫生服务指导中心）。</w:t>
      </w:r>
    </w:p>
    <w:p w14:paraId="28F79557">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3D28FD2D">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688587A1">
      <w:pPr>
        <w:ind w:firstLine="640" w:firstLineChars="200"/>
        <w:jc w:val="left"/>
        <w:rPr>
          <w:rFonts w:ascii="仿宋_GB2312" w:eastAsia="仿宋_GB2312"/>
          <w:sz w:val="32"/>
          <w:szCs w:val="32"/>
        </w:rPr>
      </w:pPr>
      <w:r>
        <w:rPr>
          <w:rFonts w:hint="eastAsia" w:ascii="仿宋_GB2312" w:eastAsia="仿宋_GB2312"/>
          <w:sz w:val="32"/>
          <w:szCs w:val="32"/>
        </w:rPr>
        <w:t>2023年度收入总计2,310.95万元，其中：本年收入合计2,287.78万元，使用非财政拨款结余0.00万元，年初结转和结余23.17万元。</w:t>
      </w:r>
    </w:p>
    <w:p w14:paraId="65B114FC">
      <w:pPr>
        <w:ind w:firstLine="640" w:firstLineChars="200"/>
        <w:jc w:val="left"/>
        <w:rPr>
          <w:rFonts w:ascii="仿宋_GB2312" w:eastAsia="仿宋_GB2312"/>
          <w:sz w:val="32"/>
          <w:szCs w:val="32"/>
        </w:rPr>
      </w:pPr>
      <w:r>
        <w:rPr>
          <w:rFonts w:hint="eastAsia" w:ascii="仿宋_GB2312" w:eastAsia="仿宋_GB2312"/>
          <w:sz w:val="32"/>
          <w:szCs w:val="32"/>
        </w:rPr>
        <w:t>2023年度支出总计2,310.95万元，其中：本年支出合计2,310.95万元，结余分配0.00万元，年末结转和结余0.00万元。</w:t>
      </w:r>
    </w:p>
    <w:p w14:paraId="557EFE28">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减少937.97万元</w:t>
      </w:r>
      <w:r>
        <w:rPr>
          <w:rFonts w:hint="eastAsia" w:ascii="仿宋_GB2312" w:eastAsia="仿宋_GB2312"/>
          <w:sz w:val="32"/>
          <w:szCs w:val="32"/>
        </w:rPr>
        <w:t>，下降28.87%，主要原因是：本年便民服务站归分局管理，因此经费减少。</w:t>
      </w:r>
    </w:p>
    <w:p w14:paraId="03E932FB">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2455709F">
      <w:pPr>
        <w:ind w:firstLine="640" w:firstLineChars="200"/>
        <w:jc w:val="left"/>
        <w:rPr>
          <w:rFonts w:ascii="仿宋_GB2312" w:eastAsia="仿宋_GB2312"/>
          <w:sz w:val="32"/>
          <w:szCs w:val="32"/>
        </w:rPr>
      </w:pPr>
      <w:r>
        <w:rPr>
          <w:rFonts w:hint="eastAsia" w:ascii="仿宋_GB2312" w:eastAsia="仿宋_GB2312"/>
          <w:sz w:val="32"/>
          <w:szCs w:val="32"/>
        </w:rPr>
        <w:t>本年收入2,287.78万元，其中：财政拨款收入</w:t>
      </w:r>
      <w:r>
        <w:rPr>
          <w:rFonts w:hint="eastAsia" w:ascii="仿宋_GB2312" w:eastAsia="仿宋_GB2312"/>
          <w:sz w:val="32"/>
          <w:szCs w:val="32"/>
          <w:lang w:val="zh-CN"/>
        </w:rPr>
        <w:t>2,287.78</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7CCE4865">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10BC3338">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本年支出2,310.95万元，其中：基本支出2,310.95万元，占100.00%；项目支出0.00万元，占0.00%；上缴上级支出0.00万元，占0.00%；经营支出0.00万元，占0.00%；对附属单位补助支出0.00万元，占0.00%。</w:t>
      </w:r>
    </w:p>
    <w:p w14:paraId="1F05ADCF">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37E99619">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2,310.95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23.17</w:t>
      </w:r>
      <w:r>
        <w:rPr>
          <w:rFonts w:hint="eastAsia" w:ascii="仿宋_GB2312" w:eastAsia="仿宋_GB2312"/>
          <w:sz w:val="32"/>
          <w:szCs w:val="32"/>
        </w:rPr>
        <w:t>万元，本年财政拨款收入</w:t>
      </w:r>
      <w:r>
        <w:rPr>
          <w:rFonts w:hint="eastAsia" w:ascii="仿宋_GB2312" w:eastAsia="仿宋_GB2312"/>
          <w:sz w:val="32"/>
          <w:szCs w:val="32"/>
          <w:lang w:val="zh-CN"/>
        </w:rPr>
        <w:t>2,287.78</w:t>
      </w:r>
      <w:r>
        <w:rPr>
          <w:rFonts w:hint="eastAsia" w:ascii="仿宋_GB2312" w:eastAsia="仿宋_GB2312"/>
          <w:sz w:val="32"/>
          <w:szCs w:val="32"/>
        </w:rPr>
        <w:t>万元。财政拨款支出总计</w:t>
      </w:r>
      <w:r>
        <w:rPr>
          <w:rFonts w:hint="eastAsia" w:ascii="仿宋_GB2312" w:eastAsia="仿宋_GB2312"/>
          <w:sz w:val="32"/>
          <w:szCs w:val="32"/>
          <w:lang w:val="zh-CN"/>
        </w:rPr>
        <w:t>2,310.95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2,310.95</w:t>
      </w:r>
      <w:r>
        <w:rPr>
          <w:rFonts w:hint="eastAsia" w:ascii="仿宋_GB2312" w:eastAsia="仿宋_GB2312"/>
          <w:sz w:val="32"/>
          <w:szCs w:val="32"/>
        </w:rPr>
        <w:t>万元。</w:t>
      </w:r>
    </w:p>
    <w:p w14:paraId="173003E4">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减少937.97万元</w:t>
      </w:r>
      <w:r>
        <w:rPr>
          <w:rFonts w:hint="eastAsia" w:ascii="仿宋_GB2312" w:eastAsia="仿宋_GB2312"/>
          <w:sz w:val="32"/>
          <w:szCs w:val="32"/>
        </w:rPr>
        <w:t>，下降28.87%,主要原因是：本年便民服务站归分局管理，因此经费减少。与年初预算相比，年初预算数</w:t>
      </w:r>
      <w:r>
        <w:rPr>
          <w:rFonts w:hint="eastAsia" w:ascii="仿宋_GB2312" w:eastAsia="仿宋_GB2312"/>
          <w:sz w:val="32"/>
          <w:szCs w:val="32"/>
          <w:lang w:val="zh-CN"/>
        </w:rPr>
        <w:t>2,433.53</w:t>
      </w:r>
      <w:r>
        <w:rPr>
          <w:rFonts w:hint="eastAsia" w:ascii="仿宋_GB2312" w:eastAsia="仿宋_GB2312"/>
          <w:sz w:val="32"/>
          <w:szCs w:val="32"/>
        </w:rPr>
        <w:t>万元，决算数</w:t>
      </w:r>
      <w:r>
        <w:rPr>
          <w:rFonts w:hint="eastAsia" w:ascii="仿宋_GB2312" w:eastAsia="仿宋_GB2312"/>
          <w:sz w:val="32"/>
          <w:szCs w:val="32"/>
          <w:lang w:val="zh-CN"/>
        </w:rPr>
        <w:t>2,310.95</w:t>
      </w:r>
      <w:r>
        <w:rPr>
          <w:rFonts w:hint="eastAsia" w:ascii="仿宋_GB2312" w:eastAsia="仿宋_GB2312"/>
          <w:sz w:val="32"/>
          <w:szCs w:val="32"/>
        </w:rPr>
        <w:t>万元，预决算差异率-5.04%，主要原因是：本年便民服务站归分局管理，因此预算减少。</w:t>
      </w:r>
    </w:p>
    <w:p w14:paraId="28120E42">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57B9B7F1">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0AD27AB6">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2023年度一般公共预算财政拨款支出2,310.95万元，占本年支出合计的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减少914.80万元</w:t>
      </w:r>
      <w:r>
        <w:rPr>
          <w:rFonts w:hint="eastAsia" w:ascii="仿宋_GB2312" w:eastAsia="仿宋_GB2312"/>
          <w:sz w:val="32"/>
          <w:szCs w:val="32"/>
        </w:rPr>
        <w:t>，下降28.36%,主要原因是：本年便民服务站归分局管理，因此经费减少。与年初预算相比，年初预算数</w:t>
      </w:r>
      <w:r>
        <w:rPr>
          <w:rFonts w:hint="eastAsia" w:ascii="仿宋_GB2312" w:eastAsia="仿宋_GB2312"/>
          <w:sz w:val="32"/>
          <w:szCs w:val="32"/>
          <w:lang w:val="zh-CN"/>
        </w:rPr>
        <w:t>2,433.53</w:t>
      </w:r>
      <w:r>
        <w:rPr>
          <w:rFonts w:hint="eastAsia" w:ascii="仿宋_GB2312" w:eastAsia="仿宋_GB2312"/>
          <w:sz w:val="32"/>
          <w:szCs w:val="32"/>
        </w:rPr>
        <w:t>万元，决算数</w:t>
      </w:r>
      <w:r>
        <w:rPr>
          <w:rFonts w:hint="eastAsia" w:ascii="仿宋_GB2312" w:eastAsia="仿宋_GB2312"/>
          <w:sz w:val="32"/>
          <w:szCs w:val="32"/>
          <w:lang w:val="zh-CN"/>
        </w:rPr>
        <w:t>2,310.95</w:t>
      </w:r>
      <w:r>
        <w:rPr>
          <w:rFonts w:hint="eastAsia" w:ascii="仿宋_GB2312" w:eastAsia="仿宋_GB2312"/>
          <w:sz w:val="32"/>
          <w:szCs w:val="32"/>
        </w:rPr>
        <w:t>万元，预决算差异率</w:t>
      </w:r>
      <w:r>
        <w:rPr>
          <w:rFonts w:hint="eastAsia" w:ascii="仿宋_GB2312" w:eastAsia="仿宋_GB2312"/>
          <w:sz w:val="32"/>
          <w:szCs w:val="32"/>
          <w:lang w:val="zh-CN"/>
        </w:rPr>
        <w:t>-5.04%</w:t>
      </w:r>
      <w:r>
        <w:rPr>
          <w:rFonts w:hint="eastAsia" w:ascii="仿宋_GB2312" w:eastAsia="仿宋_GB2312"/>
          <w:sz w:val="32"/>
          <w:szCs w:val="32"/>
        </w:rPr>
        <w:t>，主要原因是：本年便民服务站归分局管理，因此预算减少。</w:t>
      </w:r>
    </w:p>
    <w:p w14:paraId="47BA49A5">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50A81B41">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617.20</w:t>
      </w:r>
      <w:r>
        <w:rPr>
          <w:rFonts w:ascii="仿宋_GB2312" w:eastAsia="仿宋_GB2312"/>
          <w:kern w:val="2"/>
          <w:sz w:val="32"/>
          <w:szCs w:val="32"/>
          <w:lang w:val="zh-CN"/>
        </w:rPr>
        <w:t>万元，占</w:t>
      </w:r>
      <w:r>
        <w:rPr>
          <w:rFonts w:hint="eastAsia" w:ascii="仿宋_GB2312" w:eastAsia="仿宋_GB2312"/>
          <w:kern w:val="2"/>
          <w:sz w:val="32"/>
          <w:szCs w:val="32"/>
          <w:lang w:val="zh-CN"/>
        </w:rPr>
        <w:t>26.71%</w:t>
      </w:r>
      <w:r>
        <w:rPr>
          <w:rFonts w:ascii="仿宋_GB2312" w:eastAsia="仿宋_GB2312"/>
          <w:kern w:val="2"/>
          <w:sz w:val="32"/>
          <w:szCs w:val="32"/>
          <w:lang w:val="zh-CN"/>
        </w:rPr>
        <w:t>；</w:t>
      </w:r>
    </w:p>
    <w:p w14:paraId="7065386C">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1,692.30</w:t>
      </w:r>
      <w:r>
        <w:rPr>
          <w:rFonts w:ascii="仿宋_GB2312" w:eastAsia="仿宋_GB2312"/>
          <w:kern w:val="2"/>
          <w:sz w:val="32"/>
          <w:szCs w:val="32"/>
          <w:lang w:val="zh-CN"/>
        </w:rPr>
        <w:t>万元，占</w:t>
      </w:r>
      <w:r>
        <w:rPr>
          <w:rFonts w:hint="eastAsia" w:ascii="仿宋_GB2312" w:eastAsia="仿宋_GB2312"/>
          <w:kern w:val="2"/>
          <w:sz w:val="32"/>
          <w:szCs w:val="32"/>
          <w:lang w:val="zh-CN"/>
        </w:rPr>
        <w:t>73.23%</w:t>
      </w:r>
      <w:r>
        <w:rPr>
          <w:rFonts w:ascii="仿宋_GB2312" w:eastAsia="仿宋_GB2312"/>
          <w:kern w:val="2"/>
          <w:sz w:val="32"/>
          <w:szCs w:val="32"/>
          <w:lang w:val="zh-CN"/>
        </w:rPr>
        <w:t>；</w:t>
      </w:r>
    </w:p>
    <w:p w14:paraId="76327946">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1.45</w:t>
      </w:r>
      <w:r>
        <w:rPr>
          <w:rFonts w:ascii="仿宋_GB2312" w:eastAsia="仿宋_GB2312"/>
          <w:kern w:val="2"/>
          <w:sz w:val="32"/>
          <w:szCs w:val="32"/>
          <w:lang w:val="zh-CN"/>
        </w:rPr>
        <w:t>万元，占</w:t>
      </w:r>
      <w:r>
        <w:rPr>
          <w:rFonts w:hint="eastAsia" w:ascii="仿宋_GB2312" w:eastAsia="仿宋_GB2312"/>
          <w:kern w:val="2"/>
          <w:sz w:val="32"/>
          <w:szCs w:val="32"/>
          <w:lang w:val="zh-CN"/>
        </w:rPr>
        <w:t>0.06%。</w:t>
      </w:r>
    </w:p>
    <w:p w14:paraId="7849C986">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41C509F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1.一般公共服务支出（类）政府办公厅（室）及相关机构事务（款）机关服务（项）:支出决算数为392.92万元，比上年决算增加114.26万元，增长41.00%，主要原因是：</w:t>
      </w:r>
      <w:r>
        <w:rPr>
          <w:rFonts w:hint="eastAsia" w:ascii="仿宋_GB2312" w:hAnsi="仿宋_GB2312" w:eastAsia="仿宋_GB2312" w:cs="仿宋_GB2312"/>
          <w:sz w:val="32"/>
          <w:szCs w:val="32"/>
          <w:lang w:val="zh-CN"/>
        </w:rPr>
        <w:t>本年度新增工作人员，相应工资、津贴增加。</w:t>
      </w:r>
    </w:p>
    <w:p w14:paraId="3F1D604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2.一般公共服务支出（类）政府办公厅（室）及相关机构事务（款）行政运行（项）:支出决算数为219.64万元，比上年决算增加30.86万元，增长16.35%，主要原因是：</w:t>
      </w:r>
      <w:r>
        <w:rPr>
          <w:rFonts w:hint="eastAsia" w:ascii="仿宋_GB2312" w:hAnsi="仿宋_GB2312" w:eastAsia="仿宋_GB2312" w:cs="仿宋_GB2312"/>
          <w:sz w:val="32"/>
          <w:szCs w:val="32"/>
          <w:lang w:val="zh-CN"/>
        </w:rPr>
        <w:t>本年度新增工作人员，相应工资、津贴增加。</w:t>
      </w:r>
    </w:p>
    <w:p w14:paraId="6502E85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3.卫生健康支出（类）计划生育事务（款）计划生育服务（项）:支出决算数为1.45万元，比上年决算增加0.00万元，增长0.00%，主要原因是：</w:t>
      </w:r>
      <w:r>
        <w:rPr>
          <w:rFonts w:hint="eastAsia" w:ascii="仿宋_GB2312" w:hAnsi="仿宋_GB2312" w:eastAsia="仿宋_GB2312" w:cs="仿宋_GB2312"/>
          <w:sz w:val="32"/>
          <w:szCs w:val="32"/>
          <w:lang w:val="zh-CN"/>
        </w:rPr>
        <w:t>与上年对比无差异。</w:t>
      </w:r>
    </w:p>
    <w:p w14:paraId="3B994BE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4.一般公共服务支出（类）政协事务（款）行政运行（项）:支出决算数为4.65万元，比上年决算增加4.65万元，增长100%，主要原因是：</w:t>
      </w:r>
      <w:r>
        <w:rPr>
          <w:rFonts w:hint="eastAsia" w:ascii="仿宋_GB2312" w:hAnsi="仿宋_GB2312" w:eastAsia="仿宋_GB2312" w:cs="仿宋_GB2312"/>
          <w:sz w:val="32"/>
          <w:szCs w:val="32"/>
          <w:lang w:val="zh-CN"/>
        </w:rPr>
        <w:t>本年度新增工作人员，相应工资、津贴增加。</w:t>
      </w:r>
    </w:p>
    <w:p w14:paraId="0302542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5.社会保障和就业支出（类）民政管理事务（款）基层政权建设和社区治理（项）:支出决算数为1,692.30万元，比上年决算减少942.24万元，下降35.76%，主要原因是：</w:t>
      </w:r>
      <w:r>
        <w:rPr>
          <w:rFonts w:hint="eastAsia" w:ascii="仿宋_GB2312" w:eastAsia="仿宋_GB2312"/>
          <w:sz w:val="32"/>
          <w:szCs w:val="32"/>
        </w:rPr>
        <w:t>本年便民服务站归分局管理，因此经费减少</w:t>
      </w:r>
      <w:r>
        <w:rPr>
          <w:rFonts w:hint="eastAsia" w:ascii="仿宋_GB2312" w:hAnsi="仿宋_GB2312" w:eastAsia="仿宋_GB2312" w:cs="仿宋_GB2312"/>
          <w:sz w:val="32"/>
          <w:szCs w:val="32"/>
          <w:lang w:val="zh-CN"/>
        </w:rPr>
        <w:t>。</w:t>
      </w:r>
    </w:p>
    <w:p w14:paraId="0B64527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6.社会保障和就业支出（类）其他生活救助（款）其他城市生活救助（项）:支出决算数为0.00万元，比上年决算减少3.00万元，下降100%，主要原因是：</w:t>
      </w:r>
      <w:r>
        <w:rPr>
          <w:rFonts w:hint="eastAsia" w:ascii="仿宋_GB2312" w:hAnsi="仿宋_GB2312" w:eastAsia="仿宋_GB2312" w:cs="仿宋_GB2312"/>
          <w:sz w:val="32"/>
          <w:szCs w:val="32"/>
          <w:lang w:val="zh-CN"/>
        </w:rPr>
        <w:t>本年无临时救助工作，因此经费减少。</w:t>
      </w:r>
    </w:p>
    <w:p w14:paraId="22BB517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7.卫生健康支出（类）公共卫生（款）突发公共卫生事件应急处理（项）:支出决算数为0.00万元，比上年决算减少1.75万元，下降100%，主要原因是：</w:t>
      </w:r>
      <w:r>
        <w:rPr>
          <w:rFonts w:hint="eastAsia" w:ascii="仿宋_GB2312" w:hAnsi="仿宋_GB2312" w:eastAsia="仿宋_GB2312" w:cs="仿宋_GB2312"/>
          <w:sz w:val="32"/>
          <w:szCs w:val="32"/>
          <w:lang w:val="zh-CN"/>
        </w:rPr>
        <w:t>本年应急医疗物资购买减少。</w:t>
      </w:r>
    </w:p>
    <w:p w14:paraId="0731AE6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8.社会保障和就业支出（类）行政事业单位养老支出（款）机关事业单位基本养老保险缴费支出（项）:支出决算数为0.00万元，比上年决算减少117.56万元，下降100%，主要原因是：</w:t>
      </w:r>
      <w:r>
        <w:rPr>
          <w:rFonts w:hint="eastAsia" w:ascii="仿宋_GB2312" w:hAnsi="仿宋_GB2312" w:eastAsia="仿宋_GB2312" w:cs="仿宋_GB2312"/>
          <w:sz w:val="32"/>
          <w:szCs w:val="32"/>
          <w:lang w:val="zh-CN"/>
        </w:rPr>
        <w:t>本年养老保险未单独从此科目列支，相应经费在行政运行支出。</w:t>
      </w:r>
    </w:p>
    <w:p w14:paraId="17FC37AA">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41F04438">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2,310.95万元，其中：人员经费1,836.82万元，包括：基本工资、机关事业单位基本养老保险缴费、职工基本医疗保险缴费、公务员医疗补助缴费、其他社会保障缴费、住房公积金、其他工资福利支出、退休费。</w:t>
      </w:r>
    </w:p>
    <w:p w14:paraId="7D97EE1B">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474.13万元，包括：办公费、印刷费、咨询费、水费、电费、邮电费、取暖费、物业管理费、维修（护）费、租赁费、劳务费、工会经费、福利费、公务用车运行维护费、其他交通费用、其他商品和服务支出、办公设备购置。</w:t>
      </w:r>
    </w:p>
    <w:p w14:paraId="48967892">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4F9C4F2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“三公”经费支出1.45万元，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主要原因是：与上年对比无差异。其中：因公出国（境）费支出0.00万元，占0.00%，比上年增加0.00万元，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主要原因是：本年单位无此项支出；公务用车购置及运行维护费支出1.45万元，占100.00%，比上年增加0.00万元，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主要原因是：与上年对比无差异；公务接待费支出0.00万元，占0.00%，比上年增加0.00万元，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主要原因是：本年单位无此项支出。</w:t>
      </w:r>
    </w:p>
    <w:p w14:paraId="3A9499E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71E00E0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因公出国（境）费支出0.00万元，开支内容包括本年单位无此项支出。单位全年安排的因公出国（境）团组0个，因公出国（境）0人次。</w:t>
      </w:r>
    </w:p>
    <w:p w14:paraId="3B85F7DB">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1.45万元，其中：公务用车购置费0.00万元，公务用车运行维护费1.45万元。公务用车运行维护费开支内容包括公务用车燃油费、车辆维修维护费、保险费、过路费等。公务用车购置数0辆，公务用车保有量1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17辆，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原因是：差异车辆为一般业务用车16辆，车辆费用未使用财政拨款公务用车运行维护费支付。</w:t>
      </w:r>
    </w:p>
    <w:p w14:paraId="1D826F1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公务接待费0.00万元，开支内容包括本年单位无此项支出。单位全年安排的国内公务接待0批次，0人次。</w:t>
      </w:r>
    </w:p>
    <w:p w14:paraId="2FEC99B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预算数1.45万元，决算数1.45万元，预决算差异率0.00%，主要原因是：预决算对比无差异。其中：因公出国（境）费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0.00万元，决算数0.00万元，预决算差异率0.00%，主要原因是：本年单位无此项支出；公务用车购置费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预算数0.00万元，决算数0.00万元，预决算差异率0.00%，主要原因是：本年单位无此项支出；公务用车运行费</w:t>
      </w:r>
      <w:r>
        <w:rPr>
          <w:rFonts w:hint="eastAsia" w:ascii="仿宋_GB2312" w:eastAsia="仿宋_GB2312"/>
          <w:sz w:val="32"/>
          <w:szCs w:val="32"/>
        </w:rPr>
        <w:t>全年</w:t>
      </w:r>
      <w:r>
        <w:rPr>
          <w:rFonts w:hint="eastAsia" w:ascii="仿宋_GB2312" w:eastAsia="仿宋_GB2312"/>
          <w:sz w:val="32"/>
          <w:szCs w:val="32"/>
          <w:lang w:val="zh-CN"/>
        </w:rPr>
        <w:t>预算数1.45万元，决算数1.45万元，预决算差异率0.00%，主要原因是：预决算对比无差异；公务接待费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预算数0.00万元，决算数0.00万元，预决算差异率0.00%，主要原因是：本年单位无此项支出。</w:t>
      </w:r>
    </w:p>
    <w:p w14:paraId="22D23C47">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3F9E88C6">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008CB44C">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1F30A858">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619DA0CE">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772EF359">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5F3A887A">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乌鲁木齐市米东区永祥街片区管理委员会（行政单位和参照公务员法管理事业单位）机关运行经费支出474.13万元，</w:t>
      </w:r>
      <w:r>
        <w:rPr>
          <w:rFonts w:hint="eastAsia" w:ascii="仿宋_GB2312" w:hAnsi="仿宋_GB2312" w:eastAsia="仿宋_GB2312" w:cs="仿宋_GB2312"/>
          <w:sz w:val="32"/>
          <w:szCs w:val="32"/>
          <w:lang w:val="zh-CN"/>
        </w:rPr>
        <w:t>比上年减少1,351.19万元，下降74.02%，主要原因是：</w:t>
      </w:r>
      <w:r>
        <w:rPr>
          <w:rFonts w:hint="eastAsia" w:ascii="仿宋_GB2312" w:eastAsia="仿宋_GB2312"/>
          <w:sz w:val="32"/>
          <w:szCs w:val="32"/>
        </w:rPr>
        <w:t>本年便民服务站归分局管理，因此经费减少</w:t>
      </w:r>
      <w:r>
        <w:rPr>
          <w:rFonts w:hint="eastAsia" w:ascii="仿宋_GB2312" w:hAnsi="仿宋_GB2312" w:eastAsia="仿宋_GB2312" w:cs="仿宋_GB2312"/>
          <w:sz w:val="32"/>
          <w:szCs w:val="32"/>
          <w:lang w:val="zh-CN"/>
        </w:rPr>
        <w:t>。</w:t>
      </w:r>
    </w:p>
    <w:p w14:paraId="0C1AE6E9">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7F192214">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2023年度政府采购支出总额14.48万元，其中：政府采购货物支出10.67万元、政府采购工程支出0.00万元、政府采购服务支出3.81万元。</w:t>
      </w:r>
    </w:p>
    <w:p w14:paraId="023D4444">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授予中小企业合同金额14.48万元，占政府采购支出总额的100.00%，其中：授予小微企业合同金额14.48万元，占政府采购支出总额的100.00%</w:t>
      </w:r>
      <w:r>
        <w:rPr>
          <w:rFonts w:hint="eastAsia" w:ascii="仿宋_GB2312" w:hAnsi="仿宋_GB2312" w:eastAsia="仿宋_GB2312" w:cs="仿宋_GB2312"/>
          <w:sz w:val="32"/>
          <w:szCs w:val="32"/>
        </w:rPr>
        <w:t>。</w:t>
      </w:r>
    </w:p>
    <w:p w14:paraId="0370A6DE">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13BE550A">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354.66</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屋0.00平方米，价值0.00万元。车辆17辆，价值95.21万元，其中：副部（省）级及以上领导用车0辆、主要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用车0辆、机要通信用车0辆、应急保障用车0辆、执法执勤用车2辆、特种专业技术用车0辆、离退休干部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用车0辆、其他用车15辆，其他用车主要是：单位业务用车；单价100万元（含）以上设备（不含车辆）0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07D1288F">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7E0DA88F">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2,310.95</w:t>
      </w:r>
      <w:r>
        <w:rPr>
          <w:rFonts w:hint="eastAsia" w:ascii="仿宋_GB2312" w:eastAsia="仿宋_GB2312"/>
          <w:sz w:val="32"/>
          <w:szCs w:val="32"/>
        </w:rPr>
        <w:t>万元，实际执行总额</w:t>
      </w:r>
      <w:r>
        <w:rPr>
          <w:rFonts w:ascii="仿宋_GB2312" w:eastAsia="仿宋_GB2312"/>
          <w:sz w:val="32"/>
          <w:szCs w:val="32"/>
        </w:rPr>
        <w:t>2,310.95</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具体项目自评情况附绩效自评表及自评报告。</w:t>
      </w:r>
    </w:p>
    <w:p w14:paraId="5821D68A">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253062F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01AA31DD">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51A114">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729D6610">
            <w:pPr>
              <w:jc w:val="center"/>
            </w:pPr>
            <w:r>
              <w:rPr>
                <w:rFonts w:ascii="宋体" w:hAnsi="宋体"/>
                <w:sz w:val="18"/>
              </w:rPr>
              <w:t>米东区永祥街道办事处</w:t>
            </w:r>
          </w:p>
        </w:tc>
        <w:tc>
          <w:tcPr>
            <w:tcW w:w="284" w:type="dxa"/>
            <w:tcBorders>
              <w:top w:val="nil"/>
              <w:left w:val="nil"/>
              <w:bottom w:val="nil"/>
              <w:right w:val="nil"/>
            </w:tcBorders>
            <w:shd w:val="clear" w:color="auto" w:fill="auto"/>
            <w:noWrap/>
            <w:vAlign w:val="center"/>
          </w:tcPr>
          <w:p w14:paraId="1B615FF0">
            <w:pPr>
              <w:widowControl/>
              <w:jc w:val="left"/>
              <w:rPr>
                <w:rFonts w:hint="eastAsia" w:ascii="宋体" w:hAnsi="宋体" w:cs="宋体"/>
                <w:b/>
                <w:bCs/>
                <w:kern w:val="0"/>
                <w:sz w:val="18"/>
                <w:szCs w:val="18"/>
              </w:rPr>
            </w:pPr>
          </w:p>
        </w:tc>
      </w:tr>
      <w:tr w14:paraId="3D774EBB">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479D2F">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4B66133A">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25FC86E4">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63CFA51A">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2FFDD334">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379C35ED">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7ECD9C3C">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30EFB384">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6C6A365">
            <w:pPr>
              <w:widowControl/>
              <w:jc w:val="center"/>
              <w:rPr>
                <w:rFonts w:hint="eastAsia" w:ascii="宋体" w:hAnsi="宋体" w:cs="宋体"/>
                <w:b/>
                <w:bCs/>
                <w:kern w:val="0"/>
                <w:sz w:val="18"/>
                <w:szCs w:val="18"/>
              </w:rPr>
            </w:pPr>
          </w:p>
        </w:tc>
      </w:tr>
      <w:tr w14:paraId="66B853CC">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5142B4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11CD50B6">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0C9E0AA5">
            <w:pPr>
              <w:jc w:val="center"/>
            </w:pPr>
            <w:r>
              <w:rPr>
                <w:rFonts w:ascii="宋体" w:hAnsi="宋体"/>
                <w:sz w:val="18"/>
              </w:rPr>
              <w:t>2,433.53</w:t>
            </w:r>
          </w:p>
        </w:tc>
        <w:tc>
          <w:tcPr>
            <w:tcW w:w="1134" w:type="dxa"/>
            <w:tcBorders>
              <w:top w:val="nil"/>
              <w:left w:val="nil"/>
              <w:bottom w:val="single" w:color="auto" w:sz="4" w:space="0"/>
              <w:right w:val="single" w:color="auto" w:sz="4" w:space="0"/>
            </w:tcBorders>
            <w:shd w:val="clear" w:color="auto" w:fill="auto"/>
            <w:vAlign w:val="center"/>
          </w:tcPr>
          <w:p w14:paraId="260B1C15">
            <w:pPr>
              <w:jc w:val="center"/>
            </w:pPr>
            <w:r>
              <w:rPr>
                <w:rFonts w:ascii="宋体" w:hAnsi="宋体"/>
                <w:sz w:val="18"/>
              </w:rPr>
              <w:t>2,310.95</w:t>
            </w:r>
          </w:p>
        </w:tc>
        <w:tc>
          <w:tcPr>
            <w:tcW w:w="2126" w:type="dxa"/>
            <w:tcBorders>
              <w:top w:val="nil"/>
              <w:left w:val="nil"/>
              <w:bottom w:val="single" w:color="auto" w:sz="4" w:space="0"/>
              <w:right w:val="single" w:color="auto" w:sz="4" w:space="0"/>
            </w:tcBorders>
            <w:shd w:val="clear" w:color="auto" w:fill="auto"/>
            <w:vAlign w:val="center"/>
          </w:tcPr>
          <w:p w14:paraId="134117B1">
            <w:pPr>
              <w:jc w:val="center"/>
            </w:pPr>
            <w:r>
              <w:rPr>
                <w:rFonts w:ascii="宋体" w:hAnsi="宋体"/>
                <w:sz w:val="18"/>
              </w:rPr>
              <w:t>2,310.95</w:t>
            </w:r>
          </w:p>
        </w:tc>
        <w:tc>
          <w:tcPr>
            <w:tcW w:w="1004" w:type="dxa"/>
            <w:tcBorders>
              <w:top w:val="nil"/>
              <w:left w:val="nil"/>
              <w:bottom w:val="single" w:color="auto" w:sz="4" w:space="0"/>
              <w:right w:val="single" w:color="auto" w:sz="4" w:space="0"/>
            </w:tcBorders>
            <w:shd w:val="clear" w:color="auto" w:fill="auto"/>
            <w:vAlign w:val="center"/>
          </w:tcPr>
          <w:p w14:paraId="43368E68">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1F0212F6">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2D9E1F6A">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2627FA41">
            <w:pPr>
              <w:widowControl/>
              <w:jc w:val="center"/>
              <w:rPr>
                <w:rFonts w:hint="eastAsia" w:ascii="宋体" w:hAnsi="宋体" w:cs="宋体"/>
                <w:b/>
                <w:bCs/>
                <w:kern w:val="0"/>
                <w:sz w:val="18"/>
                <w:szCs w:val="18"/>
              </w:rPr>
            </w:pPr>
          </w:p>
        </w:tc>
      </w:tr>
      <w:tr w14:paraId="58E90402">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8739E3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688728E">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0B9F6045">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C3CF0C2">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48ED3D6F">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505AA803">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0EC4904">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3B9F4B2">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4FED2D20">
            <w:pPr>
              <w:widowControl/>
              <w:jc w:val="center"/>
              <w:rPr>
                <w:rFonts w:hint="eastAsia" w:ascii="宋体" w:hAnsi="宋体" w:cs="宋体"/>
                <w:kern w:val="0"/>
                <w:sz w:val="18"/>
                <w:szCs w:val="18"/>
              </w:rPr>
            </w:pPr>
          </w:p>
        </w:tc>
      </w:tr>
      <w:tr w14:paraId="454E0606">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E4BA35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6C5CF38">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5DAB5B01">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1CF1008">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4FA6AE24">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48736D80">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0F3C99D9">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2E6E536">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0EF4181F">
            <w:pPr>
              <w:widowControl/>
              <w:jc w:val="center"/>
              <w:rPr>
                <w:rFonts w:hint="eastAsia" w:ascii="宋体" w:hAnsi="宋体" w:cs="宋体"/>
                <w:kern w:val="0"/>
                <w:sz w:val="18"/>
                <w:szCs w:val="18"/>
              </w:rPr>
            </w:pPr>
          </w:p>
        </w:tc>
      </w:tr>
      <w:tr w14:paraId="4C8FDA8A">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D49E6D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72913E7">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7DED6A4B">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813B64F">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4745C04D">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59EF2E6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7D3020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5008DC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14B9B42">
            <w:pPr>
              <w:widowControl/>
              <w:jc w:val="center"/>
              <w:rPr>
                <w:rFonts w:hint="eastAsia" w:ascii="宋体" w:hAnsi="宋体" w:cs="宋体"/>
                <w:kern w:val="0"/>
                <w:sz w:val="18"/>
                <w:szCs w:val="18"/>
              </w:rPr>
            </w:pPr>
          </w:p>
        </w:tc>
      </w:tr>
      <w:tr w14:paraId="52ECDB60">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5BFB66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6C468CC">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17F557D8">
            <w:pPr>
              <w:jc w:val="center"/>
            </w:pPr>
            <w:r>
              <w:rPr>
                <w:rFonts w:ascii="宋体" w:hAnsi="宋体"/>
                <w:sz w:val="18"/>
              </w:rPr>
              <w:t>2,433.53</w:t>
            </w:r>
          </w:p>
        </w:tc>
        <w:tc>
          <w:tcPr>
            <w:tcW w:w="1134" w:type="dxa"/>
            <w:tcBorders>
              <w:top w:val="nil"/>
              <w:left w:val="nil"/>
              <w:bottom w:val="single" w:color="auto" w:sz="4" w:space="0"/>
              <w:right w:val="single" w:color="auto" w:sz="4" w:space="0"/>
            </w:tcBorders>
            <w:shd w:val="clear" w:color="auto" w:fill="auto"/>
            <w:vAlign w:val="center"/>
          </w:tcPr>
          <w:p w14:paraId="3A37A501">
            <w:pPr>
              <w:jc w:val="center"/>
            </w:pPr>
            <w:r>
              <w:rPr>
                <w:rFonts w:ascii="宋体" w:hAnsi="宋体"/>
                <w:sz w:val="18"/>
              </w:rPr>
              <w:t>2,310.95</w:t>
            </w:r>
          </w:p>
        </w:tc>
        <w:tc>
          <w:tcPr>
            <w:tcW w:w="2126" w:type="dxa"/>
            <w:tcBorders>
              <w:top w:val="nil"/>
              <w:left w:val="nil"/>
              <w:bottom w:val="single" w:color="auto" w:sz="4" w:space="0"/>
              <w:right w:val="single" w:color="auto" w:sz="4" w:space="0"/>
            </w:tcBorders>
            <w:shd w:val="clear" w:color="auto" w:fill="auto"/>
            <w:vAlign w:val="center"/>
          </w:tcPr>
          <w:p w14:paraId="03C1DF4C">
            <w:pPr>
              <w:jc w:val="center"/>
            </w:pPr>
            <w:r>
              <w:rPr>
                <w:rFonts w:ascii="宋体" w:hAnsi="宋体"/>
                <w:sz w:val="18"/>
              </w:rPr>
              <w:t>2,310.95</w:t>
            </w:r>
          </w:p>
        </w:tc>
        <w:tc>
          <w:tcPr>
            <w:tcW w:w="1004" w:type="dxa"/>
            <w:tcBorders>
              <w:top w:val="nil"/>
              <w:left w:val="nil"/>
              <w:bottom w:val="single" w:color="auto" w:sz="4" w:space="0"/>
              <w:right w:val="single" w:color="auto" w:sz="4" w:space="0"/>
            </w:tcBorders>
            <w:shd w:val="clear" w:color="auto" w:fill="auto"/>
            <w:vAlign w:val="center"/>
          </w:tcPr>
          <w:p w14:paraId="3FA0287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E3D76D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704B12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A0D150A">
            <w:pPr>
              <w:widowControl/>
              <w:jc w:val="center"/>
              <w:rPr>
                <w:rFonts w:hint="eastAsia" w:ascii="宋体" w:hAnsi="宋体" w:cs="宋体"/>
                <w:kern w:val="0"/>
                <w:sz w:val="18"/>
                <w:szCs w:val="18"/>
              </w:rPr>
            </w:pPr>
          </w:p>
        </w:tc>
      </w:tr>
      <w:tr w14:paraId="7C3197EA">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3A8DB4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FF1E240">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5D81A3D0">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1765859">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44283CDA">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56B34DF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7C2BD3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4E2DC6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E2F0076">
            <w:pPr>
              <w:widowControl/>
              <w:jc w:val="center"/>
              <w:rPr>
                <w:rFonts w:hint="eastAsia" w:ascii="宋体" w:hAnsi="宋体" w:cs="宋体"/>
                <w:kern w:val="0"/>
                <w:sz w:val="18"/>
                <w:szCs w:val="18"/>
              </w:rPr>
            </w:pPr>
          </w:p>
        </w:tc>
      </w:tr>
      <w:tr w14:paraId="0405CEC9">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9DDF2D">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64877BDD">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3CA7C82B">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0BB6EF45">
            <w:pPr>
              <w:widowControl/>
              <w:jc w:val="left"/>
              <w:rPr>
                <w:rFonts w:hint="eastAsia" w:ascii="宋体" w:hAnsi="宋体" w:cs="宋体"/>
                <w:b/>
                <w:bCs/>
                <w:kern w:val="0"/>
                <w:sz w:val="18"/>
                <w:szCs w:val="18"/>
              </w:rPr>
            </w:pPr>
          </w:p>
        </w:tc>
      </w:tr>
      <w:tr w14:paraId="0E4785FE">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DDAA8A5">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7884A18C">
            <w:pPr>
              <w:jc w:val="left"/>
            </w:pPr>
            <w:r>
              <w:rPr>
                <w:rFonts w:ascii="宋体" w:hAnsi="宋体"/>
                <w:sz w:val="18"/>
              </w:rPr>
              <w:t>深入学习</w:t>
            </w:r>
            <w:r>
              <w:rPr>
                <w:rFonts w:hint="eastAsia" w:ascii="宋体" w:hAnsi="宋体"/>
                <w:sz w:val="18"/>
                <w:lang w:eastAsia="zh-CN"/>
              </w:rPr>
              <w:t>领会</w:t>
            </w:r>
            <w:bookmarkStart w:id="48" w:name="_GoBack"/>
            <w:bookmarkEnd w:id="48"/>
            <w:r>
              <w:rPr>
                <w:rFonts w:ascii="宋体" w:hAnsi="宋体"/>
                <w:sz w:val="18"/>
              </w:rPr>
              <w:t>党的二十大精神，保障机关、社区的党务、行政和社会事务等工作正常开展，保障单位坚定不移维护社会大局稳定、坚持不懈抓好安全生产、扎实做好精细化管理、落实民生保障改善营商环境、落实落细新时代党的建设总要求，促进辖区和谐发展。</w:t>
            </w:r>
          </w:p>
        </w:tc>
        <w:tc>
          <w:tcPr>
            <w:tcW w:w="4689" w:type="dxa"/>
            <w:gridSpan w:val="4"/>
            <w:tcBorders>
              <w:top w:val="single" w:color="auto" w:sz="4" w:space="0"/>
              <w:left w:val="nil"/>
              <w:bottom w:val="single" w:color="auto" w:sz="4" w:space="0"/>
              <w:right w:val="single" w:color="auto" w:sz="4" w:space="0"/>
            </w:tcBorders>
            <w:shd w:val="clear" w:color="auto" w:fill="auto"/>
          </w:tcPr>
          <w:p w14:paraId="13366F60">
            <w:pPr>
              <w:jc w:val="left"/>
            </w:pPr>
            <w:r>
              <w:rPr>
                <w:rFonts w:ascii="宋体" w:hAnsi="宋体"/>
                <w:sz w:val="18"/>
              </w:rPr>
              <w:t>1.深入学习党的二十大精神，以党建为引领，不断提升基层党组织凝聚力、向心力；2.以稳定为目标，发挥网格作用，落实落细基层治理工作措施；3.以安全为导向，警惕常在防范化解各类风险隐患。4.有效提升市场环境。清运市场内垃圾近6300吨，劝导整改占道经营商户近43万处，清理小广告“牛皮癣”18923处；5.引进新增市场主体508家，带动就业491人；6.打造商贸服务型创业社区。联合打造华成、华瑞、华裕及象新社区高品质、现代化商贸服务型社区，商业面积共162.19万平方米，其中人均商业面积77.26平方米，惠及居民群众13637人。</w:t>
            </w:r>
          </w:p>
        </w:tc>
        <w:tc>
          <w:tcPr>
            <w:tcW w:w="284" w:type="dxa"/>
            <w:tcBorders>
              <w:top w:val="nil"/>
              <w:left w:val="nil"/>
              <w:bottom w:val="nil"/>
              <w:right w:val="nil"/>
            </w:tcBorders>
            <w:shd w:val="clear" w:color="auto" w:fill="auto"/>
            <w:noWrap/>
            <w:vAlign w:val="center"/>
          </w:tcPr>
          <w:p w14:paraId="2A5B5E90">
            <w:pPr>
              <w:widowControl/>
              <w:jc w:val="left"/>
              <w:rPr>
                <w:rFonts w:hint="eastAsia" w:ascii="宋体" w:hAnsi="宋体" w:cs="宋体"/>
                <w:kern w:val="0"/>
                <w:sz w:val="18"/>
                <w:szCs w:val="18"/>
              </w:rPr>
            </w:pPr>
          </w:p>
        </w:tc>
      </w:tr>
      <w:tr w14:paraId="17803532">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68EC2648">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46857D29">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0A1F620B">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7100F2CB">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4C6F5BCB">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672152EF">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04779303">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7A4F9B0D">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5AFC2E11">
            <w:pPr>
              <w:widowControl/>
              <w:jc w:val="left"/>
              <w:rPr>
                <w:rFonts w:hint="eastAsia" w:ascii="宋体" w:hAnsi="宋体" w:cs="宋体"/>
                <w:b/>
                <w:bCs/>
                <w:kern w:val="0"/>
                <w:sz w:val="18"/>
                <w:szCs w:val="18"/>
              </w:rPr>
            </w:pPr>
          </w:p>
        </w:tc>
      </w:tr>
      <w:tr w14:paraId="5B9280D1">
        <w:tblPrEx>
          <w:tblCellMar>
            <w:top w:w="0" w:type="dxa"/>
            <w:left w:w="108" w:type="dxa"/>
            <w:bottom w:w="0" w:type="dxa"/>
            <w:right w:w="108" w:type="dxa"/>
          </w:tblCellMar>
        </w:tblPrEx>
        <w:trPr>
          <w:trHeight w:val="74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856BAC">
            <w:pPr>
              <w:jc w:val="center"/>
            </w:pPr>
            <w:r>
              <w:rPr>
                <w:rFonts w:ascii="宋体" w:hAnsi="宋体"/>
                <w:sz w:val="18"/>
              </w:rPr>
              <w:t>管理效率</w:t>
            </w:r>
          </w:p>
        </w:tc>
        <w:tc>
          <w:tcPr>
            <w:tcW w:w="1417" w:type="dxa"/>
            <w:vMerge w:val="restart"/>
            <w:tcBorders>
              <w:top w:val="nil"/>
              <w:left w:val="nil"/>
              <w:bottom w:val="single" w:color="auto" w:sz="4" w:space="0"/>
              <w:right w:val="single" w:color="auto" w:sz="4" w:space="0"/>
            </w:tcBorders>
            <w:shd w:val="clear" w:color="auto" w:fill="auto"/>
            <w:noWrap/>
            <w:vAlign w:val="center"/>
          </w:tcPr>
          <w:p w14:paraId="15807B48">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7D062BCE">
            <w:pPr>
              <w:jc w:val="center"/>
            </w:pPr>
            <w:r>
              <w:rPr>
                <w:rFonts w:ascii="宋体" w:hAnsi="宋体"/>
                <w:sz w:val="18"/>
              </w:rPr>
              <w:t>营商环境整治巡查次数</w:t>
            </w:r>
          </w:p>
        </w:tc>
        <w:tc>
          <w:tcPr>
            <w:tcW w:w="1134" w:type="dxa"/>
            <w:tcBorders>
              <w:top w:val="nil"/>
              <w:left w:val="nil"/>
              <w:bottom w:val="single" w:color="auto" w:sz="4" w:space="0"/>
              <w:right w:val="single" w:color="auto" w:sz="4" w:space="0"/>
            </w:tcBorders>
            <w:shd w:val="clear" w:color="auto" w:fill="auto"/>
            <w:noWrap/>
            <w:vAlign w:val="center"/>
          </w:tcPr>
          <w:p w14:paraId="70CB75F1">
            <w:pPr>
              <w:jc w:val="center"/>
            </w:pPr>
            <w:r>
              <w:rPr>
                <w:rFonts w:ascii="宋体" w:hAnsi="宋体"/>
                <w:sz w:val="18"/>
              </w:rPr>
              <w:t>&gt;=365次</w:t>
            </w:r>
          </w:p>
        </w:tc>
        <w:tc>
          <w:tcPr>
            <w:tcW w:w="2126" w:type="dxa"/>
            <w:tcBorders>
              <w:top w:val="nil"/>
              <w:left w:val="nil"/>
              <w:bottom w:val="single" w:color="auto" w:sz="4" w:space="0"/>
              <w:right w:val="single" w:color="auto" w:sz="4" w:space="0"/>
            </w:tcBorders>
            <w:shd w:val="clear" w:color="auto" w:fill="auto"/>
            <w:noWrap/>
            <w:vAlign w:val="center"/>
          </w:tcPr>
          <w:p w14:paraId="4878A559">
            <w:pPr>
              <w:jc w:val="center"/>
            </w:pPr>
            <w:r>
              <w:rPr>
                <w:rFonts w:ascii="宋体" w:hAnsi="宋体"/>
                <w:sz w:val="18"/>
              </w:rPr>
              <w:t>永祥街片区华凌市场市容环境整治实施方案</w:t>
            </w:r>
          </w:p>
        </w:tc>
        <w:tc>
          <w:tcPr>
            <w:tcW w:w="1004" w:type="dxa"/>
            <w:tcBorders>
              <w:top w:val="nil"/>
              <w:left w:val="nil"/>
              <w:bottom w:val="single" w:color="auto" w:sz="4" w:space="0"/>
              <w:right w:val="single" w:color="auto" w:sz="4" w:space="0"/>
            </w:tcBorders>
            <w:shd w:val="clear" w:color="auto" w:fill="auto"/>
            <w:noWrap/>
            <w:vAlign w:val="center"/>
          </w:tcPr>
          <w:p w14:paraId="576C187A">
            <w:pPr>
              <w:jc w:val="center"/>
            </w:pPr>
            <w:r>
              <w:rPr>
                <w:rFonts w:ascii="宋体" w:hAnsi="宋体"/>
                <w:sz w:val="18"/>
              </w:rPr>
              <w:t>365次</w:t>
            </w:r>
          </w:p>
        </w:tc>
        <w:tc>
          <w:tcPr>
            <w:tcW w:w="839" w:type="dxa"/>
            <w:tcBorders>
              <w:top w:val="nil"/>
              <w:left w:val="nil"/>
              <w:bottom w:val="single" w:color="auto" w:sz="4" w:space="0"/>
              <w:right w:val="single" w:color="auto" w:sz="4" w:space="0"/>
            </w:tcBorders>
            <w:shd w:val="clear" w:color="auto" w:fill="auto"/>
            <w:noWrap/>
            <w:vAlign w:val="center"/>
          </w:tcPr>
          <w:p w14:paraId="68F3F5A8">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7224191A">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6DE3E9F0">
            <w:pPr>
              <w:widowControl/>
              <w:jc w:val="center"/>
              <w:rPr>
                <w:rFonts w:hint="eastAsia" w:ascii="宋体" w:hAnsi="宋体" w:cs="宋体"/>
                <w:kern w:val="0"/>
                <w:sz w:val="18"/>
                <w:szCs w:val="18"/>
              </w:rPr>
            </w:pPr>
          </w:p>
        </w:tc>
      </w:tr>
      <w:tr w14:paraId="41915DA4">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E64A9AB">
            <w:pPr>
              <w:jc w:val="center"/>
            </w:pPr>
            <w:r>
              <w:rPr>
                <w:rFonts w:ascii="宋体" w:hAnsi="宋体"/>
                <w:sz w:val="18"/>
              </w:rPr>
              <w:t>履职效能</w:t>
            </w:r>
          </w:p>
        </w:tc>
        <w:tc>
          <w:tcPr>
            <w:tcW w:w="1417" w:type="dxa"/>
            <w:vMerge w:val="continue"/>
            <w:tcBorders>
              <w:top w:val="nil"/>
              <w:left w:val="nil"/>
              <w:bottom w:val="single" w:color="auto" w:sz="4" w:space="0"/>
              <w:right w:val="single" w:color="auto" w:sz="4" w:space="0"/>
            </w:tcBorders>
            <w:shd w:val="clear" w:color="auto" w:fill="auto"/>
            <w:noWrap/>
            <w:vAlign w:val="center"/>
          </w:tcPr>
          <w:p w14:paraId="16CDD380">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13788D3">
            <w:pPr>
              <w:jc w:val="center"/>
            </w:pPr>
            <w:r>
              <w:rPr>
                <w:rFonts w:ascii="宋体" w:hAnsi="宋体"/>
                <w:sz w:val="18"/>
              </w:rPr>
              <w:t>辖区市场引进新商户个数</w:t>
            </w:r>
          </w:p>
        </w:tc>
        <w:tc>
          <w:tcPr>
            <w:tcW w:w="1134" w:type="dxa"/>
            <w:tcBorders>
              <w:top w:val="nil"/>
              <w:left w:val="nil"/>
              <w:bottom w:val="single" w:color="auto" w:sz="4" w:space="0"/>
              <w:right w:val="single" w:color="auto" w:sz="4" w:space="0"/>
            </w:tcBorders>
            <w:shd w:val="clear" w:color="auto" w:fill="auto"/>
            <w:noWrap/>
            <w:vAlign w:val="center"/>
          </w:tcPr>
          <w:p w14:paraId="7A88F0BF">
            <w:pPr>
              <w:jc w:val="center"/>
            </w:pPr>
            <w:r>
              <w:rPr>
                <w:rFonts w:ascii="宋体" w:hAnsi="宋体"/>
                <w:sz w:val="18"/>
              </w:rPr>
              <w:t>&gt;=500个</w:t>
            </w:r>
          </w:p>
        </w:tc>
        <w:tc>
          <w:tcPr>
            <w:tcW w:w="2126" w:type="dxa"/>
            <w:tcBorders>
              <w:top w:val="nil"/>
              <w:left w:val="nil"/>
              <w:bottom w:val="single" w:color="auto" w:sz="4" w:space="0"/>
              <w:right w:val="single" w:color="auto" w:sz="4" w:space="0"/>
            </w:tcBorders>
            <w:shd w:val="clear" w:color="auto" w:fill="auto"/>
            <w:noWrap/>
            <w:vAlign w:val="center"/>
          </w:tcPr>
          <w:p w14:paraId="7288D761">
            <w:pPr>
              <w:jc w:val="center"/>
            </w:pPr>
            <w:r>
              <w:rPr>
                <w:rFonts w:ascii="宋体" w:hAnsi="宋体"/>
                <w:sz w:val="18"/>
              </w:rPr>
              <w:t>永祥街片区2023年重点工作分解方案</w:t>
            </w:r>
          </w:p>
        </w:tc>
        <w:tc>
          <w:tcPr>
            <w:tcW w:w="1004" w:type="dxa"/>
            <w:tcBorders>
              <w:top w:val="nil"/>
              <w:left w:val="nil"/>
              <w:bottom w:val="single" w:color="auto" w:sz="4" w:space="0"/>
              <w:right w:val="single" w:color="auto" w:sz="4" w:space="0"/>
            </w:tcBorders>
            <w:shd w:val="clear" w:color="auto" w:fill="auto"/>
            <w:noWrap/>
            <w:vAlign w:val="center"/>
          </w:tcPr>
          <w:p w14:paraId="06BB9828">
            <w:pPr>
              <w:jc w:val="center"/>
            </w:pPr>
            <w:r>
              <w:rPr>
                <w:rFonts w:ascii="宋体" w:hAnsi="宋体"/>
                <w:sz w:val="18"/>
              </w:rPr>
              <w:t>508个</w:t>
            </w:r>
          </w:p>
        </w:tc>
        <w:tc>
          <w:tcPr>
            <w:tcW w:w="839" w:type="dxa"/>
            <w:tcBorders>
              <w:top w:val="nil"/>
              <w:left w:val="nil"/>
              <w:bottom w:val="single" w:color="auto" w:sz="4" w:space="0"/>
              <w:right w:val="single" w:color="auto" w:sz="4" w:space="0"/>
            </w:tcBorders>
            <w:shd w:val="clear" w:color="auto" w:fill="auto"/>
            <w:noWrap/>
            <w:vAlign w:val="center"/>
          </w:tcPr>
          <w:p w14:paraId="65C8EA01">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67C62065">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6D5C272">
            <w:pPr>
              <w:widowControl/>
              <w:jc w:val="center"/>
              <w:rPr>
                <w:rFonts w:hint="eastAsia" w:ascii="宋体" w:hAnsi="宋体" w:cs="宋体"/>
                <w:kern w:val="0"/>
                <w:sz w:val="18"/>
                <w:szCs w:val="18"/>
              </w:rPr>
            </w:pPr>
          </w:p>
        </w:tc>
      </w:tr>
      <w:tr w14:paraId="05CB71F2">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0C22856">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39210DB">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59D8272">
            <w:pPr>
              <w:jc w:val="center"/>
            </w:pPr>
            <w:r>
              <w:rPr>
                <w:rFonts w:ascii="宋体" w:hAnsi="宋体"/>
                <w:sz w:val="18"/>
              </w:rPr>
              <w:t>2023年打造创业社区数量</w:t>
            </w:r>
          </w:p>
        </w:tc>
        <w:tc>
          <w:tcPr>
            <w:tcW w:w="1134" w:type="dxa"/>
            <w:tcBorders>
              <w:top w:val="nil"/>
              <w:left w:val="nil"/>
              <w:bottom w:val="single" w:color="auto" w:sz="4" w:space="0"/>
              <w:right w:val="single" w:color="auto" w:sz="4" w:space="0"/>
            </w:tcBorders>
            <w:shd w:val="clear" w:color="auto" w:fill="auto"/>
            <w:noWrap/>
            <w:vAlign w:val="center"/>
          </w:tcPr>
          <w:p w14:paraId="06A20913">
            <w:pPr>
              <w:jc w:val="center"/>
            </w:pPr>
            <w:r>
              <w:rPr>
                <w:rFonts w:ascii="宋体" w:hAnsi="宋体"/>
                <w:sz w:val="18"/>
              </w:rPr>
              <w:t>=3个</w:t>
            </w:r>
          </w:p>
        </w:tc>
        <w:tc>
          <w:tcPr>
            <w:tcW w:w="2126" w:type="dxa"/>
            <w:tcBorders>
              <w:top w:val="nil"/>
              <w:left w:val="nil"/>
              <w:bottom w:val="single" w:color="auto" w:sz="4" w:space="0"/>
              <w:right w:val="single" w:color="auto" w:sz="4" w:space="0"/>
            </w:tcBorders>
            <w:shd w:val="clear" w:color="auto" w:fill="auto"/>
            <w:noWrap/>
            <w:vAlign w:val="center"/>
          </w:tcPr>
          <w:p w14:paraId="1142DBD5">
            <w:pPr>
              <w:jc w:val="center"/>
            </w:pPr>
            <w:r>
              <w:rPr>
                <w:rFonts w:ascii="宋体" w:hAnsi="宋体"/>
                <w:sz w:val="18"/>
              </w:rPr>
              <w:t>2023年永祥街片区创业社区建设实施方案</w:t>
            </w:r>
          </w:p>
        </w:tc>
        <w:tc>
          <w:tcPr>
            <w:tcW w:w="1004" w:type="dxa"/>
            <w:tcBorders>
              <w:top w:val="nil"/>
              <w:left w:val="nil"/>
              <w:bottom w:val="single" w:color="auto" w:sz="4" w:space="0"/>
              <w:right w:val="single" w:color="auto" w:sz="4" w:space="0"/>
            </w:tcBorders>
            <w:shd w:val="clear" w:color="auto" w:fill="auto"/>
            <w:noWrap/>
            <w:vAlign w:val="center"/>
          </w:tcPr>
          <w:p w14:paraId="4CF845DE">
            <w:pPr>
              <w:jc w:val="center"/>
            </w:pPr>
            <w:r>
              <w:rPr>
                <w:rFonts w:ascii="宋体" w:hAnsi="宋体"/>
                <w:sz w:val="18"/>
              </w:rPr>
              <w:t>3个</w:t>
            </w:r>
          </w:p>
        </w:tc>
        <w:tc>
          <w:tcPr>
            <w:tcW w:w="839" w:type="dxa"/>
            <w:tcBorders>
              <w:top w:val="nil"/>
              <w:left w:val="nil"/>
              <w:bottom w:val="single" w:color="auto" w:sz="4" w:space="0"/>
              <w:right w:val="single" w:color="auto" w:sz="4" w:space="0"/>
            </w:tcBorders>
            <w:shd w:val="clear" w:color="auto" w:fill="auto"/>
            <w:noWrap/>
            <w:vAlign w:val="center"/>
          </w:tcPr>
          <w:p w14:paraId="6B9D42C7">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0B17CED2">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2B6611F3">
            <w:pPr>
              <w:widowControl/>
              <w:jc w:val="center"/>
              <w:rPr>
                <w:rFonts w:hint="eastAsia" w:ascii="宋体" w:hAnsi="宋体" w:cs="宋体"/>
                <w:kern w:val="0"/>
                <w:sz w:val="18"/>
                <w:szCs w:val="18"/>
              </w:rPr>
            </w:pPr>
          </w:p>
        </w:tc>
      </w:tr>
      <w:tr w14:paraId="3E8E95C0">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68DEFC25">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4D7C103A">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2B87536B">
            <w:pPr>
              <w:jc w:val="center"/>
            </w:pPr>
            <w:r>
              <w:rPr>
                <w:rFonts w:ascii="宋体" w:hAnsi="宋体"/>
                <w:sz w:val="18"/>
              </w:rPr>
              <w:t>100分</w:t>
            </w:r>
          </w:p>
        </w:tc>
        <w:tc>
          <w:tcPr>
            <w:tcW w:w="284" w:type="dxa"/>
            <w:tcBorders>
              <w:top w:val="nil"/>
              <w:left w:val="nil"/>
              <w:bottom w:val="nil"/>
              <w:right w:val="nil"/>
            </w:tcBorders>
            <w:shd w:val="clear" w:color="auto" w:fill="auto"/>
            <w:noWrap/>
            <w:vAlign w:val="center"/>
          </w:tcPr>
          <w:p w14:paraId="0197FB41">
            <w:pPr>
              <w:widowControl/>
              <w:jc w:val="left"/>
              <w:rPr>
                <w:rFonts w:hint="eastAsia" w:ascii="宋体" w:hAnsi="宋体" w:cs="宋体"/>
                <w:kern w:val="0"/>
                <w:sz w:val="18"/>
                <w:szCs w:val="18"/>
              </w:rPr>
            </w:pPr>
          </w:p>
        </w:tc>
      </w:tr>
    </w:tbl>
    <w:p w14:paraId="53982590">
      <w:pPr>
        <w:ind w:firstLine="640" w:firstLineChars="200"/>
        <w:jc w:val="left"/>
        <w:rPr>
          <w:rFonts w:hint="eastAsia" w:ascii="黑体" w:hAnsi="黑体" w:eastAsia="黑体" w:cs="宋体"/>
          <w:bCs/>
          <w:kern w:val="0"/>
          <w:sz w:val="32"/>
          <w:szCs w:val="32"/>
        </w:rPr>
      </w:pPr>
    </w:p>
    <w:p w14:paraId="79CD4AD3">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br w:type="column"/>
      </w:r>
      <w:r>
        <w:rPr>
          <w:rFonts w:hint="eastAsia" w:ascii="黑体" w:hAnsi="黑体" w:eastAsia="黑体" w:cs="宋体"/>
          <w:bCs/>
          <w:kern w:val="0"/>
          <w:sz w:val="32"/>
          <w:szCs w:val="32"/>
        </w:rPr>
        <w:t>十二、其他需说明的事项</w:t>
      </w:r>
    </w:p>
    <w:p w14:paraId="53BC6847">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60279B8E">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6A877F6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B2FBD6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2182059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141D3E5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40EE145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088FC51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0E8901F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391DF95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DF33B7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073C712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4CD14B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3A9FC75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1EAFCDF8">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97D69C0">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3B4ECF9B">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597F3384">
      <w:pPr>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14:paraId="7FE8305B">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14:paraId="0994185C">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14:paraId="11773A4C">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260423EB">
      <w:pPr>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14:paraId="07E2AB97">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14:paraId="1DDD82B2">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55EB9B0A">
      <w:pPr>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14:paraId="4AA7A733">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1CC61DD4">
      <w:pPr>
        <w:ind w:firstLine="640" w:firstLineChars="200"/>
        <w:rPr>
          <w:rFonts w:ascii="仿宋_GB2312" w:eastAsia="仿宋_GB2312"/>
          <w:sz w:val="32"/>
          <w:szCs w:val="32"/>
        </w:rPr>
      </w:pPr>
    </w:p>
    <w:p w14:paraId="777320BC">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736A8">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DDA9F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50DDA9F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3F58FB"/>
    <w:rsid w:val="001377E7"/>
    <w:rsid w:val="00213C59"/>
    <w:rsid w:val="002C6B26"/>
    <w:rsid w:val="003210CE"/>
    <w:rsid w:val="00323924"/>
    <w:rsid w:val="003E7F5D"/>
    <w:rsid w:val="003F58FB"/>
    <w:rsid w:val="00634EB3"/>
    <w:rsid w:val="007271DA"/>
    <w:rsid w:val="00787B6C"/>
    <w:rsid w:val="00807D62"/>
    <w:rsid w:val="009B22C9"/>
    <w:rsid w:val="009E7A27"/>
    <w:rsid w:val="00A750AC"/>
    <w:rsid w:val="00AB74E5"/>
    <w:rsid w:val="00B70D59"/>
    <w:rsid w:val="00BA514C"/>
    <w:rsid w:val="00BF30EE"/>
    <w:rsid w:val="00DB3A4A"/>
    <w:rsid w:val="00ED2479"/>
    <w:rsid w:val="00F03B3C"/>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3B4259"/>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paragraph" w:styleId="15">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1186</Words>
  <Characters>6766</Characters>
  <Lines>56</Lines>
  <Paragraphs>15</Paragraphs>
  <TotalTime>24</TotalTime>
  <ScaleCrop>false</ScaleCrop>
  <LinksUpToDate>false</LinksUpToDate>
  <CharactersWithSpaces>7937</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2024-11-19T08:49:36Z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