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中共乌鲁木齐市米东区委员会直属机关工作委员会</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r>
        <w:rPr>
          <w:rFonts w:hint="eastAsia" w:ascii="仿宋_GB2312" w:eastAsia="仿宋_GB2312"/>
          <w:sz w:val="32"/>
          <w:szCs w:val="32"/>
        </w:rPr>
        <w:t>（一）统一组织、规划、部署区直机关党的工作，提出加强和改进机关党的建设的意见和建议，研究制定工作规划，并抓好组织实施；</w:t>
      </w:r>
    </w:p>
    <w:p>
      <w:pPr>
        <w:ind w:firstLine="640" w:firstLineChars="200"/>
        <w:jc w:val="left"/>
        <w:rPr>
          <w:rFonts w:ascii="仿宋_GB2312" w:eastAsia="仿宋_GB2312"/>
          <w:sz w:val="32"/>
          <w:szCs w:val="32"/>
        </w:rPr>
      </w:pPr>
      <w:r>
        <w:rPr>
          <w:rFonts w:hint="eastAsia" w:ascii="仿宋_GB2312" w:eastAsia="仿宋_GB2312"/>
          <w:sz w:val="32"/>
          <w:szCs w:val="32"/>
        </w:rPr>
        <w:t>（二）指导督促区直机关党组织认真履行机关党建主体责任，指导区直机关党的政治建设、思想建设、组织建设、作风建设、纪律建设，把制度建设贯穿其中，深入推进反腐败斗争；</w:t>
      </w:r>
    </w:p>
    <w:p>
      <w:pPr>
        <w:ind w:firstLine="640" w:firstLineChars="200"/>
        <w:jc w:val="left"/>
        <w:rPr>
          <w:rFonts w:ascii="仿宋_GB2312" w:eastAsia="仿宋_GB2312"/>
          <w:sz w:val="32"/>
          <w:szCs w:val="32"/>
        </w:rPr>
      </w:pPr>
      <w:r>
        <w:rPr>
          <w:rFonts w:hint="eastAsia" w:ascii="仿宋_GB2312" w:eastAsia="仿宋_GB2312"/>
          <w:sz w:val="32"/>
          <w:szCs w:val="32"/>
        </w:rPr>
        <w:t>（三）指导区直机关各级党组织和广大党员学习马克思列宁主义、毛泽东思想、邓小平理论、“三个代表”重要思想、科学发展观、习近平新时代中国特色社会主义思想；</w:t>
      </w:r>
    </w:p>
    <w:p>
      <w:pPr>
        <w:ind w:firstLine="640" w:firstLineChars="200"/>
        <w:jc w:val="left"/>
        <w:rPr>
          <w:rFonts w:ascii="仿宋_GB2312" w:eastAsia="仿宋_GB2312"/>
          <w:sz w:val="32"/>
          <w:szCs w:val="32"/>
        </w:rPr>
      </w:pPr>
      <w:r>
        <w:rPr>
          <w:rFonts w:hint="eastAsia" w:ascii="仿宋_GB2312" w:eastAsia="仿宋_GB2312"/>
          <w:sz w:val="32"/>
          <w:szCs w:val="32"/>
        </w:rPr>
        <w:t>（四）对区直机关各级党组织、党员领导干部落实党建责任制、遵守政治纪律和政治规矩情况进行监督检查，并向区委报告；</w:t>
      </w:r>
    </w:p>
    <w:p>
      <w:pPr>
        <w:ind w:firstLine="640" w:firstLineChars="200"/>
        <w:jc w:val="left"/>
        <w:rPr>
          <w:rFonts w:ascii="仿宋_GB2312" w:eastAsia="仿宋_GB2312"/>
          <w:sz w:val="32"/>
          <w:szCs w:val="32"/>
        </w:rPr>
      </w:pPr>
      <w:r>
        <w:rPr>
          <w:rFonts w:hint="eastAsia" w:ascii="仿宋_GB2312" w:eastAsia="仿宋_GB2312"/>
          <w:sz w:val="32"/>
          <w:szCs w:val="32"/>
        </w:rPr>
        <w:t>（五）指导区直机关各级党组织实施对党员特别是党员领导干部的监督和管理，及时向区委反映各部门领导班子、领导干部的情况；</w:t>
      </w:r>
    </w:p>
    <w:p>
      <w:pPr>
        <w:ind w:firstLine="640" w:firstLineChars="200"/>
        <w:jc w:val="left"/>
        <w:rPr>
          <w:rFonts w:ascii="仿宋_GB2312" w:eastAsia="仿宋_GB2312"/>
          <w:sz w:val="32"/>
          <w:szCs w:val="32"/>
        </w:rPr>
      </w:pPr>
      <w:r>
        <w:rPr>
          <w:rFonts w:hint="eastAsia" w:ascii="仿宋_GB2312" w:eastAsia="仿宋_GB2312"/>
          <w:sz w:val="32"/>
          <w:szCs w:val="32"/>
        </w:rPr>
        <w:t>（六）配合有关部门抓好区直机关各部门领导班子思想政治建设，参与对党员领导干部民主生活会和党组织理论学习中心组学习的督促检查和指导，了解掌握情况，按规定报送报告，指导各基层党组织正常开展组织生活；</w:t>
      </w:r>
    </w:p>
    <w:p>
      <w:pPr>
        <w:ind w:firstLine="640" w:firstLineChars="200"/>
        <w:jc w:val="left"/>
        <w:rPr>
          <w:rFonts w:ascii="仿宋_GB2312" w:eastAsia="仿宋_GB2312"/>
          <w:sz w:val="32"/>
          <w:szCs w:val="32"/>
        </w:rPr>
      </w:pPr>
      <w:r>
        <w:rPr>
          <w:rFonts w:hint="eastAsia" w:ascii="仿宋_GB2312" w:eastAsia="仿宋_GB2312"/>
          <w:sz w:val="32"/>
          <w:szCs w:val="32"/>
        </w:rPr>
        <w:t>（七）督促指导区直机关各部门机关党组织按期换届，审批关于召开党员大会或党员代表大会的请示，审批区直机关各部门机关党组织和机关纪委领导班子的组成及书记、副书记的任免；</w:t>
      </w:r>
    </w:p>
    <w:p>
      <w:pPr>
        <w:ind w:firstLine="640" w:firstLineChars="200"/>
        <w:jc w:val="left"/>
        <w:rPr>
          <w:rFonts w:ascii="仿宋_GB2312" w:eastAsia="仿宋_GB2312"/>
          <w:sz w:val="32"/>
          <w:szCs w:val="32"/>
        </w:rPr>
      </w:pPr>
      <w:r>
        <w:rPr>
          <w:rFonts w:hint="eastAsia" w:ascii="仿宋_GB2312" w:eastAsia="仿宋_GB2312"/>
          <w:sz w:val="32"/>
          <w:szCs w:val="32"/>
        </w:rPr>
        <w:t>（八）指导各级党组织加强基层组织建设，做好党员发展、教育和管理等工作；</w:t>
      </w:r>
    </w:p>
    <w:p>
      <w:pPr>
        <w:ind w:firstLine="640" w:firstLineChars="200"/>
        <w:jc w:val="left"/>
        <w:rPr>
          <w:rFonts w:ascii="仿宋_GB2312" w:eastAsia="仿宋_GB2312"/>
          <w:sz w:val="32"/>
          <w:szCs w:val="32"/>
        </w:rPr>
      </w:pPr>
      <w:r>
        <w:rPr>
          <w:rFonts w:hint="eastAsia" w:ascii="仿宋_GB2312" w:eastAsia="仿宋_GB2312"/>
          <w:sz w:val="32"/>
          <w:szCs w:val="32"/>
        </w:rPr>
        <w:t>（九）领导区直机关各部门机关党的纪律检查工作；</w:t>
      </w:r>
    </w:p>
    <w:p>
      <w:pPr>
        <w:ind w:firstLine="640" w:firstLineChars="200"/>
        <w:jc w:val="left"/>
        <w:rPr>
          <w:rFonts w:ascii="仿宋_GB2312" w:eastAsia="仿宋_GB2312"/>
          <w:sz w:val="32"/>
          <w:szCs w:val="32"/>
        </w:rPr>
      </w:pPr>
      <w:r>
        <w:rPr>
          <w:rFonts w:hint="eastAsia" w:ascii="仿宋_GB2312" w:eastAsia="仿宋_GB2312"/>
          <w:sz w:val="32"/>
          <w:szCs w:val="32"/>
        </w:rPr>
        <w:t>（十）了解掌握区直机关工作人员的思想状况，指导区直机关各级党组织加强思想政治工作和精神文明建设，指导、协调、督促、检查各部门、单位开展机关文化建设工作；</w:t>
      </w:r>
    </w:p>
    <w:p>
      <w:pPr>
        <w:ind w:firstLine="640" w:firstLineChars="200"/>
        <w:jc w:val="left"/>
        <w:rPr>
          <w:rFonts w:ascii="仿宋_GB2312" w:eastAsia="仿宋_GB2312"/>
          <w:sz w:val="32"/>
          <w:szCs w:val="32"/>
        </w:rPr>
      </w:pPr>
      <w:r>
        <w:rPr>
          <w:rFonts w:hint="eastAsia" w:ascii="仿宋_GB2312" w:eastAsia="仿宋_GB2312"/>
          <w:sz w:val="32"/>
          <w:szCs w:val="32"/>
        </w:rPr>
        <w:t>（十一）领导区直机关工会、共青团、妇工委等群团组织的工作，指导区直机关各级党组织做好党的群众工作；</w:t>
      </w:r>
    </w:p>
    <w:p>
      <w:pPr>
        <w:ind w:firstLine="640" w:firstLineChars="200"/>
        <w:jc w:val="left"/>
        <w:rPr>
          <w:rFonts w:ascii="仿宋_GB2312" w:eastAsia="仿宋_GB2312"/>
          <w:sz w:val="32"/>
          <w:szCs w:val="32"/>
        </w:rPr>
      </w:pPr>
      <w:r>
        <w:rPr>
          <w:rFonts w:hint="eastAsia" w:ascii="仿宋_GB2312" w:eastAsia="仿宋_GB2312"/>
          <w:sz w:val="32"/>
          <w:szCs w:val="32"/>
        </w:rPr>
        <w:t>（十二）协同有关部门指导、规划、监督、检查区直机关干部教育培训工作，培训轮训区直机关、各党组织班子成员、党员、党务干部及党员发展对象；</w:t>
      </w:r>
    </w:p>
    <w:p>
      <w:pPr>
        <w:ind w:firstLine="640" w:firstLineChars="200"/>
        <w:jc w:val="left"/>
        <w:rPr>
          <w:rFonts w:ascii="仿宋_GB2312" w:eastAsia="仿宋_GB2312"/>
          <w:sz w:val="32"/>
          <w:szCs w:val="32"/>
        </w:rPr>
      </w:pPr>
      <w:r>
        <w:rPr>
          <w:rFonts w:hint="eastAsia" w:ascii="仿宋_GB2312" w:eastAsia="仿宋_GB2312"/>
          <w:sz w:val="32"/>
          <w:szCs w:val="32"/>
        </w:rPr>
        <w:t>（十三）承办区委交办的其他事项。</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中共乌鲁木齐市米东区委员会直属机关工作委员会2023年度，实有人数</w:t>
      </w:r>
      <w:r>
        <w:rPr>
          <w:rFonts w:hint="eastAsia" w:ascii="仿宋_GB2312" w:eastAsia="仿宋_GB2312"/>
          <w:sz w:val="32"/>
          <w:szCs w:val="32"/>
          <w:lang w:val="zh-CN"/>
        </w:rPr>
        <w:t>6</w:t>
      </w:r>
      <w:r>
        <w:rPr>
          <w:rFonts w:hint="eastAsia" w:ascii="仿宋_GB2312" w:eastAsia="仿宋_GB2312"/>
          <w:sz w:val="32"/>
          <w:szCs w:val="32"/>
        </w:rPr>
        <w:t>人，其中：在职人员</w:t>
      </w:r>
      <w:r>
        <w:rPr>
          <w:rFonts w:hint="eastAsia" w:ascii="仿宋_GB2312" w:eastAsia="仿宋_GB2312"/>
          <w:sz w:val="32"/>
          <w:szCs w:val="32"/>
          <w:lang w:val="zh-CN"/>
        </w:rPr>
        <w:t>3</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3</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办公室。</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2023年度收入总计95.91万元，其中：本年收入合计94.56万元，使用非财政拨款结余0.00万元，年初结转和结余1.35万元。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2023年度支出总计95.91万元，其中：本年支出合计93.41万元，结余分配0.00万元，年末结转和结余2.50万元。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增加48.04万元</w:t>
      </w:r>
      <w:r>
        <w:rPr>
          <w:rFonts w:hint="eastAsia" w:ascii="仿宋_GB2312" w:eastAsia="仿宋_GB2312"/>
          <w:sz w:val="32"/>
          <w:szCs w:val="32"/>
        </w:rPr>
        <w:t>，增长100.36%，主要原因是：本年单位人员增加，人员工资、津补贴等人员经费较上年增加。</w:t>
      </w:r>
    </w:p>
    <w:p>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本年收入94.56万元，其中：财政拨款收入</w:t>
      </w:r>
      <w:r>
        <w:rPr>
          <w:rFonts w:hint="eastAsia" w:ascii="仿宋_GB2312" w:eastAsia="仿宋_GB2312"/>
          <w:sz w:val="32"/>
          <w:szCs w:val="32"/>
          <w:lang w:val="zh-CN"/>
        </w:rPr>
        <w:t>94.56</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本年支出93.41万元，其中：基本支出93.41万元，占100.00%；项目支出0.00万元，占0.00%；上缴上级支出0.00万元，占0.00%；经营支出0.00万元，占0.00%；对附属单位补助支出0.00万元，占0.00%。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95.91</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1.35</w:t>
      </w:r>
      <w:r>
        <w:rPr>
          <w:rFonts w:hint="eastAsia" w:ascii="仿宋_GB2312" w:eastAsia="仿宋_GB2312"/>
          <w:sz w:val="32"/>
          <w:szCs w:val="32"/>
        </w:rPr>
        <w:t>万元，本年财政拨款收入</w:t>
      </w:r>
      <w:r>
        <w:rPr>
          <w:rFonts w:hint="eastAsia" w:ascii="仿宋_GB2312" w:eastAsia="仿宋_GB2312"/>
          <w:sz w:val="32"/>
          <w:szCs w:val="32"/>
          <w:lang w:val="zh-CN"/>
        </w:rPr>
        <w:t>94.56</w:t>
      </w:r>
      <w:r>
        <w:rPr>
          <w:rFonts w:hint="eastAsia" w:ascii="仿宋_GB2312" w:eastAsia="仿宋_GB2312"/>
          <w:sz w:val="32"/>
          <w:szCs w:val="32"/>
        </w:rPr>
        <w:t>万元。财政拨款支出总计</w:t>
      </w:r>
      <w:r>
        <w:rPr>
          <w:rFonts w:hint="eastAsia" w:ascii="仿宋_GB2312" w:eastAsia="仿宋_GB2312"/>
          <w:sz w:val="32"/>
          <w:szCs w:val="32"/>
          <w:lang w:val="zh-CN"/>
        </w:rPr>
        <w:t>95.91</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2.50</w:t>
      </w:r>
      <w:r>
        <w:rPr>
          <w:rFonts w:hint="eastAsia" w:ascii="仿宋_GB2312" w:eastAsia="仿宋_GB2312"/>
          <w:sz w:val="32"/>
          <w:szCs w:val="32"/>
        </w:rPr>
        <w:t>万元，本年财政拨款支出</w:t>
      </w:r>
      <w:r>
        <w:rPr>
          <w:rFonts w:hint="eastAsia" w:ascii="仿宋_GB2312" w:eastAsia="仿宋_GB2312"/>
          <w:sz w:val="32"/>
          <w:szCs w:val="32"/>
          <w:lang w:val="zh-CN"/>
        </w:rPr>
        <w:t>93.41</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增加48.04万元</w:t>
      </w:r>
      <w:r>
        <w:rPr>
          <w:rFonts w:hint="eastAsia" w:ascii="仿宋_GB2312" w:eastAsia="仿宋_GB2312"/>
          <w:sz w:val="32"/>
          <w:szCs w:val="32"/>
        </w:rPr>
        <w:t>，增长100.36%,主要原因是：本年单位人员增加，人员工资、津补贴等人员经费较上年增加。与年初预算相比，年初预算数</w:t>
      </w:r>
      <w:r>
        <w:rPr>
          <w:rFonts w:hint="eastAsia" w:ascii="仿宋_GB2312" w:eastAsia="仿宋_GB2312"/>
          <w:sz w:val="32"/>
          <w:szCs w:val="32"/>
          <w:lang w:val="zh-CN"/>
        </w:rPr>
        <w:t>48.78</w:t>
      </w:r>
      <w:r>
        <w:rPr>
          <w:rFonts w:hint="eastAsia" w:ascii="仿宋_GB2312" w:eastAsia="仿宋_GB2312"/>
          <w:sz w:val="32"/>
          <w:szCs w:val="32"/>
        </w:rPr>
        <w:t>万元，决算数</w:t>
      </w:r>
      <w:r>
        <w:rPr>
          <w:rFonts w:hint="eastAsia" w:ascii="仿宋_GB2312" w:eastAsia="仿宋_GB2312"/>
          <w:sz w:val="32"/>
          <w:szCs w:val="32"/>
          <w:lang w:val="zh-CN"/>
        </w:rPr>
        <w:t>95.91</w:t>
      </w:r>
      <w:r>
        <w:rPr>
          <w:rFonts w:hint="eastAsia" w:ascii="仿宋_GB2312" w:eastAsia="仿宋_GB2312"/>
          <w:sz w:val="32"/>
          <w:szCs w:val="32"/>
        </w:rPr>
        <w:t>万元，预决算差异率96.62%，主要原因是：单位人员增加，年中追加人员工资、津补贴等人员经费。</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2023年度一般公共预算财政拨款支出93.41万元，占本年支出合计的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增加46.91万元</w:t>
      </w:r>
      <w:r>
        <w:rPr>
          <w:rFonts w:hint="eastAsia" w:ascii="仿宋_GB2312" w:eastAsia="仿宋_GB2312"/>
          <w:sz w:val="32"/>
          <w:szCs w:val="32"/>
        </w:rPr>
        <w:t>，增长100.88%,主要原因是：本年单位人员增加，人员工资、津补贴等人员经费较上年增加。与年初预算相比，年初预算数</w:t>
      </w:r>
      <w:r>
        <w:rPr>
          <w:rFonts w:hint="eastAsia" w:ascii="仿宋_GB2312" w:eastAsia="仿宋_GB2312"/>
          <w:sz w:val="32"/>
          <w:szCs w:val="32"/>
          <w:lang w:val="zh-CN"/>
        </w:rPr>
        <w:t>48.78</w:t>
      </w:r>
      <w:r>
        <w:rPr>
          <w:rFonts w:hint="eastAsia" w:ascii="仿宋_GB2312" w:eastAsia="仿宋_GB2312"/>
          <w:sz w:val="32"/>
          <w:szCs w:val="32"/>
        </w:rPr>
        <w:t>万元，决算数</w:t>
      </w:r>
      <w:r>
        <w:rPr>
          <w:rFonts w:hint="eastAsia" w:ascii="仿宋_GB2312" w:eastAsia="仿宋_GB2312"/>
          <w:sz w:val="32"/>
          <w:szCs w:val="32"/>
          <w:lang w:val="zh-CN"/>
        </w:rPr>
        <w:t>93.41</w:t>
      </w:r>
      <w:r>
        <w:rPr>
          <w:rFonts w:hint="eastAsia" w:ascii="仿宋_GB2312" w:eastAsia="仿宋_GB2312"/>
          <w:sz w:val="32"/>
          <w:szCs w:val="32"/>
        </w:rPr>
        <w:t>万元，预决算差异率</w:t>
      </w:r>
      <w:r>
        <w:rPr>
          <w:rFonts w:hint="eastAsia" w:ascii="仿宋_GB2312" w:eastAsia="仿宋_GB2312"/>
          <w:sz w:val="32"/>
          <w:szCs w:val="32"/>
          <w:lang w:val="zh-CN"/>
        </w:rPr>
        <w:t>91.49%</w:t>
      </w:r>
      <w:r>
        <w:rPr>
          <w:rFonts w:hint="eastAsia" w:ascii="仿宋_GB2312" w:eastAsia="仿宋_GB2312"/>
          <w:sz w:val="32"/>
          <w:szCs w:val="32"/>
        </w:rPr>
        <w:t>，主要原因是：单位人员增加，年中追加人员工资、津补贴等人员经费。</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88.17</w:t>
      </w:r>
      <w:r>
        <w:rPr>
          <w:rFonts w:ascii="仿宋_GB2312" w:eastAsia="仿宋_GB2312"/>
          <w:kern w:val="2"/>
          <w:sz w:val="32"/>
          <w:szCs w:val="32"/>
          <w:lang w:val="zh-CN"/>
        </w:rPr>
        <w:t>万元，占</w:t>
      </w:r>
      <w:r>
        <w:rPr>
          <w:rFonts w:hint="eastAsia" w:ascii="仿宋_GB2312" w:eastAsia="仿宋_GB2312"/>
          <w:kern w:val="2"/>
          <w:sz w:val="32"/>
          <w:szCs w:val="32"/>
          <w:lang w:val="zh-CN"/>
        </w:rPr>
        <w:t>94.39%</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5.24</w:t>
      </w:r>
      <w:r>
        <w:rPr>
          <w:rFonts w:ascii="仿宋_GB2312" w:eastAsia="仿宋_GB2312"/>
          <w:kern w:val="2"/>
          <w:sz w:val="32"/>
          <w:szCs w:val="32"/>
          <w:lang w:val="zh-CN"/>
        </w:rPr>
        <w:t>万元，占</w:t>
      </w:r>
      <w:r>
        <w:rPr>
          <w:rFonts w:hint="eastAsia" w:ascii="仿宋_GB2312" w:eastAsia="仿宋_GB2312"/>
          <w:kern w:val="2"/>
          <w:sz w:val="32"/>
          <w:szCs w:val="32"/>
          <w:lang w:val="zh-CN"/>
        </w:rPr>
        <w:t>5.61%。</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1.一般公共服务支出（类）其他共产党事务支出（款）行政运行（项）:支出决算数为88.17万元，比上年决算增加45.54万元，增长106.83%，主要原因是：</w:t>
      </w:r>
      <w:r>
        <w:rPr>
          <w:rFonts w:hint="eastAsia" w:ascii="仿宋_GB2312" w:eastAsia="仿宋_GB2312"/>
          <w:sz w:val="32"/>
          <w:szCs w:val="32"/>
        </w:rPr>
        <w:t>本年单位人员增加，人员工资、津补贴等人员经费较上年增加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2.社会保障和就业支出（类）行政事业单位养老支出（款）机关事业单位基本养老保险缴费支出（项）:支出决算数为5.24万元，比上年决算增加1.37万元，增长35.40%，主要原因是：</w:t>
      </w:r>
      <w:r>
        <w:rPr>
          <w:rFonts w:hint="eastAsia" w:ascii="仿宋_GB2312" w:eastAsia="仿宋_GB2312"/>
          <w:sz w:val="32"/>
          <w:szCs w:val="32"/>
        </w:rPr>
        <w:t>本年单位人员增加，人员</w:t>
      </w:r>
      <w:r>
        <w:rPr>
          <w:rFonts w:hint="eastAsia" w:ascii="仿宋_GB2312" w:hAnsi="仿宋_GB2312" w:eastAsia="仿宋_GB2312" w:cs="仿宋_GB2312"/>
          <w:sz w:val="32"/>
          <w:szCs w:val="32"/>
        </w:rPr>
        <w:t>养老保险缴费增加</w:t>
      </w:r>
      <w:r>
        <w:rPr>
          <w:rFonts w:hint="eastAsia" w:ascii="仿宋_GB2312" w:hAnsi="仿宋_GB2312" w:eastAsia="仿宋_GB2312" w:cs="仿宋_GB2312"/>
          <w:sz w:val="32"/>
          <w:szCs w:val="32"/>
          <w:lang w:val="zh-CN"/>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93.41万元，其中：人员经费80.91万元，包括：基本工资、津贴补贴、奖金、机关事业单位基本养老保险缴费、职工基本医疗保险缴费、公务员医疗补助缴费、其他社会保障缴费、住房公积金、抚恤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公用经费12.49万元，包括：办公费、印刷费、手续费、邮电费、维修（护）费、委托业务费、工会经费、福利费、公务用车运行维护费、其他交通费用、其他商品和服务支出、办公设备购置</w:t>
      </w:r>
      <w:r>
        <w:rPr>
          <w:rFonts w:hint="eastAsia" w:ascii="仿宋_GB2312" w:hAnsi="宋体" w:eastAsia="仿宋_GB2312" w:cs="宋体"/>
          <w:kern w:val="0"/>
          <w:sz w:val="32"/>
          <w:szCs w:val="32"/>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“三公”经费支出2.50万元，</w:t>
      </w:r>
      <w:r>
        <w:rPr>
          <w:rFonts w:hint="eastAsia" w:ascii="仿宋_GB2312" w:eastAsia="仿宋_GB2312"/>
          <w:sz w:val="32"/>
          <w:szCs w:val="32"/>
        </w:rPr>
        <w:t>比上年</w:t>
      </w:r>
      <w:r>
        <w:rPr>
          <w:rFonts w:hint="eastAsia" w:ascii="仿宋_GB2312" w:eastAsia="仿宋_GB2312"/>
          <w:sz w:val="32"/>
          <w:szCs w:val="32"/>
          <w:lang w:val="zh-CN"/>
        </w:rPr>
        <w:t>增加0.16万元，</w:t>
      </w:r>
      <w:r>
        <w:rPr>
          <w:rFonts w:hint="eastAsia" w:ascii="仿宋_GB2312" w:eastAsia="仿宋_GB2312"/>
          <w:sz w:val="32"/>
          <w:szCs w:val="32"/>
        </w:rPr>
        <w:t>增长6.84%,</w:t>
      </w:r>
      <w:r>
        <w:rPr>
          <w:rFonts w:hint="eastAsia" w:ascii="仿宋_GB2312" w:eastAsia="仿宋_GB2312"/>
          <w:sz w:val="32"/>
          <w:szCs w:val="32"/>
          <w:lang w:val="zh-CN"/>
        </w:rPr>
        <w:t>主要原因是：</w:t>
      </w:r>
      <w:bookmarkStart w:id="18" w:name="_Hlk176444232"/>
      <w:r>
        <w:rPr>
          <w:rFonts w:hint="eastAsia" w:ascii="仿宋_GB2312" w:eastAsia="仿宋_GB2312"/>
          <w:sz w:val="32"/>
          <w:szCs w:val="32"/>
          <w:lang w:val="zh-CN"/>
        </w:rPr>
        <w:t>车辆老化，车辆维修费、燃油费等较上年增加</w:t>
      </w:r>
      <w:bookmarkEnd w:id="18"/>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bookmarkStart w:id="19" w:name="_Hlk176442959"/>
      <w:r>
        <w:rPr>
          <w:rFonts w:hint="eastAsia" w:ascii="仿宋_GB2312" w:eastAsia="仿宋_GB2312"/>
          <w:sz w:val="32"/>
          <w:szCs w:val="32"/>
          <w:lang w:val="zh-CN"/>
        </w:rPr>
        <w:t>本年无此项经费</w:t>
      </w:r>
      <w:bookmarkEnd w:id="19"/>
      <w:r>
        <w:rPr>
          <w:rFonts w:hint="eastAsia" w:ascii="仿宋_GB2312" w:eastAsia="仿宋_GB2312"/>
          <w:sz w:val="32"/>
          <w:szCs w:val="32"/>
          <w:lang w:val="zh-CN"/>
        </w:rPr>
        <w:t>；公务用车购置及运行维护费支出2.50万元，占100.00%，比上年增加0.16万元，</w:t>
      </w:r>
      <w:r>
        <w:rPr>
          <w:rFonts w:hint="eastAsia" w:ascii="仿宋_GB2312" w:eastAsia="仿宋_GB2312"/>
          <w:sz w:val="32"/>
          <w:szCs w:val="32"/>
        </w:rPr>
        <w:t>增长6.84%,</w:t>
      </w:r>
      <w:r>
        <w:rPr>
          <w:rFonts w:hint="eastAsia" w:ascii="仿宋_GB2312" w:eastAsia="仿宋_GB2312"/>
          <w:sz w:val="32"/>
          <w:szCs w:val="32"/>
          <w:lang w:val="zh-CN"/>
        </w:rPr>
        <w:t>主要原因是：车辆老化，车辆维修费、燃油费等较上年增加；公务接待费支出0.00万元，占0.00%，比上年增加0.00万元，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公务用车购置及运行维护费2.50万元，其中：公务用车购置费0.00万元，公务用车运行维护费2.50万元。公务用车运行维护费开支内容包括</w:t>
      </w:r>
      <w:bookmarkStart w:id="20" w:name="_Hlk176442988"/>
      <w:r>
        <w:rPr>
          <w:rFonts w:hint="eastAsia" w:ascii="仿宋_GB2312" w:eastAsia="仿宋_GB2312" w:cs="仿宋_GB2312"/>
          <w:kern w:val="0"/>
          <w:sz w:val="32"/>
          <w:szCs w:val="32"/>
        </w:rPr>
        <w:t>公务用车燃油费、车辆维修维护费、保险费、过路费等</w:t>
      </w:r>
      <w:bookmarkEnd w:id="20"/>
      <w:r>
        <w:rPr>
          <w:rFonts w:hint="eastAsia" w:ascii="仿宋_GB2312" w:eastAsia="仿宋_GB2312"/>
          <w:sz w:val="32"/>
          <w:szCs w:val="32"/>
          <w:lang w:val="zh-CN"/>
        </w:rPr>
        <w:t>。公务用车购置数0辆，公务用车保有量1辆。国有资产占用情况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bookmarkStart w:id="21" w:name="_Hlk181961318"/>
      <w:r>
        <w:rPr>
          <w:rFonts w:hint="eastAsia" w:ascii="仿宋_GB2312" w:eastAsia="仿宋_GB2312"/>
          <w:sz w:val="32"/>
          <w:szCs w:val="32"/>
          <w:lang w:val="zh-CN"/>
        </w:rPr>
        <w:t>国有资产车辆与公务用车保有量无差异</w:t>
      </w:r>
      <w:bookmarkEnd w:id="21"/>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预算数2.50万元，决算数2.50万元，预决算差异率0.00%，主要原因是：</w:t>
      </w:r>
      <w:bookmarkStart w:id="22" w:name="_Hlk176443013"/>
      <w:r>
        <w:rPr>
          <w:rFonts w:hint="eastAsia" w:ascii="仿宋_GB2312" w:eastAsia="仿宋_GB2312"/>
          <w:sz w:val="32"/>
          <w:szCs w:val="32"/>
          <w:lang w:val="zh-CN"/>
        </w:rPr>
        <w:t>本年严格按年初预算执行“三公”经费，预决算对比无差异</w:t>
      </w:r>
      <w:bookmarkEnd w:id="22"/>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预算数2.50万元，决算数2.50万元，预决算差异率0.00%，主要原因是：本年严格按年初预算执行“三公”经费，预决算对比无差异；公务接待费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w:t>
      </w:r>
    </w:p>
    <w:p>
      <w:pPr>
        <w:ind w:firstLine="640" w:firstLineChars="200"/>
        <w:jc w:val="left"/>
        <w:outlineLvl w:val="1"/>
        <w:rPr>
          <w:rFonts w:hint="eastAsia" w:ascii="黑体" w:hAnsi="黑体" w:eastAsia="黑体" w:cs="宋体"/>
          <w:bCs/>
          <w:kern w:val="0"/>
          <w:sz w:val="32"/>
          <w:szCs w:val="32"/>
        </w:rPr>
      </w:pPr>
      <w:bookmarkStart w:id="23" w:name="_Toc5810"/>
      <w:bookmarkStart w:id="24" w:name="_Toc7927"/>
      <w:r>
        <w:rPr>
          <w:rFonts w:hint="eastAsia" w:ascii="黑体" w:hAnsi="黑体" w:eastAsia="黑体" w:cs="宋体"/>
          <w:bCs/>
          <w:kern w:val="0"/>
          <w:sz w:val="32"/>
          <w:szCs w:val="32"/>
        </w:rPr>
        <w:t>八、政府性基金预算财政拨款收入支出决算情况说明</w:t>
      </w:r>
      <w:bookmarkEnd w:id="23"/>
      <w:bookmarkEnd w:id="24"/>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5" w:name="_Toc7314"/>
      <w:bookmarkStart w:id="26" w:name="_Toc1235"/>
      <w:r>
        <w:rPr>
          <w:rFonts w:hint="eastAsia" w:ascii="黑体" w:hAnsi="黑体" w:eastAsia="黑体" w:cs="宋体"/>
          <w:bCs/>
          <w:kern w:val="0"/>
          <w:sz w:val="32"/>
          <w:szCs w:val="32"/>
        </w:rPr>
        <w:t>十、其他重要事项的情况说明</w:t>
      </w:r>
      <w:bookmarkEnd w:id="25"/>
      <w:bookmarkEnd w:id="26"/>
    </w:p>
    <w:p>
      <w:pPr>
        <w:ind w:firstLine="640" w:firstLineChars="200"/>
        <w:jc w:val="left"/>
        <w:outlineLvl w:val="2"/>
        <w:rPr>
          <w:rFonts w:hint="eastAsia" w:ascii="黑体" w:hAnsi="黑体" w:eastAsia="黑体"/>
          <w:sz w:val="32"/>
          <w:szCs w:val="32"/>
        </w:rPr>
      </w:pPr>
      <w:bookmarkStart w:id="27" w:name="_Toc13105"/>
      <w:bookmarkStart w:id="28" w:name="_Toc14519"/>
      <w:r>
        <w:rPr>
          <w:rFonts w:hint="eastAsia" w:ascii="黑体" w:hAnsi="黑体" w:eastAsia="黑体"/>
          <w:sz w:val="32"/>
          <w:szCs w:val="32"/>
        </w:rPr>
        <w:t>（一）机关运行经费支出情况</w:t>
      </w:r>
      <w:bookmarkEnd w:id="27"/>
      <w:bookmarkEnd w:id="28"/>
    </w:p>
    <w:p>
      <w:pPr>
        <w:ind w:firstLine="640" w:firstLineChars="200"/>
        <w:rPr>
          <w:rFonts w:hint="eastAsia" w:ascii="仿宋_GB2312" w:hAnsi="仿宋_GB2312" w:eastAsia="仿宋_GB2312" w:cs="仿宋_GB2312"/>
          <w:sz w:val="32"/>
          <w:szCs w:val="32"/>
          <w:lang w:val="zh-CN"/>
        </w:rPr>
      </w:pPr>
      <w:bookmarkStart w:id="29" w:name="_Toc26704"/>
      <w:bookmarkStart w:id="30"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中共乌鲁木齐市米东区委员会直属机关工作委员会（行政单位和参照公务员法管理事业单位）机关运行经费支出12.49万元，</w:t>
      </w:r>
      <w:r>
        <w:rPr>
          <w:rFonts w:hint="eastAsia" w:ascii="仿宋_GB2312" w:hAnsi="仿宋_GB2312" w:eastAsia="仿宋_GB2312" w:cs="仿宋_GB2312"/>
          <w:sz w:val="32"/>
          <w:szCs w:val="32"/>
          <w:lang w:val="zh-CN"/>
        </w:rPr>
        <w:t>比上年增加9.34万元，增长296.51%，主要原因是：本年单位办公经费、</w:t>
      </w:r>
      <w:r>
        <w:rPr>
          <w:rFonts w:hint="eastAsia" w:ascii="仿宋_GB2312" w:eastAsia="仿宋_GB2312"/>
          <w:sz w:val="32"/>
          <w:szCs w:val="32"/>
        </w:rPr>
        <w:t>办公设备购置等较上年增加</w:t>
      </w:r>
      <w:r>
        <w:rPr>
          <w:rFonts w:hint="eastAsia" w:ascii="仿宋_GB2312" w:hAnsi="仿宋_GB2312" w:eastAsia="仿宋_GB2312" w:cs="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9"/>
      <w:bookmarkEnd w:id="30"/>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31" w:name="_Toc8391"/>
      <w:bookmarkStart w:id="32" w:name="_Toc4591"/>
      <w:r>
        <w:rPr>
          <w:rFonts w:hint="eastAsia" w:eastAsia="黑体"/>
          <w:sz w:val="32"/>
          <w:szCs w:val="30"/>
          <w:lang w:val="zh-CN"/>
        </w:rPr>
        <w:t>（三）国有资产占用情况说明</w:t>
      </w:r>
      <w:bookmarkEnd w:id="31"/>
      <w:bookmarkEnd w:id="32"/>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22.96</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屋0.00平方米，价值0.00万元。车辆1辆，价值6.15万元，其中：副部（省）级及以上领导用车0辆、主要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33" w:name="_Toc11283"/>
      <w:bookmarkStart w:id="34" w:name="_Toc435"/>
      <w:r>
        <w:rPr>
          <w:rFonts w:hint="eastAsia" w:ascii="黑体" w:hAnsi="黑体" w:eastAsia="黑体" w:cs="宋体"/>
          <w:bCs/>
          <w:kern w:val="0"/>
          <w:sz w:val="32"/>
          <w:szCs w:val="32"/>
        </w:rPr>
        <w:t>十一、预算绩效的情况说明</w:t>
      </w:r>
      <w:bookmarkEnd w:id="33"/>
      <w:bookmarkEnd w:id="34"/>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95.91</w:t>
      </w:r>
      <w:r>
        <w:rPr>
          <w:rFonts w:hint="eastAsia" w:ascii="仿宋_GB2312" w:eastAsia="仿宋_GB2312"/>
          <w:sz w:val="32"/>
          <w:szCs w:val="32"/>
        </w:rPr>
        <w:t>万元，实际执行总额</w:t>
      </w:r>
      <w:r>
        <w:rPr>
          <w:rFonts w:ascii="仿宋_GB2312" w:eastAsia="仿宋_GB2312"/>
          <w:sz w:val="32"/>
          <w:szCs w:val="32"/>
        </w:rPr>
        <w:t>93.41</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预算编制科学性的问题。首先预算编制之合理性相对不足，主要表现在预算调整数较大，年度目标与长期规划衔接的紧密程度需要增强；二是部门整体绩效指标应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下一步改进措施：一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二是以党的政治建设为统领，全面</w:t>
      </w:r>
      <w:r>
        <w:rPr>
          <w:rFonts w:hint="eastAsia" w:ascii="仿宋_GB2312" w:eastAsia="仿宋_GB2312"/>
          <w:sz w:val="32"/>
          <w:szCs w:val="32"/>
          <w:lang w:eastAsia="zh-CN"/>
        </w:rPr>
        <w:t>落实全面从严治党</w:t>
      </w:r>
      <w:r>
        <w:rPr>
          <w:rFonts w:hint="eastAsia" w:ascii="仿宋_GB2312" w:eastAsia="仿宋_GB2312"/>
          <w:sz w:val="32"/>
          <w:szCs w:val="32"/>
        </w:rPr>
        <w:t>。</w:t>
      </w:r>
      <w:bookmarkStart w:id="55" w:name="_GoBack"/>
      <w:bookmarkEnd w:id="55"/>
      <w:r>
        <w:rPr>
          <w:rFonts w:hint="eastAsia" w:ascii="仿宋_GB2312" w:eastAsia="仿宋_GB2312"/>
          <w:sz w:val="32"/>
          <w:szCs w:val="32"/>
          <w:lang w:eastAsia="zh-CN"/>
        </w:rPr>
        <w:t>学习贯彻习近平新时代中国特色社会主义思想和党的二十大精神</w:t>
      </w:r>
      <w:r>
        <w:rPr>
          <w:rFonts w:hint="eastAsia" w:ascii="仿宋_GB2312" w:eastAsia="仿宋_GB2312"/>
          <w:sz w:val="32"/>
          <w:szCs w:val="32"/>
        </w:rPr>
        <w:t>，利用每周五政治理论学习日，强化学习意识，把党建工作牢牢抓在手上，把责任真正扛在肩上，落实从严管党治党的工作要求,进一步增强“四个意识”、坚定“四个自信”、做到“两个维护”、创建“模范机关”。根据党支部工作条例关于机关、事业、社会组织、离退休党支部的任务要求，制定任务清单，有效解决机关党建工作不平衡的问题。发挥党支部“管到人头”的优势，加强对党员的日常监督。督促全体在职党员佩戴党员徽章、各支部评选党员先锋岗、建立党员责任区等，引导党员增强党员意识、发挥党员示范引领作用。具体项目自评情况附绩效自评表及自评报告。</w:t>
      </w:r>
    </w:p>
    <w:p>
      <w:pPr>
        <w:jc w:val="center"/>
        <w:rPr>
          <w:rFonts w:hint="eastAsia" w:ascii="宋体" w:hAnsi="宋体" w:cs="宋体"/>
          <w:b/>
          <w:bCs/>
          <w:kern w:val="0"/>
          <w:sz w:val="28"/>
          <w:szCs w:val="28"/>
        </w:rPr>
      </w:pPr>
      <w:bookmarkStart w:id="35" w:name="_Hlk174962300"/>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tblPrEx>
          <w:tblLayout w:type="fixed"/>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米东区直属机关工作委员会</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48.78</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95.91</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93.41</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97.39%</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9.74</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48.78</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95.91</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93.41</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目标1：统一组织、规划、部署区直机关党的工作。目标2：指导区直机关各级党组织开展机关文化建设工作。目标3：指导各基层党组织正常开展组织生活。目标4：培训轮训区直机关、各党组织班子成员、党员、党务干部及党员。</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一）机关工委坚持以习近平新时代中国特色社会主义思想为指导，深入学习贯彻党的二十大精神、习近平总书记在中央和国家机关党的建设工作会议上的重要讲话精神，全面贯彻落实新时代党的建设总要求，以党的政治建设为统领，树牢政治机关意识，深化机关“四个走在前列”示范引领行动，建立健全有效运行机制，全面提高机关党建质量。（二）全年完成“党旗映天山”主题党日各类活动10余次。1.组织机关干部40余人到市烈士陵园开展清明节“缅怀革命先烈传承革命精神”文明祭扫活动；2.在机关各基层党组织中选拔机关工委青年理论宣讲队，举办“青春向党使命在肩奋斗有我党的二十大精神进机关”宣讲活动；3.举办党的二十大精神知识竞赛，并组织各支部参与竞赛，初赛有55支队伍参与，决赛有10支队伍参与；4.举办“庆祝中国共产党成立102周年暨我身边的榜样展示活动”；5.组织机关干部参加2023年总工会举办的广播操比赛；6.组织机关干部50人组成机关工委方阵参与“庆丰收促和美”中国农民丰收节活动；7.组织全区机关党员干部500余人参加“十一”国庆节升国旗仪式；8.开展革命传统教育，机关工委积极组织干部参观三道坝镇毛泽民纪念馆。9.组织机关干部参观世纪恒泰文化博物馆、乌鲁木齐市文化中心、展览馆、博物馆等红色教育基地。10.组织机关干部观看《小马鞭》、《平凡英雄》等爱国主义影片。通过开展各类活动不断增强各基层党组织和党员的创造力、凝聚力和战斗力。（三）指导各党组织认真落实“三会一课”、组织生活会制度、开展“党旗映天山”主题党日活动，认真抓好党员学习教育管理、党费收缴、党组织关系管理等各项工作，切实增强党内政治生活的政治性、原则性。各党组织累计召开“三会一课”1830余场次，开展主题党日活动1350余场次。（四）今年共开展4期党的二十大精神专题培训班，邀请市委、区委党校教授全面解读，对2642名机关在职党员全覆盖培训。每月下发党建工作清单共计12期。每季度对各党组织工作完成情况进行抽查，对发现的问题通过月例会、季推进、以会代训、党务知识测试等方式对125名党务干部集中培强化辅导，进一步规范工作，提升党务干部能力。</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机关党员二十大专题培训</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&gt;=6次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米东区委直属机关工作委员会2023年工作计划</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开展“党旗映天山”主题党日</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&gt;=10次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米东区委直属机关工作委员会2023年工作计划</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开展党组织书记和党务干部培训</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&gt;=2次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米东区委直属机关工作委员会2023年工作计划</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89.74分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bookmarkEnd w:id="35"/>
    </w:tbl>
    <w:p>
      <w:pPr>
        <w:ind w:firstLine="640" w:firstLineChars="200"/>
        <w:jc w:val="left"/>
        <w:rPr>
          <w:rFonts w:hint="eastAsia" w:ascii="仿宋_GB2312" w:hAnsi="仿宋_GB2312" w:eastAsia="仿宋_GB2312" w:cs="仿宋_GB2312"/>
          <w:kern w:val="0"/>
          <w:sz w:val="32"/>
          <w:szCs w:val="32"/>
          <w:lang w:eastAsia="zh-Hans"/>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bookmarkStart w:id="36" w:name="_Hlk178000334"/>
      <w:r>
        <w:rPr>
          <w:rFonts w:hint="eastAsia" w:ascii="仿宋_GB2312" w:hAnsi="仿宋_GB2312" w:eastAsia="仿宋_GB2312" w:cs="仿宋_GB2312"/>
          <w:kern w:val="0"/>
          <w:sz w:val="32"/>
          <w:szCs w:val="32"/>
        </w:rPr>
        <w:t>我单位本年资金紧张未购买办公用品及设备。因此政府采购金额支出为0</w:t>
      </w:r>
      <w:r>
        <w:rPr>
          <w:rFonts w:ascii="仿宋_GB2312" w:hAnsi="仿宋_GB2312" w:eastAsia="仿宋_GB2312" w:cs="仿宋_GB2312"/>
          <w:kern w:val="0"/>
          <w:sz w:val="32"/>
          <w:szCs w:val="32"/>
        </w:rPr>
        <w:t>.00</w:t>
      </w:r>
      <w:r>
        <w:rPr>
          <w:rFonts w:hint="eastAsia" w:ascii="仿宋_GB2312" w:hAnsi="仿宋_GB2312" w:eastAsia="仿宋_GB2312" w:cs="仿宋_GB2312"/>
          <w:kern w:val="0"/>
          <w:sz w:val="32"/>
          <w:szCs w:val="32"/>
        </w:rPr>
        <w:t>万元。其中授予中小企业合同金额、授予小微企业合同金额为0</w:t>
      </w:r>
      <w:r>
        <w:rPr>
          <w:rFonts w:ascii="仿宋_GB2312" w:hAnsi="仿宋_GB2312" w:eastAsia="仿宋_GB2312" w:cs="仿宋_GB2312"/>
          <w:kern w:val="0"/>
          <w:sz w:val="32"/>
          <w:szCs w:val="32"/>
        </w:rPr>
        <w:t>.00</w:t>
      </w:r>
      <w:r>
        <w:rPr>
          <w:rFonts w:hint="eastAsia" w:ascii="仿宋_GB2312" w:hAnsi="仿宋_GB2312" w:eastAsia="仿宋_GB2312" w:cs="仿宋_GB2312"/>
          <w:kern w:val="0"/>
          <w:sz w:val="32"/>
          <w:szCs w:val="32"/>
        </w:rPr>
        <w:t>万元</w:t>
      </w:r>
      <w:bookmarkEnd w:id="36"/>
      <w:r>
        <w:rPr>
          <w:rFonts w:hint="eastAsia" w:ascii="仿宋_GB2312" w:hAnsi="仿宋_GB2312" w:eastAsia="仿宋_GB2312" w:cs="仿宋_GB2312"/>
          <w:kern w:val="0"/>
          <w:sz w:val="32"/>
          <w:szCs w:val="32"/>
        </w:rPr>
        <w:t>。</w:t>
      </w:r>
    </w:p>
    <w:p>
      <w:pPr>
        <w:jc w:val="center"/>
        <w:outlineLvl w:val="0"/>
        <w:rPr>
          <w:rFonts w:hint="eastAsia" w:ascii="黑体" w:hAnsi="黑体" w:eastAsia="黑体"/>
          <w:sz w:val="32"/>
          <w:szCs w:val="32"/>
        </w:rPr>
      </w:pPr>
      <w:bookmarkStart w:id="37" w:name="_Toc24143"/>
      <w:bookmarkStart w:id="38"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7"/>
      <w:bookmarkEnd w:id="38"/>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9" w:name="_Toc6062"/>
      <w:bookmarkStart w:id="40" w:name="_Toc2183"/>
      <w:r>
        <w:rPr>
          <w:rFonts w:hint="eastAsia" w:ascii="黑体" w:hAnsi="黑体" w:eastAsia="仿宋_GB2312" w:cs="宋体"/>
          <w:bCs/>
          <w:kern w:val="0"/>
          <w:sz w:val="32"/>
          <w:szCs w:val="32"/>
        </w:rPr>
        <w:t>一、《收入支出决算总表》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24532"/>
      <w:bookmarkStart w:id="42" w:name="_Toc30364"/>
      <w:r>
        <w:rPr>
          <w:rFonts w:hint="eastAsia" w:ascii="黑体" w:hAnsi="黑体" w:eastAsia="仿宋_GB2312" w:cs="宋体"/>
          <w:bCs/>
          <w:kern w:val="0"/>
          <w:sz w:val="32"/>
          <w:szCs w:val="32"/>
        </w:rPr>
        <w:t>二、《收入决算表》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21304"/>
      <w:bookmarkStart w:id="44" w:name="_Toc32434"/>
      <w:r>
        <w:rPr>
          <w:rFonts w:hint="eastAsia" w:ascii="黑体" w:hAnsi="黑体" w:eastAsia="仿宋_GB2312" w:cs="宋体"/>
          <w:bCs/>
          <w:kern w:val="0"/>
          <w:sz w:val="32"/>
          <w:szCs w:val="32"/>
        </w:rPr>
        <w:t>三、《支出决算表》</w:t>
      </w:r>
      <w:bookmarkEnd w:id="43"/>
      <w:bookmarkEnd w:id="44"/>
    </w:p>
    <w:p>
      <w:pPr>
        <w:ind w:firstLine="640" w:firstLineChars="200"/>
        <w:outlineLvl w:val="1"/>
        <w:rPr>
          <w:rFonts w:hint="eastAsia" w:ascii="黑体" w:hAnsi="黑体" w:eastAsia="仿宋_GB2312" w:cs="宋体"/>
          <w:bCs/>
          <w:kern w:val="0"/>
          <w:sz w:val="32"/>
          <w:szCs w:val="32"/>
        </w:rPr>
      </w:pPr>
      <w:bookmarkStart w:id="45" w:name="_Toc14238"/>
      <w:bookmarkStart w:id="46" w:name="_Toc28786"/>
      <w:r>
        <w:rPr>
          <w:rFonts w:hint="eastAsia" w:ascii="黑体" w:hAnsi="黑体" w:eastAsia="仿宋_GB2312" w:cs="宋体"/>
          <w:bCs/>
          <w:kern w:val="0"/>
          <w:sz w:val="32"/>
          <w:szCs w:val="32"/>
        </w:rPr>
        <w:t>四、《财政拨款收入支出决算总表》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14869"/>
      <w:bookmarkStart w:id="48" w:name="_Toc10347"/>
      <w:r>
        <w:rPr>
          <w:rFonts w:hint="eastAsia" w:ascii="黑体" w:hAnsi="黑体" w:eastAsia="仿宋_GB2312" w:cs="宋体"/>
          <w:bCs/>
          <w:kern w:val="0"/>
          <w:sz w:val="32"/>
          <w:szCs w:val="32"/>
        </w:rPr>
        <w:t>五、《一般公共预算财政拨款支出决算表》</w:t>
      </w:r>
      <w:bookmarkEnd w:id="47"/>
      <w:bookmarkEnd w:id="48"/>
    </w:p>
    <w:p>
      <w:pPr>
        <w:ind w:firstLine="640" w:firstLineChars="200"/>
        <w:outlineLvl w:val="1"/>
        <w:rPr>
          <w:rFonts w:hint="eastAsia" w:ascii="黑体" w:hAnsi="黑体" w:eastAsia="仿宋_GB2312" w:cs="宋体"/>
          <w:bCs/>
          <w:kern w:val="0"/>
          <w:sz w:val="32"/>
          <w:szCs w:val="32"/>
        </w:rPr>
      </w:pPr>
      <w:bookmarkStart w:id="49" w:name="_Toc8884"/>
      <w:bookmarkStart w:id="50" w:name="_Toc5626"/>
      <w:r>
        <w:rPr>
          <w:rFonts w:hint="eastAsia" w:ascii="黑体" w:hAnsi="黑体" w:eastAsia="仿宋_GB2312" w:cs="宋体"/>
          <w:bCs/>
          <w:kern w:val="0"/>
          <w:sz w:val="32"/>
          <w:szCs w:val="32"/>
        </w:rPr>
        <w:t>六、《一般公共预算财政拨款基本支出决算表》</w:t>
      </w:r>
      <w:bookmarkEnd w:id="49"/>
      <w:bookmarkEnd w:id="50"/>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51" w:name="_Toc32663"/>
      <w:bookmarkStart w:id="52" w:name="_Toc29106"/>
      <w:r>
        <w:rPr>
          <w:rFonts w:hint="eastAsia" w:ascii="黑体" w:hAnsi="黑体" w:eastAsia="仿宋_GB2312" w:cs="宋体"/>
          <w:bCs/>
          <w:kern w:val="0"/>
          <w:sz w:val="32"/>
          <w:szCs w:val="32"/>
        </w:rPr>
        <w:t>《财政拨款“三公”经费支出决算表》</w:t>
      </w:r>
      <w:bookmarkEnd w:id="51"/>
      <w:bookmarkEnd w:id="52"/>
    </w:p>
    <w:p>
      <w:pPr>
        <w:ind w:firstLine="640" w:firstLineChars="200"/>
        <w:outlineLvl w:val="1"/>
        <w:rPr>
          <w:rFonts w:hint="eastAsia" w:ascii="黑体" w:hAnsi="黑体" w:eastAsia="仿宋_GB2312" w:cs="宋体"/>
          <w:bCs/>
          <w:kern w:val="0"/>
          <w:sz w:val="32"/>
          <w:szCs w:val="32"/>
        </w:rPr>
      </w:pPr>
      <w:bookmarkStart w:id="53" w:name="_Toc7643"/>
      <w:bookmarkStart w:id="54" w:name="_Toc5453"/>
      <w:r>
        <w:rPr>
          <w:rFonts w:hint="eastAsia" w:ascii="黑体" w:hAnsi="黑体" w:eastAsia="仿宋_GB2312" w:cs="宋体"/>
          <w:bCs/>
          <w:kern w:val="0"/>
          <w:sz w:val="32"/>
          <w:szCs w:val="32"/>
        </w:rPr>
        <w:t>八、《政府性基金预算财政拨款收入支出决算表》</w:t>
      </w:r>
      <w:bookmarkEnd w:id="53"/>
      <w:bookmarkEnd w:id="5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7A64C7"/>
    <w:rsid w:val="00213C59"/>
    <w:rsid w:val="003210CE"/>
    <w:rsid w:val="0032418B"/>
    <w:rsid w:val="0032467B"/>
    <w:rsid w:val="00552CC6"/>
    <w:rsid w:val="005A4C65"/>
    <w:rsid w:val="006E3C20"/>
    <w:rsid w:val="007A64C7"/>
    <w:rsid w:val="007B3337"/>
    <w:rsid w:val="007C0BCD"/>
    <w:rsid w:val="00B70D59"/>
    <w:rsid w:val="00C65856"/>
    <w:rsid w:val="00CE7A3C"/>
    <w:rsid w:val="00D844D9"/>
    <w:rsid w:val="00EC7DB3"/>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2B7B2C"/>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66B30"/>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1354</Words>
  <Characters>7723</Characters>
  <Lines>64</Lines>
  <Paragraphs>18</Paragraphs>
  <TotalTime>26</TotalTime>
  <ScaleCrop>false</ScaleCrop>
  <LinksUpToDate>false</LinksUpToDate>
  <CharactersWithSpaces>9059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姜哲文</cp:lastModifiedBy>
  <dcterms:modified xsi:type="dcterms:W3CDTF">2025-12-16T10:10:56Z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