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乌鲁木齐市第100中</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640" w:firstLineChars="200"/>
        <w:rPr>
          <w:rFonts w:ascii="仿宋_GB2312" w:eastAsia="仿宋_GB2312"/>
          <w:sz w:val="32"/>
          <w:szCs w:val="32"/>
        </w:rPr>
      </w:pPr>
      <w:r>
        <w:rPr>
          <w:rFonts w:hint="eastAsia" w:ascii="仿宋_GB2312" w:eastAsia="仿宋_GB2312"/>
          <w:sz w:val="32"/>
          <w:szCs w:val="32"/>
        </w:rPr>
        <w:t>1.宣传贯彻执行党和国家的教育方针、政策、法律法规等，坚持依法治教、依法治学，贯彻执行上级教育部门的行政规章制度。</w:t>
      </w:r>
    </w:p>
    <w:p>
      <w:pPr>
        <w:ind w:firstLine="640" w:firstLineChars="200"/>
        <w:rPr>
          <w:rFonts w:ascii="仿宋_GB2312" w:eastAsia="仿宋_GB2312"/>
          <w:sz w:val="32"/>
          <w:szCs w:val="32"/>
        </w:rPr>
      </w:pPr>
      <w:r>
        <w:rPr>
          <w:rFonts w:hint="eastAsia" w:ascii="仿宋_GB2312" w:eastAsia="仿宋_GB2312"/>
          <w:sz w:val="32"/>
          <w:szCs w:val="32"/>
        </w:rPr>
        <w:t>2．配合上级教育部门制定符合党的教育方针和国家教育法律法规以及本校实际的教育发展规划和学校布局调整规划，并抓好组织实施和落实工作。</w:t>
      </w:r>
    </w:p>
    <w:p>
      <w:pPr>
        <w:ind w:firstLine="640" w:firstLineChars="200"/>
        <w:rPr>
          <w:rFonts w:ascii="仿宋_GB2312" w:eastAsia="仿宋_GB2312"/>
          <w:sz w:val="32"/>
          <w:szCs w:val="32"/>
        </w:rPr>
      </w:pPr>
      <w:r>
        <w:rPr>
          <w:rFonts w:hint="eastAsia" w:ascii="仿宋_GB2312" w:eastAsia="仿宋_GB2312"/>
          <w:sz w:val="32"/>
          <w:szCs w:val="32"/>
        </w:rPr>
        <w:t>3.配合各级人民政府依法动员、组织适龄少年入学，严格控制辍学，推进普及义务教育。</w:t>
      </w:r>
    </w:p>
    <w:p>
      <w:pPr>
        <w:ind w:firstLine="640" w:firstLineChars="200"/>
        <w:rPr>
          <w:rFonts w:ascii="仿宋_GB2312" w:eastAsia="仿宋_GB2312"/>
          <w:sz w:val="32"/>
          <w:szCs w:val="32"/>
        </w:rPr>
      </w:pPr>
      <w:r>
        <w:rPr>
          <w:rFonts w:hint="eastAsia" w:ascii="仿宋_GB2312" w:eastAsia="仿宋_GB2312"/>
          <w:sz w:val="32"/>
          <w:szCs w:val="32"/>
        </w:rPr>
        <w:t>4.组织开展本校的教育教学科研和教育教学改革，科研兴教，科研兴校。负责对本校教育教学业务的具体管理，负责教育教学管理及教研教改工作。</w:t>
      </w:r>
    </w:p>
    <w:p>
      <w:pPr>
        <w:ind w:firstLine="640" w:firstLineChars="200"/>
        <w:rPr>
          <w:rFonts w:ascii="仿宋_GB2312" w:eastAsia="仿宋_GB2312"/>
          <w:sz w:val="32"/>
          <w:szCs w:val="32"/>
        </w:rPr>
      </w:pPr>
      <w:r>
        <w:rPr>
          <w:rFonts w:hint="eastAsia" w:ascii="仿宋_GB2312" w:eastAsia="仿宋_GB2312"/>
          <w:sz w:val="32"/>
          <w:szCs w:val="32"/>
        </w:rPr>
        <w:t>5.按照干部和教师的职数、编制和管理权限，制定切实可行的学校工作规章制度，以提高教育教学质量为目的，负责本校教师人事管理、继续教育、考核考评等工作。</w:t>
      </w:r>
    </w:p>
    <w:p>
      <w:pPr>
        <w:ind w:firstLine="640" w:firstLineChars="200"/>
        <w:rPr>
          <w:rFonts w:ascii="仿宋_GB2312" w:eastAsia="仿宋_GB2312"/>
          <w:sz w:val="32"/>
          <w:szCs w:val="32"/>
        </w:rPr>
      </w:pPr>
      <w:r>
        <w:rPr>
          <w:rFonts w:hint="eastAsia" w:ascii="仿宋_GB2312" w:eastAsia="仿宋_GB2312"/>
          <w:sz w:val="32"/>
          <w:szCs w:val="32"/>
        </w:rPr>
        <w:t>6.负责本校财务和基建管理，筹措资金，改善办学条件等工作，为师生提供优美和谐的学习和工作环境。核算和发放教职工工资,维护教职工利益，保障教职工合法权益。</w:t>
      </w:r>
    </w:p>
    <w:p>
      <w:pPr>
        <w:ind w:firstLine="640" w:firstLineChars="200"/>
        <w:rPr>
          <w:rFonts w:ascii="仿宋_GB2312" w:eastAsia="仿宋_GB2312"/>
          <w:sz w:val="32"/>
          <w:szCs w:val="32"/>
        </w:rPr>
      </w:pPr>
      <w:r>
        <w:rPr>
          <w:rFonts w:hint="eastAsia" w:ascii="仿宋_GB2312" w:eastAsia="仿宋_GB2312"/>
          <w:sz w:val="32"/>
          <w:szCs w:val="32"/>
        </w:rPr>
        <w:t>7.指导、管理、检查、评价本校的教育教学工作，提高办学质量和办学效益。按照义务教育课程计划，开齐课程，开足课时，认真教育教学管理，全面提高教育教学质量。</w:t>
      </w:r>
    </w:p>
    <w:p>
      <w:pPr>
        <w:ind w:firstLine="640" w:firstLineChars="200"/>
        <w:rPr>
          <w:rFonts w:ascii="仿宋_GB2312" w:eastAsia="仿宋_GB2312"/>
          <w:sz w:val="32"/>
          <w:szCs w:val="32"/>
        </w:rPr>
      </w:pPr>
      <w:r>
        <w:rPr>
          <w:rFonts w:hint="eastAsia" w:ascii="仿宋_GB2312" w:eastAsia="仿宋_GB2312"/>
          <w:sz w:val="32"/>
          <w:szCs w:val="32"/>
        </w:rPr>
        <w:t>8.建立健全学生学籍管理制度，按</w:t>
      </w:r>
      <w:bookmarkStart w:id="48" w:name="_GoBack"/>
      <w:bookmarkEnd w:id="48"/>
      <w:r>
        <w:rPr>
          <w:rFonts w:hint="eastAsia" w:ascii="仿宋_GB2312" w:eastAsia="仿宋_GB2312"/>
          <w:sz w:val="32"/>
          <w:szCs w:val="32"/>
          <w:lang w:eastAsia="zh-CN"/>
        </w:rPr>
        <w:t>教育部</w:t>
      </w:r>
      <w:r>
        <w:rPr>
          <w:rFonts w:hint="eastAsia" w:ascii="仿宋_GB2312" w:eastAsia="仿宋_GB2312"/>
          <w:sz w:val="32"/>
          <w:szCs w:val="32"/>
        </w:rPr>
        <w:t>颁布的规定管理学生学籍。</w:t>
      </w:r>
    </w:p>
    <w:p>
      <w:pPr>
        <w:ind w:firstLine="640" w:firstLineChars="200"/>
        <w:rPr>
          <w:rFonts w:ascii="仿宋_GB2312" w:eastAsia="仿宋_GB2312"/>
          <w:sz w:val="32"/>
          <w:szCs w:val="32"/>
        </w:rPr>
      </w:pPr>
      <w:r>
        <w:rPr>
          <w:rFonts w:hint="eastAsia" w:ascii="仿宋_GB2312" w:eastAsia="仿宋_GB2312"/>
          <w:sz w:val="32"/>
          <w:szCs w:val="32"/>
        </w:rPr>
        <w:t>9.在上级党委、政府和教育行政部门的领导下，积极开展学校的安全管理，不断提高安全管理水平，努力营造安全和谐的校园环境。</w:t>
      </w:r>
    </w:p>
    <w:p>
      <w:pPr>
        <w:ind w:firstLine="640" w:firstLineChars="200"/>
        <w:rPr>
          <w:rFonts w:ascii="仿宋_GB2312" w:eastAsia="仿宋_GB2312"/>
          <w:sz w:val="32"/>
          <w:szCs w:val="32"/>
        </w:rPr>
      </w:pPr>
      <w:r>
        <w:rPr>
          <w:rFonts w:hint="eastAsia" w:ascii="仿宋_GB2312" w:eastAsia="仿宋_GB2312"/>
          <w:sz w:val="32"/>
          <w:szCs w:val="32"/>
        </w:rPr>
        <w:t>10.在上级教育部门的领导下，谋划布局，全面推进义务教育均衡发展。</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乌鲁木齐市第100中2023年度，实有人数</w:t>
      </w:r>
      <w:r>
        <w:rPr>
          <w:rFonts w:hint="eastAsia" w:ascii="仿宋_GB2312" w:eastAsia="仿宋_GB2312"/>
          <w:sz w:val="32"/>
          <w:szCs w:val="32"/>
          <w:lang w:val="zh-CN"/>
        </w:rPr>
        <w:t>180</w:t>
      </w:r>
      <w:r>
        <w:rPr>
          <w:rFonts w:hint="eastAsia" w:ascii="仿宋_GB2312" w:eastAsia="仿宋_GB2312"/>
          <w:sz w:val="32"/>
          <w:szCs w:val="32"/>
        </w:rPr>
        <w:t>人，其中：在职人员</w:t>
      </w:r>
      <w:r>
        <w:rPr>
          <w:rFonts w:hint="eastAsia" w:ascii="仿宋_GB2312" w:eastAsia="仿宋_GB2312"/>
          <w:sz w:val="32"/>
          <w:szCs w:val="32"/>
          <w:lang w:val="zh-CN"/>
        </w:rPr>
        <w:t>151</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29</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13</w:t>
      </w:r>
      <w:r>
        <w:rPr>
          <w:rFonts w:hint="eastAsia" w:ascii="仿宋_GB2312" w:hAnsi="黑体" w:eastAsia="仿宋_GB2312" w:cs="宋体"/>
          <w:bCs/>
          <w:kern w:val="0"/>
          <w:sz w:val="32"/>
          <w:szCs w:val="32"/>
        </w:rPr>
        <w:t>个处室，分别是：</w:t>
      </w:r>
      <w:r>
        <w:rPr>
          <w:rFonts w:hint="eastAsia" w:ascii="仿宋_GB2312" w:hAnsi="仿宋_GB2312" w:eastAsia="仿宋_GB2312"/>
          <w:kern w:val="0"/>
          <w:sz w:val="32"/>
          <w:highlight w:val="white"/>
        </w:rPr>
        <w:t>党政办、行政办、中学教务处、小学教务处、中学德育处、小学德育处、中学教科室、小学教科室、安全办、总务处、少先大队处、工会办、信息办</w:t>
      </w:r>
      <w:r>
        <w:rPr>
          <w:rFonts w:hint="eastAsia" w:ascii="仿宋_GB2312" w:hAnsi="宋体" w:eastAsia="仿宋_GB2312" w:cs="宋体"/>
          <w:kern w:val="0"/>
          <w:sz w:val="32"/>
          <w:szCs w:val="32"/>
        </w:rPr>
        <w:t>。</w:t>
      </w:r>
    </w:p>
    <w:p>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2023年度收入总计3,340.00万元，其中：本年收入合计3,229.45万元，使用非财政拨款结余0.00万元，年初结转和结余110.55万元。</w:t>
      </w:r>
    </w:p>
    <w:p>
      <w:pPr>
        <w:ind w:firstLine="640" w:firstLineChars="200"/>
        <w:rPr>
          <w:rFonts w:ascii="仿宋_GB2312" w:eastAsia="仿宋_GB2312"/>
          <w:sz w:val="32"/>
          <w:szCs w:val="32"/>
        </w:rPr>
      </w:pPr>
      <w:r>
        <w:rPr>
          <w:rFonts w:hint="eastAsia" w:ascii="仿宋_GB2312" w:eastAsia="仿宋_GB2312"/>
          <w:sz w:val="32"/>
          <w:szCs w:val="32"/>
        </w:rPr>
        <w:t>2023年度支出总计3,340.00万元，其中：本年支出合计3,304.63万元，结余分配0.00万元，年末结转和结余35.37万元。</w:t>
      </w:r>
    </w:p>
    <w:p>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增加161.63万元</w:t>
      </w:r>
      <w:r>
        <w:rPr>
          <w:rFonts w:hint="eastAsia" w:ascii="仿宋_GB2312" w:eastAsia="仿宋_GB2312"/>
          <w:sz w:val="32"/>
          <w:szCs w:val="32"/>
        </w:rPr>
        <w:t>，增长5.09%，主要原因是：</w:t>
      </w:r>
      <w:r>
        <w:rPr>
          <w:rFonts w:hint="eastAsia" w:ascii="仿宋_GB2312" w:hAnsi="仿宋_GB2312" w:eastAsia="仿宋_GB2312" w:cs="仿宋_GB2312"/>
          <w:sz w:val="32"/>
          <w:szCs w:val="32"/>
          <w:lang w:val="zh-CN"/>
        </w:rPr>
        <w:t>本年单位教师人员增加，人员薪资、津补贴、奖金等人员经费增加</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本年收入3,229.45万元，其中：财政拨款收入</w:t>
      </w:r>
      <w:r>
        <w:rPr>
          <w:rFonts w:hint="eastAsia" w:ascii="仿宋_GB2312" w:eastAsia="仿宋_GB2312"/>
          <w:sz w:val="32"/>
          <w:szCs w:val="32"/>
          <w:lang w:val="zh-CN"/>
        </w:rPr>
        <w:t>3,129.65</w:t>
      </w:r>
      <w:r>
        <w:rPr>
          <w:rFonts w:hint="eastAsia" w:ascii="仿宋_GB2312" w:eastAsia="仿宋_GB2312"/>
          <w:sz w:val="32"/>
          <w:szCs w:val="32"/>
        </w:rPr>
        <w:t>万元，占</w:t>
      </w:r>
      <w:r>
        <w:rPr>
          <w:rFonts w:hint="eastAsia" w:ascii="仿宋_GB2312" w:eastAsia="仿宋_GB2312"/>
          <w:sz w:val="32"/>
          <w:szCs w:val="32"/>
          <w:lang w:val="zh-CN"/>
        </w:rPr>
        <w:t>96.91%</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99.80</w:t>
      </w:r>
      <w:r>
        <w:rPr>
          <w:rFonts w:hint="eastAsia" w:ascii="仿宋_GB2312" w:eastAsia="仿宋_GB2312"/>
          <w:sz w:val="32"/>
          <w:szCs w:val="32"/>
        </w:rPr>
        <w:t>万元，占</w:t>
      </w:r>
      <w:r>
        <w:rPr>
          <w:rFonts w:hint="eastAsia" w:ascii="仿宋_GB2312" w:eastAsia="仿宋_GB2312"/>
          <w:sz w:val="32"/>
          <w:szCs w:val="32"/>
          <w:lang w:val="zh-CN"/>
        </w:rPr>
        <w:t>3.09%</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本年支出3,304.63万元，其中：基本支出2,726.65万元，占82.51%；项目支出577.98万元，占17.49%；上缴上级支出0.00万元，占0.00%；经营支出0.00万元，占0.00%；对附属单位补助支出0.00万元，占0.00%。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3,141.60</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11.95</w:t>
      </w:r>
      <w:r>
        <w:rPr>
          <w:rFonts w:hint="eastAsia" w:ascii="仿宋_GB2312" w:eastAsia="仿宋_GB2312"/>
          <w:sz w:val="32"/>
          <w:szCs w:val="32"/>
        </w:rPr>
        <w:t>万元，本年财政拨款收入</w:t>
      </w:r>
      <w:r>
        <w:rPr>
          <w:rFonts w:hint="eastAsia" w:ascii="仿宋_GB2312" w:eastAsia="仿宋_GB2312"/>
          <w:sz w:val="32"/>
          <w:szCs w:val="32"/>
          <w:lang w:val="zh-CN"/>
        </w:rPr>
        <w:t>3,129.65</w:t>
      </w:r>
      <w:r>
        <w:rPr>
          <w:rFonts w:hint="eastAsia" w:ascii="仿宋_GB2312" w:eastAsia="仿宋_GB2312"/>
          <w:sz w:val="32"/>
          <w:szCs w:val="32"/>
        </w:rPr>
        <w:t>万元。财政拨款支出总计</w:t>
      </w:r>
      <w:r>
        <w:rPr>
          <w:rFonts w:hint="eastAsia" w:ascii="仿宋_GB2312" w:eastAsia="仿宋_GB2312"/>
          <w:sz w:val="32"/>
          <w:szCs w:val="32"/>
          <w:lang w:val="zh-CN"/>
        </w:rPr>
        <w:t>3,141.60</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35.37</w:t>
      </w:r>
      <w:r>
        <w:rPr>
          <w:rFonts w:hint="eastAsia" w:ascii="仿宋_GB2312" w:eastAsia="仿宋_GB2312"/>
          <w:sz w:val="32"/>
          <w:szCs w:val="32"/>
        </w:rPr>
        <w:t>万元，本年财政拨款支出</w:t>
      </w:r>
      <w:r>
        <w:rPr>
          <w:rFonts w:hint="eastAsia" w:ascii="仿宋_GB2312" w:eastAsia="仿宋_GB2312"/>
          <w:sz w:val="32"/>
          <w:szCs w:val="32"/>
          <w:lang w:val="zh-CN"/>
        </w:rPr>
        <w:t>3,106.23</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增加156.88万元</w:t>
      </w:r>
      <w:r>
        <w:rPr>
          <w:rFonts w:hint="eastAsia" w:ascii="仿宋_GB2312" w:eastAsia="仿宋_GB2312"/>
          <w:sz w:val="32"/>
          <w:szCs w:val="32"/>
        </w:rPr>
        <w:t>，增长5.26%,主要原因是：</w:t>
      </w:r>
      <w:r>
        <w:rPr>
          <w:rFonts w:hint="eastAsia" w:ascii="仿宋_GB2312" w:hAnsi="仿宋_GB2312" w:eastAsia="仿宋_GB2312" w:cs="仿宋_GB2312"/>
          <w:sz w:val="32"/>
          <w:szCs w:val="32"/>
          <w:lang w:val="zh-CN"/>
        </w:rPr>
        <w:t>本年单位教师人员增加，人员薪资、津补贴、奖金等人员经费增加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3,194.49</w:t>
      </w:r>
      <w:r>
        <w:rPr>
          <w:rFonts w:hint="eastAsia" w:ascii="仿宋_GB2312" w:eastAsia="仿宋_GB2312"/>
          <w:sz w:val="32"/>
          <w:szCs w:val="32"/>
        </w:rPr>
        <w:t>万元，决算数</w:t>
      </w:r>
      <w:r>
        <w:rPr>
          <w:rFonts w:hint="eastAsia" w:ascii="仿宋_GB2312" w:eastAsia="仿宋_GB2312"/>
          <w:sz w:val="32"/>
          <w:szCs w:val="32"/>
          <w:lang w:val="zh-CN"/>
        </w:rPr>
        <w:t>3,141.60</w:t>
      </w:r>
      <w:r>
        <w:rPr>
          <w:rFonts w:hint="eastAsia" w:ascii="仿宋_GB2312" w:eastAsia="仿宋_GB2312"/>
          <w:sz w:val="32"/>
          <w:szCs w:val="32"/>
        </w:rPr>
        <w:t>万元，预决算差异率-1.66%，主要原因是：城乡义务教育保障机制经费-非寄宿生生活补助经费较预算减少。</w:t>
      </w:r>
    </w:p>
    <w:p>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2023年度一般公共预算财政拨款支出3,106.23万元，占本年支出合计的</w:t>
      </w:r>
      <w:r>
        <w:rPr>
          <w:rFonts w:hint="eastAsia" w:ascii="仿宋_GB2312" w:eastAsia="仿宋_GB2312"/>
          <w:sz w:val="32"/>
          <w:szCs w:val="32"/>
          <w:lang w:val="zh-CN"/>
        </w:rPr>
        <w:t>94.00%</w:t>
      </w:r>
      <w:r>
        <w:rPr>
          <w:rFonts w:hint="eastAsia" w:ascii="仿宋_GB2312" w:eastAsia="仿宋_GB2312"/>
          <w:sz w:val="32"/>
          <w:szCs w:val="32"/>
        </w:rPr>
        <w:t>。与上年相比，</w:t>
      </w:r>
      <w:r>
        <w:rPr>
          <w:rFonts w:hint="eastAsia" w:ascii="仿宋_GB2312" w:eastAsia="仿宋_GB2312"/>
          <w:sz w:val="32"/>
          <w:szCs w:val="32"/>
          <w:lang w:val="zh-CN"/>
        </w:rPr>
        <w:t>增加133.46万元</w:t>
      </w:r>
      <w:r>
        <w:rPr>
          <w:rFonts w:hint="eastAsia" w:ascii="仿宋_GB2312" w:eastAsia="仿宋_GB2312"/>
          <w:sz w:val="32"/>
          <w:szCs w:val="32"/>
        </w:rPr>
        <w:t>，增长4.49%,主要原因是：</w:t>
      </w:r>
      <w:r>
        <w:rPr>
          <w:rFonts w:hint="eastAsia" w:ascii="仿宋_GB2312" w:hAnsi="仿宋_GB2312" w:eastAsia="仿宋_GB2312" w:cs="仿宋_GB2312"/>
          <w:sz w:val="32"/>
          <w:szCs w:val="32"/>
          <w:lang w:val="zh-CN"/>
        </w:rPr>
        <w:t>本年单位教师人员增加，人员薪资、津补贴、奖金等人员经费增加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3,194.49</w:t>
      </w:r>
      <w:r>
        <w:rPr>
          <w:rFonts w:hint="eastAsia" w:ascii="仿宋_GB2312" w:eastAsia="仿宋_GB2312"/>
          <w:sz w:val="32"/>
          <w:szCs w:val="32"/>
        </w:rPr>
        <w:t>万元，决算数</w:t>
      </w:r>
      <w:r>
        <w:rPr>
          <w:rFonts w:hint="eastAsia" w:ascii="仿宋_GB2312" w:eastAsia="仿宋_GB2312"/>
          <w:sz w:val="32"/>
          <w:szCs w:val="32"/>
          <w:lang w:val="zh-CN"/>
        </w:rPr>
        <w:t>3,106.23</w:t>
      </w:r>
      <w:r>
        <w:rPr>
          <w:rFonts w:hint="eastAsia" w:ascii="仿宋_GB2312" w:eastAsia="仿宋_GB2312"/>
          <w:sz w:val="32"/>
          <w:szCs w:val="32"/>
        </w:rPr>
        <w:t>万元，预决算差异率</w:t>
      </w:r>
      <w:r>
        <w:rPr>
          <w:rFonts w:hint="eastAsia" w:ascii="仿宋_GB2312" w:eastAsia="仿宋_GB2312"/>
          <w:sz w:val="32"/>
          <w:szCs w:val="32"/>
          <w:lang w:val="zh-CN"/>
        </w:rPr>
        <w:t>-2.76%</w:t>
      </w:r>
      <w:r>
        <w:rPr>
          <w:rFonts w:hint="eastAsia" w:ascii="仿宋_GB2312" w:eastAsia="仿宋_GB2312"/>
          <w:sz w:val="32"/>
          <w:szCs w:val="32"/>
        </w:rPr>
        <w:t>，主要原因是：城乡义务教育保障机制经费-非寄宿生生活补助经费较预算减少。</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.教育支出（类）</w:t>
      </w:r>
      <w:r>
        <w:rPr>
          <w:rFonts w:hint="eastAsia" w:ascii="仿宋_GB2312" w:eastAsia="仿宋_GB2312"/>
          <w:kern w:val="2"/>
          <w:sz w:val="32"/>
          <w:szCs w:val="32"/>
          <w:lang w:val="zh-CN"/>
        </w:rPr>
        <w:t>3,106.23</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1.教育支出（类）普通教育（款）小学教育（项）:支出决算数为1,328.81万元，比上年决算增加57.37万元，增长4.51%，主要原因是：</w:t>
      </w:r>
      <w:r>
        <w:rPr>
          <w:rFonts w:hint="eastAsia" w:ascii="仿宋_GB2312" w:hAnsi="仿宋_GB2312" w:eastAsia="仿宋_GB2312" w:cs="仿宋_GB2312"/>
          <w:sz w:val="32"/>
          <w:szCs w:val="32"/>
          <w:lang w:val="zh-CN"/>
        </w:rPr>
        <w:t>本年单位小学教师增加，人员薪资、津补贴、奖金等人员经费增加。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2.教育支出（类）普通教育（款）初中教育（项）:支出决算数为1,777.42万元，比上年决算增加76.10万元，增长4.47%，主要原因是：</w:t>
      </w:r>
      <w:r>
        <w:rPr>
          <w:rFonts w:hint="eastAsia" w:ascii="仿宋_GB2312" w:hAnsi="仿宋_GB2312" w:eastAsia="仿宋_GB2312" w:cs="仿宋_GB2312"/>
          <w:sz w:val="32"/>
          <w:szCs w:val="32"/>
          <w:lang w:val="zh-CN"/>
        </w:rPr>
        <w:t>本年单位初中教师增加，人员薪资、津补贴、奖金等人员经费增加。</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2,726.65万元，其中：人员经费2,672.51万元，包括：基本工资、津贴补贴、奖金、绩效工资、机关事业单位基本养老保险缴费、职工基本医疗保险缴费、公务员医疗补助缴费、其他社会保障缴费、住房公积金、生活补助、奖励金。</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公用经费54.14万元，包括：水费、劳务费、工会经费、福利费、其他商品和服务支出</w:t>
      </w:r>
      <w:r>
        <w:rPr>
          <w:rFonts w:hint="eastAsia" w:ascii="仿宋_GB2312" w:hAnsi="宋体" w:eastAsia="仿宋_GB2312" w:cs="宋体"/>
          <w:kern w:val="0"/>
          <w:sz w:val="32"/>
          <w:szCs w:val="32"/>
        </w:rPr>
        <w:t>。</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原因是：差异车辆为一般业务用车1辆，车辆费用未使用财政拨款公务用车运行维护费支付。</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乌鲁木齐市第100中（事业单位）公用经费支出54.14万元，</w:t>
      </w:r>
      <w:r>
        <w:rPr>
          <w:rFonts w:hint="eastAsia" w:ascii="仿宋_GB2312" w:hAnsi="仿宋_GB2312" w:eastAsia="仿宋_GB2312" w:cs="仿宋_GB2312"/>
          <w:sz w:val="32"/>
          <w:szCs w:val="32"/>
          <w:lang w:val="zh-CN"/>
        </w:rPr>
        <w:t>比上年减少90.34万元，下降62.53%，主要原因是：本年单位</w:t>
      </w:r>
      <w:r>
        <w:rPr>
          <w:rFonts w:hint="eastAsia" w:ascii="仿宋_GB2312" w:eastAsia="仿宋_GB2312"/>
          <w:sz w:val="32"/>
          <w:szCs w:val="32"/>
        </w:rPr>
        <w:t>水费、劳务费、工会经费较上年减少</w:t>
      </w:r>
      <w:r>
        <w:rPr>
          <w:rFonts w:hint="eastAsia" w:ascii="仿宋_GB2312" w:hAnsi="仿宋_GB2312" w:eastAsia="仿宋_GB2312" w:cs="仿宋_GB2312"/>
          <w:sz w:val="32"/>
          <w:szCs w:val="32"/>
          <w:lang w:val="zh-CN"/>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5,378.07</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屋23,157.00平方米，价值4,046.99万元。车辆1辆，价值3.73万元，其中：副部（省）级及以上领导用车0辆、主要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w:t>
      </w:r>
      <w:r>
        <w:rPr>
          <w:rFonts w:hint="eastAsia" w:ascii="仿宋_GB2312" w:hAnsi="仿宋_GB2312" w:eastAsia="仿宋_GB2312" w:cs="仿宋_GB2312"/>
          <w:sz w:val="32"/>
          <w:szCs w:val="32"/>
        </w:rPr>
        <w:t>校园巡逻车</w:t>
      </w:r>
      <w:r>
        <w:rPr>
          <w:rFonts w:hint="eastAsia" w:ascii="仿宋_GB2312" w:hAnsi="仿宋_GB2312" w:eastAsia="仿宋_GB2312" w:cs="仿宋_GB2312"/>
          <w:sz w:val="32"/>
          <w:szCs w:val="32"/>
          <w:lang w:val="zh-CN"/>
        </w:rPr>
        <w:t>；单价100万元（含）以上设备（不含车辆）0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3,340.00</w:t>
      </w:r>
      <w:r>
        <w:rPr>
          <w:rFonts w:hint="eastAsia" w:ascii="仿宋_GB2312" w:eastAsia="仿宋_GB2312"/>
          <w:sz w:val="32"/>
          <w:szCs w:val="32"/>
        </w:rPr>
        <w:t>万元，实际执行总额</w:t>
      </w:r>
      <w:r>
        <w:rPr>
          <w:rFonts w:ascii="仿宋_GB2312" w:eastAsia="仿宋_GB2312"/>
          <w:sz w:val="32"/>
          <w:szCs w:val="32"/>
        </w:rPr>
        <w:t>3,304.63</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预算绩效评价项目5个，全年预算数</w:t>
      </w:r>
      <w:r>
        <w:rPr>
          <w:rFonts w:ascii="仿宋_GB2312" w:eastAsia="仿宋_GB2312"/>
          <w:sz w:val="32"/>
          <w:szCs w:val="32"/>
        </w:rPr>
        <w:t>607.84</w:t>
      </w:r>
      <w:r>
        <w:rPr>
          <w:rFonts w:hint="eastAsia" w:ascii="仿宋_GB2312" w:eastAsia="仿宋_GB2312"/>
          <w:sz w:val="32"/>
          <w:szCs w:val="32"/>
        </w:rPr>
        <w:t>万元，全年执行数</w:t>
      </w:r>
      <w:r>
        <w:rPr>
          <w:rFonts w:ascii="仿宋_GB2312" w:eastAsia="仿宋_GB2312"/>
          <w:sz w:val="32"/>
          <w:szCs w:val="32"/>
        </w:rPr>
        <w:t>378.34</w:t>
      </w:r>
      <w:r>
        <w:rPr>
          <w:rFonts w:hint="eastAsia" w:ascii="仿宋_GB2312" w:eastAsia="仿宋_GB2312"/>
          <w:sz w:val="32"/>
          <w:szCs w:val="32"/>
        </w:rPr>
        <w:t>万元。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具体项目自评情况附绩效自评表及自评报告。</w:t>
      </w:r>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tblGrid>
      <w:tr>
        <w:tblPrEx>
          <w:tblLayout w:type="fixed"/>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第100中学</w:t>
            </w:r>
          </w:p>
        </w:tc>
      </w:tr>
      <w:tr>
        <w:tblPrEx>
          <w:tblLayout w:type="fixed"/>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hint="eastAsia" w:ascii="宋体" w:hAnsi="宋体"/>
                <w:sz w:val="18"/>
              </w:rPr>
              <w:t>3,194.49</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3,340.00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3,304.63</w:t>
            </w:r>
          </w:p>
        </w:tc>
        <w:tc>
          <w:tcPr>
            <w:tcW w:w="100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98.94%</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9.89</w:t>
            </w:r>
          </w:p>
        </w:tc>
      </w:tr>
      <w:tr>
        <w:tblPrEx>
          <w:tblLayout w:type="fixed"/>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175.15</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215.10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214.23</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18.72</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13.25</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13.25</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43.36</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43.36</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43.36</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hint="eastAsia" w:ascii="宋体" w:hAnsi="宋体"/>
                <w:sz w:val="18"/>
              </w:rPr>
              <w:t>2,738.75</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2,877.59</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2,843.09</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218.51</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190.70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190.70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tblPrEx>
          <w:tblLayout w:type="fixed"/>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在上级部门和我校领导的指导下，围绕教育事业发展目标，保证教职工正常的社保缴费，正常的工资及奖金的发放，保证教师教学等各项工作顺利开展，确保学校学生各项活动的开展，确保教师培训费活动顺利开展，确保学校日常业务及校园环境安全卫生。</w:t>
            </w:r>
          </w:p>
        </w:tc>
        <w:tc>
          <w:tcPr>
            <w:tcW w:w="4689"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按照学校经费使用计划，完成教育教学及办公用品、维修设备的采购、发放和管理工作。根据预算安排，拟定收支计划，并组织实施、管理和监督。规范会计行为；组织执行国家统一的会计制度和自治区相关补充规定；组织教师的业务培训。全面贯彻党和国家的路线、方针、政策、法规，全面实施素质教育，认真执行上级党委和教育行政部门的指示，依法治校，努力提高学校的办学水平和办学效益。全面规划，统一安排学校的各项工作，组织制定和实施学校发展规划、工作计划。负责健全学校行政指挥系统，健全各项规章制度，保证学校正常的工作秩序。</w:t>
            </w:r>
          </w:p>
        </w:tc>
      </w:tr>
      <w:tr>
        <w:tblPrEx>
          <w:tblLayout w:type="fixed"/>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备课组每周开展活动次数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关于印发《乌鲁木齐市中小学教学常规管理的通知》</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教研组每周开展活动次数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关于印发《乌鲁木齐市中小学教学常规管理的通知》</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每位教师每学年开展公开课次数</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关于印发《乌鲁木齐市中小学教学常规管理的通知》</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r>
      <w:tr>
        <w:tblPrEx>
          <w:tblLayout w:type="fixed"/>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99.89分</w:t>
            </w: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乌财教科【2023】106号—关于拨付2023年中小学和幼儿园自聘教师补助资金的通知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第100中学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45.16</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63.29</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63.29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45.16</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19.93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19.93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43.36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43.36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此项目主要内容为按标准为我校自聘教师及时发放工资并缴纳社保，此项目的实施可提升我校教师队伍稳定性，有效保障学校正常运行，推动学校均衡化发展。</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该项目给劳务派遣公司支付20名自聘教师2023年工资薪酬，达到保障自聘教师工资薪酬发放的目的，提高代课教师的工资。</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自聘教师人数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&gt;=20人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教师持证上岗比例（%）</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课程正常开课率（%）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项目完成时段</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代课工资标准</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=4200元/人/月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4200元/人/月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提高办学服务发展能力</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&gt;=98%</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本年度学校领导班子对学校各项工作进行了优化，学校工作满意度水平较高。</w:t>
            </w: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乌财教科【2023】45号—关于拨付2023年中小学和幼儿园自聘教师补助资金的通知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第100中学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25.23</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25.23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14.38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57.00%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5.70分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25.23</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25.23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14.38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此项目主要内容为按标准为我校自聘教师及时发放工资并缴纳社保，此项目的实施可提升我校教师队伍稳定性，有效保障学校正常运行，推动学校均衡化发展。</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该项目给劳务派遣公司支付15名同工同酬和自聘教师2023年工资薪酬，达到保障自聘教师工资薪酬发放的目的，提高代课教师的工资。</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自聘教师人数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&gt;=20人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教师持证上岗比例（%）</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课程正常开课率（%）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项目完成时段</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代课教师工资标准</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=4200元/人/月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4200元/人/月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提高办学服务发展能力</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&gt;=98%</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本年度学校领导班子对学校各项工作进行了优化，学校工作满意度水平较高。</w:t>
            </w: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95.70分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公用经费乌财科教【2022】67号-75号关于提前下达2023年教育直达资金预算的通知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第100中学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196.85</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425.82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213.00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50.02%</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5.00分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196.85</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254.79</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147.38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171.03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65.62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本项目通过缴纳全年公用暖气费，支付12个月学校安保服务费，维修学校设施，可改善我校办学硬件设施，有效改善校园环境，明显提高办学条件，推动义务教育均衡化发展。</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该项目资金区财政及时拨付，单位在此次评价期间内，有序完成设定目标的部分工作任务，本项目支付学校安保服务费；水电费、网络通讯及电话费；印刷费；办公用房取暖费；其他耗材费等。该项目资金使用保障学校日常运行运转，达到改善教学教育环境及教学设施、提高学生综合素质的目标效果。</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享受教学条件改善学生数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=2766人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2766人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学校供暖面积</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=19642平方米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19642平方米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学校供暖覆盖率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学校全年正常运转率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供暖费平均成本</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=22元/平方米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22元/平方米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提高社会服务发展能力、提升学生综合素质</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本年度学校领导班子对学校各项工作进行了优化，学校工作满意度水平较高。</w:t>
            </w: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95.00分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教育系统清偿中小企业账款-运动场工程款</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第100中学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74.42</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74.42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74.42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74.42</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74.42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74.42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完成运动场工程前期未付工程款，共计744200元，运动场工程的投入使用，使学校基础办学条件得到了提升，为学生体育锻炼提供了必要的场所。</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支付学校运动场工程欠款74.42万元，为学校基础办学条件提供了保障，给学校体育活动提供了必要的场所。</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运动场面积</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=300平方米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300平方米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工程验收合格率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工程完成率（%）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工期总时长</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&lt;=4个月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提高办学条件</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完全达到预期水平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师生满意度（%）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生活补助乌财科教【2022】75-67号关于提前下达2023年教育直达资金预算的通知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第100中学</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14.25</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19.08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13.25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69.44%</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6.94分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14.25</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17.19</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11.36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1.89</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1.89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我校贫困生资助管理专干根据贫困生资助管理平台，提供人数121人，其中小学58人，初中63人，预计2023年的实际需求，非寄宿生家庭困难生活补助标准，小学每生312.5元/学期，初中每生375元/学期，支付全年贫困生生活补助，可改善贫困生家庭经济条件，帮助贫困生顺利完成学业。</w:t>
            </w:r>
          </w:p>
        </w:tc>
        <w:tc>
          <w:tcPr>
            <w:tcW w:w="4625"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根据我校贫困生资助管理专干根据贫困生资助管理平台，提供人数，2023年共发放2022年非寄宿生家庭困难生活补助秋季补助共计114人，支付2023年非寄宿生家庭困难生活补助春季共计124人，秋季补助共计146人，小学学生312.5元/学期，初中学生375元/学期，达到可改善贫困生家庭经济条件目的，帮助贫困生顺利完成学业。</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发放学生计划数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=210人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210人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建档立卡学生人数</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&gt;=121人</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124人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本年度转入转出学生造成预算执行有所偏差。</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贫困生补助覆盖率</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享受补助时长</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小学享受补助标准</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=625元/生/年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625元/生/年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初中享受补助标准</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=750元/生/年</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750元/生/年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解决非寄宿贫困学生困难</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有效解决</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本年度学校领导班子对学校各项工作进行了优化，学校工作满意度水平较高。</w:t>
            </w: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96.94分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pPr>
        <w:ind w:firstLine="640" w:firstLineChars="200"/>
        <w:jc w:val="left"/>
        <w:rPr>
          <w:rFonts w:hint="eastAsia" w:ascii="仿宋_GB2312" w:hAnsi="仿宋_GB2312" w:eastAsia="仿宋_GB2312" w:cs="仿宋_GB2312"/>
          <w:kern w:val="0"/>
          <w:sz w:val="32"/>
          <w:szCs w:val="32"/>
        </w:rPr>
      </w:pPr>
    </w:p>
    <w:p>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hint="eastAsia"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hint="eastAsia"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hint="eastAsia"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hint="eastAsia"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hint="eastAsia"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C856E4"/>
    <w:rsid w:val="00170A92"/>
    <w:rsid w:val="00213C59"/>
    <w:rsid w:val="002F772A"/>
    <w:rsid w:val="003210CE"/>
    <w:rsid w:val="00336112"/>
    <w:rsid w:val="005113CD"/>
    <w:rsid w:val="0055778B"/>
    <w:rsid w:val="0070013B"/>
    <w:rsid w:val="007D1FDB"/>
    <w:rsid w:val="0081751B"/>
    <w:rsid w:val="008A1ED1"/>
    <w:rsid w:val="00B4108D"/>
    <w:rsid w:val="00B70D59"/>
    <w:rsid w:val="00B721E4"/>
    <w:rsid w:val="00BF472D"/>
    <w:rsid w:val="00C856E4"/>
    <w:rsid w:val="00DF1369"/>
    <w:rsid w:val="00EE00D7"/>
    <w:rsid w:val="00EE7B26"/>
    <w:rsid w:val="00F529A3"/>
    <w:rsid w:val="00F52A8D"/>
    <w:rsid w:val="00F82468"/>
    <w:rsid w:val="00FA20A9"/>
    <w:rsid w:val="00FF772C"/>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3F18CB"/>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1764</Words>
  <Characters>10055</Characters>
  <Lines>83</Lines>
  <Paragraphs>23</Paragraphs>
  <TotalTime>32</TotalTime>
  <ScaleCrop>false</ScaleCrop>
  <LinksUpToDate>false</LinksUpToDate>
  <CharactersWithSpaces>11796</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姜哲文</cp:lastModifiedBy>
  <dcterms:modified xsi:type="dcterms:W3CDTF">2025-12-16T09:26:53Z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