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乌鲁木齐市第106小学</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本校是一所普通小学。主要是招收适龄儿童实施初等教育的独立设置学校。确立了“以市场为导向，以服务为宗旨，以需求为目标，以管理促效益，以质量求生存”的办学理念和工作思路。</w:t>
      </w:r>
    </w:p>
    <w:p>
      <w:pPr>
        <w:ind w:firstLine="640" w:firstLineChars="200"/>
        <w:jc w:val="left"/>
        <w:rPr>
          <w:rFonts w:ascii="仿宋_GB2312" w:eastAsia="仿宋_GB2312"/>
          <w:sz w:val="32"/>
          <w:szCs w:val="32"/>
        </w:rPr>
      </w:pPr>
      <w:r>
        <w:rPr>
          <w:rFonts w:hint="eastAsia" w:ascii="仿宋_GB2312" w:eastAsia="仿宋_GB2312"/>
          <w:sz w:val="32"/>
          <w:szCs w:val="32"/>
        </w:rPr>
        <w:t>乌鲁木齐市第106小学位于米东区古牧地镇太平渠村，占地面积9,860平方米，校舍建筑面积6,206平方米，各类功能室齐全，绿化面积2,000平米，我校采用最先进的教学设施，配备完善的各学科实验室，功能室，图书室，一流的办学条件，硬件设施良好，师生精神面貌积极向上，是一个团结向上、和谐融洽、规划合理的育人之地，是一所全新的、完备的、具有一定领先地位的现代化先进小学。</w:t>
      </w:r>
    </w:p>
    <w:p>
      <w:pPr>
        <w:ind w:firstLine="640" w:firstLineChars="200"/>
        <w:jc w:val="left"/>
        <w:rPr>
          <w:rFonts w:ascii="仿宋_GB2312" w:eastAsia="仿宋_GB2312"/>
          <w:sz w:val="32"/>
          <w:szCs w:val="32"/>
        </w:rPr>
      </w:pPr>
      <w:r>
        <w:rPr>
          <w:rFonts w:hint="eastAsia" w:ascii="仿宋_GB2312" w:eastAsia="仿宋_GB2312"/>
          <w:sz w:val="32"/>
          <w:szCs w:val="32"/>
        </w:rPr>
        <w:t>1．宣传贯彻执行党和国家的教育方针、政策、法律法规等，坚持依法治教、依法治学，贯彻执行上级教育部门的行政规章制度。</w:t>
      </w:r>
    </w:p>
    <w:p>
      <w:pPr>
        <w:ind w:firstLine="640" w:firstLineChars="200"/>
        <w:jc w:val="left"/>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2．配合上级教育部门制定符合党的教育方针和国家教育法律法规以及本校实际的教育发展规划和学校布局调整规划，并抓好组织实施和落实工作。</w:t>
      </w:r>
    </w:p>
    <w:p>
      <w:pPr>
        <w:ind w:firstLine="640" w:firstLineChars="200"/>
        <w:jc w:val="left"/>
        <w:rPr>
          <w:rFonts w:ascii="仿宋_GB2312" w:eastAsia="仿宋_GB2312"/>
          <w:sz w:val="32"/>
          <w:szCs w:val="32"/>
        </w:rPr>
      </w:pPr>
      <w:r>
        <w:rPr>
          <w:rFonts w:hint="eastAsia" w:ascii="仿宋_GB2312" w:eastAsia="仿宋_GB2312"/>
          <w:sz w:val="32"/>
          <w:szCs w:val="32"/>
        </w:rPr>
        <w:t>3．配合各级人民政府依法动员、组织适龄少年入学，严格控制辍学，推进普及义务教育。</w:t>
      </w:r>
    </w:p>
    <w:p>
      <w:pPr>
        <w:ind w:firstLine="640" w:firstLineChars="200"/>
        <w:jc w:val="left"/>
        <w:rPr>
          <w:rFonts w:ascii="仿宋_GB2312" w:eastAsia="仿宋_GB2312"/>
          <w:sz w:val="32"/>
          <w:szCs w:val="32"/>
        </w:rPr>
      </w:pPr>
      <w:r>
        <w:rPr>
          <w:rFonts w:hint="eastAsia" w:ascii="仿宋_GB2312" w:eastAsia="仿宋_GB2312"/>
          <w:sz w:val="32"/>
          <w:szCs w:val="32"/>
        </w:rPr>
        <w:t>4．组织开展本校的教育教学科研和教育教学改革，科研兴教，科研兴校。负责对本校教育教学业务的具体管理，负责教育教学管理及教研教改工作。</w:t>
      </w:r>
    </w:p>
    <w:p>
      <w:pPr>
        <w:ind w:firstLine="640" w:firstLineChars="200"/>
        <w:jc w:val="left"/>
        <w:rPr>
          <w:rFonts w:ascii="仿宋_GB2312" w:eastAsia="仿宋_GB2312"/>
          <w:sz w:val="32"/>
          <w:szCs w:val="32"/>
        </w:rPr>
      </w:pPr>
      <w:r>
        <w:rPr>
          <w:rFonts w:hint="eastAsia"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pPr>
        <w:ind w:firstLine="640" w:firstLineChars="200"/>
        <w:jc w:val="left"/>
        <w:rPr>
          <w:rFonts w:ascii="仿宋_GB2312" w:eastAsia="仿宋_GB2312"/>
          <w:sz w:val="32"/>
          <w:szCs w:val="32"/>
        </w:rPr>
      </w:pPr>
      <w:r>
        <w:rPr>
          <w:rFonts w:hint="eastAsia"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pPr>
        <w:ind w:firstLine="640" w:firstLineChars="200"/>
        <w:jc w:val="left"/>
        <w:rPr>
          <w:rFonts w:ascii="仿宋_GB2312" w:eastAsia="仿宋_GB2312"/>
          <w:sz w:val="32"/>
          <w:szCs w:val="32"/>
        </w:rPr>
      </w:pPr>
      <w:r>
        <w:rPr>
          <w:rFonts w:hint="eastAsia"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pPr>
        <w:ind w:firstLine="640" w:firstLineChars="200"/>
        <w:jc w:val="left"/>
        <w:rPr>
          <w:rFonts w:ascii="仿宋_GB2312" w:eastAsia="仿宋_GB2312"/>
          <w:sz w:val="32"/>
          <w:szCs w:val="32"/>
        </w:rPr>
      </w:pPr>
      <w:r>
        <w:rPr>
          <w:rFonts w:hint="eastAsia" w:ascii="仿宋_GB2312" w:eastAsia="仿宋_GB2312"/>
          <w:sz w:val="32"/>
          <w:szCs w:val="32"/>
        </w:rPr>
        <w:t>8.建立健全学生学籍管理制度，按</w:t>
      </w:r>
      <w:bookmarkStart w:id="49" w:name="_GoBack"/>
      <w:bookmarkEnd w:id="49"/>
      <w:r>
        <w:rPr>
          <w:rFonts w:hint="eastAsia" w:ascii="仿宋_GB2312" w:eastAsia="仿宋_GB2312"/>
          <w:sz w:val="32"/>
          <w:szCs w:val="32"/>
          <w:lang w:eastAsia="zh-CN"/>
        </w:rPr>
        <w:t>教育部</w:t>
      </w:r>
      <w:r>
        <w:rPr>
          <w:rFonts w:hint="eastAsia" w:ascii="仿宋_GB2312" w:eastAsia="仿宋_GB2312"/>
          <w:sz w:val="32"/>
          <w:szCs w:val="32"/>
        </w:rPr>
        <w:t>颁布的规定管理学生学籍。</w:t>
      </w:r>
    </w:p>
    <w:p>
      <w:pPr>
        <w:ind w:firstLine="640" w:firstLineChars="200"/>
        <w:jc w:val="left"/>
        <w:rPr>
          <w:rFonts w:ascii="仿宋_GB2312" w:eastAsia="仿宋_GB2312"/>
          <w:sz w:val="32"/>
          <w:szCs w:val="32"/>
        </w:rPr>
      </w:pPr>
      <w:r>
        <w:rPr>
          <w:rFonts w:hint="eastAsia" w:ascii="仿宋_GB2312" w:eastAsia="仿宋_GB2312"/>
          <w:sz w:val="32"/>
          <w:szCs w:val="32"/>
        </w:rPr>
        <w:t>9.在上级党委、政府和教育行政部门的领导下，积极开展学校的安全管理，不断提高安全管理水平，努力营造安全和谐的校园环境。</w:t>
      </w:r>
    </w:p>
    <w:p>
      <w:pPr>
        <w:ind w:firstLine="640" w:firstLineChars="200"/>
        <w:jc w:val="left"/>
        <w:rPr>
          <w:rFonts w:ascii="仿宋_GB2312" w:eastAsia="仿宋_GB2312"/>
          <w:sz w:val="32"/>
          <w:szCs w:val="32"/>
        </w:rPr>
      </w:pPr>
      <w:r>
        <w:rPr>
          <w:rFonts w:hint="eastAsia" w:ascii="仿宋_GB2312" w:eastAsia="仿宋_GB2312"/>
          <w:sz w:val="32"/>
          <w:szCs w:val="32"/>
        </w:rPr>
        <w:t>10．在上级教育部门的领导下，谋划布局，全面推进义务教育均衡发展。</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乌鲁木齐市第106小学2023年度，实有人数</w:t>
      </w:r>
      <w:r>
        <w:rPr>
          <w:rFonts w:hint="eastAsia" w:ascii="仿宋_GB2312" w:eastAsia="仿宋_GB2312"/>
          <w:sz w:val="32"/>
          <w:szCs w:val="32"/>
          <w:lang w:val="zh-CN"/>
        </w:rPr>
        <w:t>45</w:t>
      </w:r>
      <w:r>
        <w:rPr>
          <w:rFonts w:hint="eastAsia" w:ascii="仿宋_GB2312" w:eastAsia="仿宋_GB2312"/>
          <w:sz w:val="32"/>
          <w:szCs w:val="32"/>
        </w:rPr>
        <w:t>人，其中：在职人员</w:t>
      </w:r>
      <w:r>
        <w:rPr>
          <w:rFonts w:hint="eastAsia" w:ascii="仿宋_GB2312" w:eastAsia="仿宋_GB2312"/>
          <w:sz w:val="32"/>
          <w:szCs w:val="32"/>
          <w:lang w:val="zh-CN"/>
        </w:rPr>
        <w:t>30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15</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校长办公室、财务室、综合学科办公室、低段学科办公室、中段学科办公室、高段学科办公室。</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2023年度收入总计615.41万元，其中：本年收入合计588.62万元，使用非财政拨款结余0.00万元，年初结转和结余26.79万元。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2023年度支出总计615.41万元，其中：本年支出合计596.68万元，结余分配0.00万元，年末结转和结余18.73万元。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减少14.96万元</w:t>
      </w:r>
      <w:r>
        <w:rPr>
          <w:rFonts w:hint="eastAsia" w:ascii="仿宋_GB2312" w:eastAsia="仿宋_GB2312"/>
          <w:sz w:val="32"/>
          <w:szCs w:val="32"/>
        </w:rPr>
        <w:t>，下降2.37%，主要原因是：本年在职人员基础性绩效奖、薪级工资等经费减少。</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本年收入588.62万元，其中：财政拨款收入</w:t>
      </w:r>
      <w:r>
        <w:rPr>
          <w:rFonts w:hint="eastAsia" w:ascii="仿宋_GB2312" w:eastAsia="仿宋_GB2312"/>
          <w:sz w:val="32"/>
          <w:szCs w:val="32"/>
          <w:lang w:val="zh-CN"/>
        </w:rPr>
        <w:t>568.70</w:t>
      </w:r>
      <w:r>
        <w:rPr>
          <w:rFonts w:hint="eastAsia" w:ascii="仿宋_GB2312" w:eastAsia="仿宋_GB2312"/>
          <w:sz w:val="32"/>
          <w:szCs w:val="32"/>
        </w:rPr>
        <w:t>万元，占</w:t>
      </w:r>
      <w:r>
        <w:rPr>
          <w:rFonts w:hint="eastAsia" w:ascii="仿宋_GB2312" w:eastAsia="仿宋_GB2312"/>
          <w:sz w:val="32"/>
          <w:szCs w:val="32"/>
          <w:lang w:val="zh-CN"/>
        </w:rPr>
        <w:t>96.62%</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19.92</w:t>
      </w:r>
      <w:r>
        <w:rPr>
          <w:rFonts w:hint="eastAsia" w:ascii="仿宋_GB2312" w:eastAsia="仿宋_GB2312"/>
          <w:sz w:val="32"/>
          <w:szCs w:val="32"/>
        </w:rPr>
        <w:t>万元，占</w:t>
      </w:r>
      <w:r>
        <w:rPr>
          <w:rFonts w:hint="eastAsia" w:ascii="仿宋_GB2312" w:eastAsia="仿宋_GB2312"/>
          <w:sz w:val="32"/>
          <w:szCs w:val="32"/>
          <w:lang w:val="zh-CN"/>
        </w:rPr>
        <w:t>3.38%</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本年支出596.68万元，其中：基本支出491.25万元，占82.33%；项目支出105.43万元，占17.67%；上缴上级支出0.00万元，占0.00%；经营支出0.00万元，占0.00%；对附属单位补助支出0.00万元，占0.00%。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576.11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7.41</w:t>
      </w:r>
      <w:r>
        <w:rPr>
          <w:rFonts w:hint="eastAsia" w:ascii="仿宋_GB2312" w:eastAsia="仿宋_GB2312"/>
          <w:sz w:val="32"/>
          <w:szCs w:val="32"/>
        </w:rPr>
        <w:t>万元，本年财政拨款收入</w:t>
      </w:r>
      <w:r>
        <w:rPr>
          <w:rFonts w:hint="eastAsia" w:ascii="仿宋_GB2312" w:eastAsia="仿宋_GB2312"/>
          <w:sz w:val="32"/>
          <w:szCs w:val="32"/>
          <w:lang w:val="zh-CN"/>
        </w:rPr>
        <w:t>568.70</w:t>
      </w:r>
      <w:r>
        <w:rPr>
          <w:rFonts w:hint="eastAsia" w:ascii="仿宋_GB2312" w:eastAsia="仿宋_GB2312"/>
          <w:sz w:val="32"/>
          <w:szCs w:val="32"/>
        </w:rPr>
        <w:t>万元。财政拨款支出总计</w:t>
      </w:r>
      <w:r>
        <w:rPr>
          <w:rFonts w:hint="eastAsia" w:ascii="仿宋_GB2312" w:eastAsia="仿宋_GB2312"/>
          <w:sz w:val="32"/>
          <w:szCs w:val="32"/>
          <w:lang w:val="zh-CN"/>
        </w:rPr>
        <w:t>576.11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15.32</w:t>
      </w:r>
      <w:r>
        <w:rPr>
          <w:rFonts w:hint="eastAsia" w:ascii="仿宋_GB2312" w:eastAsia="仿宋_GB2312"/>
          <w:sz w:val="32"/>
          <w:szCs w:val="32"/>
        </w:rPr>
        <w:t>万元，本年财政拨款支出</w:t>
      </w:r>
      <w:r>
        <w:rPr>
          <w:rFonts w:hint="eastAsia" w:ascii="仿宋_GB2312" w:eastAsia="仿宋_GB2312"/>
          <w:sz w:val="32"/>
          <w:szCs w:val="32"/>
          <w:lang w:val="zh-CN"/>
        </w:rPr>
        <w:t>560.79</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减少12.59万元</w:t>
      </w:r>
      <w:r>
        <w:rPr>
          <w:rFonts w:hint="eastAsia" w:ascii="仿宋_GB2312" w:eastAsia="仿宋_GB2312"/>
          <w:sz w:val="32"/>
          <w:szCs w:val="32"/>
        </w:rPr>
        <w:t>，下降2.14%,主要原因是：本年在职人员基础性绩效奖、薪级工资等经费减少。与年初预算相比，年初预算数</w:t>
      </w:r>
      <w:r>
        <w:rPr>
          <w:rFonts w:hint="eastAsia" w:ascii="仿宋_GB2312" w:eastAsia="仿宋_GB2312"/>
          <w:sz w:val="32"/>
          <w:szCs w:val="32"/>
          <w:lang w:val="zh-CN"/>
        </w:rPr>
        <w:t>662.23</w:t>
      </w:r>
      <w:r>
        <w:rPr>
          <w:rFonts w:hint="eastAsia" w:ascii="仿宋_GB2312" w:eastAsia="仿宋_GB2312"/>
          <w:sz w:val="32"/>
          <w:szCs w:val="32"/>
        </w:rPr>
        <w:t>万元，决算数</w:t>
      </w:r>
      <w:r>
        <w:rPr>
          <w:rFonts w:hint="eastAsia" w:ascii="仿宋_GB2312" w:eastAsia="仿宋_GB2312"/>
          <w:sz w:val="32"/>
          <w:szCs w:val="32"/>
          <w:lang w:val="zh-CN"/>
        </w:rPr>
        <w:t>576.11</w:t>
      </w:r>
      <w:r>
        <w:rPr>
          <w:rFonts w:hint="eastAsia" w:ascii="仿宋_GB2312" w:eastAsia="仿宋_GB2312"/>
          <w:sz w:val="32"/>
          <w:szCs w:val="32"/>
        </w:rPr>
        <w:t>万元，预决算差异率-13.00%，主要原因是：本年实际人员工资，津补贴等相应经费小于年初预算安排金额。</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2023年度一般公共预算财政拨款支出560.79万元，占本年支出合计的</w:t>
      </w:r>
      <w:r>
        <w:rPr>
          <w:rFonts w:hint="eastAsia" w:ascii="仿宋_GB2312" w:eastAsia="仿宋_GB2312"/>
          <w:sz w:val="32"/>
          <w:szCs w:val="32"/>
          <w:lang w:val="zh-CN"/>
        </w:rPr>
        <w:t>93.99%</w:t>
      </w:r>
      <w:r>
        <w:rPr>
          <w:rFonts w:hint="eastAsia" w:ascii="仿宋_GB2312" w:eastAsia="仿宋_GB2312"/>
          <w:sz w:val="32"/>
          <w:szCs w:val="32"/>
        </w:rPr>
        <w:t>。与上年相比，</w:t>
      </w:r>
      <w:r>
        <w:rPr>
          <w:rFonts w:hint="eastAsia" w:ascii="仿宋_GB2312" w:eastAsia="仿宋_GB2312"/>
          <w:sz w:val="32"/>
          <w:szCs w:val="32"/>
          <w:lang w:val="zh-CN"/>
        </w:rPr>
        <w:t>减少20.51万元</w:t>
      </w:r>
      <w:r>
        <w:rPr>
          <w:rFonts w:hint="eastAsia" w:ascii="仿宋_GB2312" w:eastAsia="仿宋_GB2312"/>
          <w:sz w:val="32"/>
          <w:szCs w:val="32"/>
        </w:rPr>
        <w:t>，下降3.53%,主要原因是：本年在职人员基础性绩效奖、薪级工资等经费减少。与年初预算相比，年初预算数</w:t>
      </w:r>
      <w:r>
        <w:rPr>
          <w:rFonts w:hint="eastAsia" w:ascii="仿宋_GB2312" w:eastAsia="仿宋_GB2312"/>
          <w:sz w:val="32"/>
          <w:szCs w:val="32"/>
          <w:lang w:val="zh-CN"/>
        </w:rPr>
        <w:t>662.23</w:t>
      </w:r>
      <w:r>
        <w:rPr>
          <w:rFonts w:hint="eastAsia" w:ascii="仿宋_GB2312" w:eastAsia="仿宋_GB2312"/>
          <w:sz w:val="32"/>
          <w:szCs w:val="32"/>
        </w:rPr>
        <w:t>万元，决算数</w:t>
      </w:r>
      <w:r>
        <w:rPr>
          <w:rFonts w:hint="eastAsia" w:ascii="仿宋_GB2312" w:eastAsia="仿宋_GB2312"/>
          <w:sz w:val="32"/>
          <w:szCs w:val="32"/>
          <w:lang w:val="zh-CN"/>
        </w:rPr>
        <w:t>560.79</w:t>
      </w:r>
      <w:r>
        <w:rPr>
          <w:rFonts w:hint="eastAsia" w:ascii="仿宋_GB2312" w:eastAsia="仿宋_GB2312"/>
          <w:sz w:val="32"/>
          <w:szCs w:val="32"/>
        </w:rPr>
        <w:t>万元，预决算差异率</w:t>
      </w:r>
      <w:r>
        <w:rPr>
          <w:rFonts w:hint="eastAsia" w:ascii="仿宋_GB2312" w:eastAsia="仿宋_GB2312"/>
          <w:sz w:val="32"/>
          <w:szCs w:val="32"/>
          <w:lang w:val="zh-CN"/>
        </w:rPr>
        <w:t>-15.32%</w:t>
      </w:r>
      <w:r>
        <w:rPr>
          <w:rFonts w:hint="eastAsia" w:ascii="仿宋_GB2312" w:eastAsia="仿宋_GB2312"/>
          <w:sz w:val="32"/>
          <w:szCs w:val="32"/>
        </w:rPr>
        <w:t>，主要原因是：本年实际人员工资，津补贴等相应经费小于年初预算安排金额。</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560.79</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1.教育支出（类）普通教育（款）小学教育（项）:支出决算数为560.79万元，比上年决算减少20.51万元，下降3.53%，主要原因是：</w:t>
      </w:r>
      <w:r>
        <w:rPr>
          <w:rFonts w:hint="eastAsia" w:ascii="仿宋_GB2312" w:eastAsia="仿宋_GB2312"/>
          <w:sz w:val="32"/>
          <w:szCs w:val="32"/>
        </w:rPr>
        <w:t>本年在职人员基础性绩效奖、薪级工资等经费减少</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491.25万元，其中：人员经费454.66万元，包括：基本工资、津贴补贴、奖金、绩效工资、机关事业单位基本养老保险缴费、职工基本医疗保险缴费、公务员医疗补助缴费、其他社会保障缴费、住房公积金。</w:t>
      </w:r>
    </w:p>
    <w:p>
      <w:pPr>
        <w:ind w:firstLine="640" w:firstLineChars="200"/>
        <w:jc w:val="left"/>
        <w:rPr>
          <w:rFonts w:ascii="仿宋_GB2312" w:eastAsia="仿宋_GB2312"/>
          <w:sz w:val="32"/>
          <w:szCs w:val="32"/>
        </w:rPr>
      </w:pPr>
      <w:r>
        <w:rPr>
          <w:rFonts w:hint="eastAsia" w:ascii="仿宋_GB2312" w:eastAsia="仿宋_GB2312"/>
          <w:sz w:val="32"/>
          <w:szCs w:val="32"/>
        </w:rPr>
        <w:t>公用经费36.59万元，包括：取暖费、劳务费、工会经费、福利费、其他交通费用、其他商品和服务支出。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bookmarkStart w:id="18" w:name="_Hlk179645456"/>
      <w:r>
        <w:rPr>
          <w:rFonts w:hint="eastAsia" w:ascii="仿宋_GB2312" w:eastAsia="仿宋_GB2312"/>
          <w:sz w:val="32"/>
          <w:szCs w:val="32"/>
          <w:lang w:val="zh-CN"/>
        </w:rPr>
        <w:t>本年单位无此项经费</w:t>
      </w:r>
      <w:bookmarkEnd w:id="18"/>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差异车辆为一般业务用车1辆，车辆费用未使用财政拨款公务用车运行维护费支付</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pPr>
        <w:ind w:firstLine="640" w:firstLineChars="200"/>
        <w:jc w:val="left"/>
        <w:outlineLvl w:val="1"/>
        <w:rPr>
          <w:rFonts w:hint="eastAsia" w:ascii="黑体" w:hAnsi="黑体" w:eastAsia="黑体" w:cs="宋体"/>
          <w:bCs/>
          <w:kern w:val="0"/>
          <w:sz w:val="32"/>
          <w:szCs w:val="32"/>
        </w:rPr>
      </w:pPr>
      <w:bookmarkStart w:id="19" w:name="_Toc5810"/>
      <w:bookmarkStart w:id="20" w:name="_Toc7927"/>
      <w:r>
        <w:rPr>
          <w:rFonts w:hint="eastAsia" w:ascii="黑体" w:hAnsi="黑体" w:eastAsia="黑体" w:cs="宋体"/>
          <w:bCs/>
          <w:kern w:val="0"/>
          <w:sz w:val="32"/>
          <w:szCs w:val="32"/>
        </w:rPr>
        <w:t>八、政府性基金预算财政拨款收入支出决算情况说明</w:t>
      </w:r>
      <w:bookmarkEnd w:id="19"/>
      <w:bookmarkEnd w:id="20"/>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1" w:name="_Toc1235"/>
      <w:bookmarkStart w:id="22" w:name="_Toc7314"/>
      <w:r>
        <w:rPr>
          <w:rFonts w:hint="eastAsia" w:ascii="黑体" w:hAnsi="黑体" w:eastAsia="黑体" w:cs="宋体"/>
          <w:bCs/>
          <w:kern w:val="0"/>
          <w:sz w:val="32"/>
          <w:szCs w:val="32"/>
        </w:rPr>
        <w:t>十、其他重要事项的情况说明</w:t>
      </w:r>
      <w:bookmarkEnd w:id="21"/>
      <w:bookmarkEnd w:id="22"/>
    </w:p>
    <w:p>
      <w:pPr>
        <w:ind w:firstLine="640" w:firstLineChars="200"/>
        <w:jc w:val="left"/>
        <w:outlineLvl w:val="2"/>
        <w:rPr>
          <w:rFonts w:hint="eastAsia" w:ascii="黑体" w:hAnsi="黑体" w:eastAsia="黑体"/>
          <w:sz w:val="32"/>
          <w:szCs w:val="32"/>
        </w:rPr>
      </w:pPr>
      <w:bookmarkStart w:id="23" w:name="_Toc13105"/>
      <w:bookmarkStart w:id="24" w:name="_Toc14519"/>
      <w:r>
        <w:rPr>
          <w:rFonts w:hint="eastAsia" w:ascii="黑体" w:hAnsi="黑体" w:eastAsia="黑体"/>
          <w:sz w:val="32"/>
          <w:szCs w:val="32"/>
        </w:rPr>
        <w:t>（一）机关运行经费支出情况</w:t>
      </w:r>
      <w:bookmarkEnd w:id="23"/>
      <w:bookmarkEnd w:id="24"/>
    </w:p>
    <w:p>
      <w:pPr>
        <w:ind w:firstLine="640" w:firstLineChars="200"/>
        <w:rPr>
          <w:rFonts w:hint="eastAsia" w:ascii="仿宋_GB2312" w:hAnsi="仿宋_GB2312" w:eastAsia="仿宋_GB2312" w:cs="仿宋_GB2312"/>
          <w:sz w:val="32"/>
          <w:szCs w:val="32"/>
          <w:lang w:val="zh-CN"/>
        </w:rPr>
      </w:pPr>
      <w:bookmarkStart w:id="25" w:name="_Toc227"/>
      <w:bookmarkStart w:id="26"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乌鲁木齐市第106小学（事业单位）公用经费支出36.59万元，</w:t>
      </w:r>
      <w:r>
        <w:rPr>
          <w:rFonts w:hint="eastAsia" w:ascii="仿宋_GB2312" w:hAnsi="仿宋_GB2312" w:eastAsia="仿宋_GB2312" w:cs="仿宋_GB2312"/>
          <w:sz w:val="32"/>
          <w:szCs w:val="32"/>
          <w:lang w:val="zh-CN"/>
        </w:rPr>
        <w:t>比上年减少30.27万元，下降45.27%，主要原因是：本年劳务费，工会经费和福利费等减少。</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7" w:name="_Toc4591"/>
      <w:bookmarkStart w:id="28" w:name="_Toc8391"/>
      <w:r>
        <w:rPr>
          <w:rFonts w:hint="eastAsia" w:eastAsia="黑体"/>
          <w:sz w:val="32"/>
          <w:szCs w:val="30"/>
          <w:lang w:val="zh-CN"/>
        </w:rPr>
        <w:t>（三）国有资产占用情况说明</w:t>
      </w:r>
      <w:bookmarkEnd w:id="27"/>
      <w:bookmarkEnd w:id="28"/>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1,699.96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屋6,021.32平方米，价值1,337.45万元。车辆1辆，价值3.73万元，其中：副部（省）级及以上领导用车0辆、主要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9" w:name="_Toc11283"/>
      <w:bookmarkStart w:id="30" w:name="_Toc435"/>
      <w:r>
        <w:rPr>
          <w:rFonts w:hint="eastAsia" w:ascii="黑体" w:hAnsi="黑体" w:eastAsia="黑体" w:cs="宋体"/>
          <w:bCs/>
          <w:kern w:val="0"/>
          <w:sz w:val="32"/>
          <w:szCs w:val="32"/>
        </w:rPr>
        <w:t>十一、预算绩效的情况说明</w:t>
      </w:r>
      <w:bookmarkEnd w:id="29"/>
      <w:bookmarkEnd w:id="30"/>
    </w:p>
    <w:p>
      <w:pPr>
        <w:ind w:firstLine="640" w:firstLineChars="200"/>
        <w:jc w:val="left"/>
        <w:rPr>
          <w:rFonts w:hint="eastAsia"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615.41</w:t>
      </w:r>
      <w:r>
        <w:rPr>
          <w:rFonts w:hint="eastAsia" w:ascii="仿宋_GB2312" w:eastAsia="仿宋_GB2312"/>
          <w:sz w:val="32"/>
          <w:szCs w:val="32"/>
        </w:rPr>
        <w:t>万元，实际执行总额</w:t>
      </w:r>
      <w:r>
        <w:rPr>
          <w:rFonts w:ascii="仿宋_GB2312" w:eastAsia="仿宋_GB2312"/>
          <w:sz w:val="32"/>
          <w:szCs w:val="32"/>
        </w:rPr>
        <w:t>596.68</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预算绩效评价项目3个，全年预算数</w:t>
      </w:r>
      <w:r>
        <w:rPr>
          <w:rFonts w:ascii="仿宋_GB2312" w:eastAsia="仿宋_GB2312"/>
          <w:sz w:val="32"/>
          <w:szCs w:val="32"/>
        </w:rPr>
        <w:t>89.23</w:t>
      </w:r>
      <w:r>
        <w:rPr>
          <w:rFonts w:hint="eastAsia" w:ascii="仿宋_GB2312" w:eastAsia="仿宋_GB2312"/>
          <w:sz w:val="32"/>
          <w:szCs w:val="32"/>
        </w:rPr>
        <w:t>万元，全年执行数</w:t>
      </w:r>
      <w:r>
        <w:rPr>
          <w:rFonts w:ascii="仿宋_GB2312" w:eastAsia="仿宋_GB2312"/>
          <w:sz w:val="32"/>
          <w:szCs w:val="32"/>
        </w:rPr>
        <w:t>69.55</w:t>
      </w:r>
      <w:r>
        <w:rPr>
          <w:rFonts w:hint="eastAsia" w:ascii="仿宋_GB2312" w:eastAsia="仿宋_GB2312"/>
          <w:sz w:val="32"/>
          <w:szCs w:val="32"/>
        </w:rPr>
        <w:t>万元。预算绩效管理取得的成效：一是按照财政专项资金管理的要求，结合项目实施方案，通过采取审查账目、查阅档案等形式，重点检查项目组织实施情况、项目资金拨付和管理使用情况以及项目资金使用效益；二是项目资金拨付和管理使用情况，我单位严格按规定办理资金拨付手续，无滞留资金问题；资金是能做到专款专用；无扩大开支范围或挤占、挪用、截留情况。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部门项目支出率低；另外，预算编制的不合理性还表现在绩效目标设置不明确，年度目标与长期规划衔接的紧密程度需要增强。下一步改进措施：一是加强预算制定过程的科学性管理，提升预算方案的质量。首先在预算管细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二是注重长短期目标的衔接，合理设置年度绩效指标。在具体年度工作计划的安排上，可通过对比历年各项指标的增长情况，将规划中要实现的各项指标合理分配到年度的工作任务中，设定各年度绩效指标的目标增长率，从而确保规划目标的顺利实现。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134"/>
        <w:gridCol w:w="1417"/>
        <w:gridCol w:w="1134"/>
        <w:gridCol w:w="2410"/>
        <w:gridCol w:w="1004"/>
        <w:gridCol w:w="839"/>
        <w:gridCol w:w="720"/>
        <w:gridCol w:w="284"/>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第106小学</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686.29</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615.41</w:t>
            </w:r>
          </w:p>
        </w:tc>
        <w:tc>
          <w:tcPr>
            <w:tcW w:w="241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596.68</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96.96%</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9.69</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42.24</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37.82</w:t>
            </w:r>
          </w:p>
        </w:tc>
        <w:tc>
          <w:tcPr>
            <w:tcW w:w="241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37.82</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5.77</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31.73</w:t>
            </w:r>
          </w:p>
        </w:tc>
        <w:tc>
          <w:tcPr>
            <w:tcW w:w="241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31.73</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41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614.22</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506.56</w:t>
            </w:r>
          </w:p>
        </w:tc>
        <w:tc>
          <w:tcPr>
            <w:tcW w:w="241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491.25</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24.06</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39.30</w:t>
            </w:r>
          </w:p>
        </w:tc>
        <w:tc>
          <w:tcPr>
            <w:tcW w:w="241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35.88</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685"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973"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685"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973"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本项目全年资金主要用于1、教师培训学习并完成了12名教师的出疆进行的班主任、名师、安全等方面的培训，提高了教师的业务能力，带动了全体教师工作积极性，有效改善了我单位的整体教育教学水平；2、用于保障学校的正常运转的水、电、暖、电话费、网络等的安装了55个点位的班班通网，进行了煤改气工程，有效的提高了办公环境；3、用于学校设施设备的维修维护，电脑耗材、网络维修、净水器粗略统计不少于15次，栽种14箱的箱装式花卉，种植两个花草绿化田面积约1300平方米；修剪校园枯木一次等事项。</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134"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41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134"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41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134"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41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99.69分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rPr>
          <w:rFonts w:hint="eastAsia" w:ascii="宋体" w:hAnsi="宋体" w:cs="宋体"/>
          <w:b/>
          <w:bCs/>
          <w:kern w:val="0"/>
          <w:sz w:val="18"/>
          <w:szCs w:val="18"/>
        </w:rPr>
      </w:pPr>
    </w:p>
    <w:p>
      <w:pPr>
        <w:widowControl/>
        <w:jc w:val="left"/>
        <w:rPr>
          <w:rFonts w:hint="eastAsia" w:ascii="宋体" w:hAnsi="宋体" w:cs="宋体"/>
          <w:b/>
          <w:bCs/>
          <w:kern w:val="0"/>
          <w:sz w:val="28"/>
          <w:szCs w:val="28"/>
        </w:rPr>
      </w:pPr>
      <w:r>
        <w:rPr>
          <w:rFonts w:hint="eastAsia" w:ascii="宋体" w:hAnsi="宋体" w:cs="宋体"/>
          <w:b/>
          <w:bCs/>
          <w:kern w:val="0"/>
          <w:sz w:val="28"/>
          <w:szCs w:val="28"/>
        </w:rPr>
        <w:br w:type="page"/>
      </w: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乌财科教（2022）45号（2023）106号自聘教师补助</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第106小学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27.90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27.90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22.81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81.76%</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8.18分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10.96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10.96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5.87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16.94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16.94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16.94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代课教师发放人数4人，完成同工同酬教师人数发放2人，保障资金发放准确性，项目完成时间为12个月，弥补现有师资力量的不足，保障学校各项正常教学工作的完成；调动代课教师的工作热情和积极性，提高教学质量提高教师的工作效率，提高受益对象的满意度。</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由于该资金为年中追加资金，2023年9月才做项目库，所以该项目给劳务派遣公司支付6名同工同酬和自聘教师2023年9—12月工资薪酬，共计22.81万元。达到保障自聘教师工资薪酬发放的目的，提高代课教师的工资。</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代课教师发放人数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&gt;=4人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同工同酬教师发放人数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资金发放准确率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代课教师月工资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&lt;=4600元/月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4600元/月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同工同酬教师月工资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&lt;=6042.91元/月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6164.91元/月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设置指标值时按照最低人员工资设置</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调动代课教师的工作热情和积极性，提高教学质量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提升教学质量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临聘教师满意度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98.18分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rPr>
          <w:rFonts w:hint="eastAsia" w:ascii="宋体" w:hAnsi="宋体" w:cs="宋体"/>
          <w:b/>
          <w:bCs/>
          <w:kern w:val="0"/>
          <w:sz w:val="18"/>
          <w:szCs w:val="1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公用经费乌财科教【2022】67、75号关于提前下达2023年自治区直达资金预算的通知</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第106小学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39.52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50.57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37.58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74.31%</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7.43分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39.52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41.42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28.43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9.15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9.15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本项目通过维修学校设施，支付学校安保服务费、缴纳公用暖气费，可改善我校办学硬件设施，有效改善校园环境，明显提高办学条件，推动义务教育均衡化发展。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资金区财政及时拨付，单位在此次评价期间内，有序完成设定目标的部分工作任务，本项目支付学校安保服务费4万元；水电费、网络通讯及电话费5万元；学校维修、硬件设施的购买和修缮7万元；购买日常办公用品21.58万元，由于财政资金未全额拨付，暖气费未支付。该项目资金使用保障学校日常运行运转，达到改善教学教育环境及教学设施、提高学生综合素质的目标效果。正常完成的指标：供暖合格率：100；改善教学环境达标率：100；新增教学设备数量：10；学校享受条件改善的学生人数：513；供暖面积：6021；购置教学设备质量达标率：100；供暖时长：180；设备购置完成及时率：100；学校供暖成本：120；提高社会服务发展能力：有效提高；改善教学教育环境：有效改善；师生满意度：90</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&gt;=574人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559人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9.74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一年级新招人数减少，转出人数增加</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=6206平方米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6021平方米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9.7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设置指标值时输入错误</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学校全年正常运转率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提高社会服务发展能力、提升学生综合素质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96.87分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生活补助乌财科教【2022】67、75号关于提前下达2023年自治区教育直达资金预算的通知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第106小学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6.88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10.76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9.16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85.13%</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8.51分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6.88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9.45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7.85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1.31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1.31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我校贫困生资助管理专干根据贫困生资助管理平台，提供人数110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根据我校贫困生资助管理专干根据贫困生资助管理平台，提供人数，2023年共发放非寄宿生家庭困难生活补助春季补助共计110人/次，小学生312.5元/学期，初中学生375元/学期，支付2023年贫困生生活补助34375元，达到可改善贫困生家庭经济条件目的，帮助贫困生顺利完成学业</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发放贫困生补助学生人数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&gt;=110人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春季和秋季有重复学生</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贫困学生补助发放覆盖率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=2个学期</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贫困生发放及时率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解决非寄宿贫困学生困难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98.51分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left"/>
        <w:rPr>
          <w:rFonts w:hint="eastAsia" w:ascii="宋体" w:hAnsi="宋体" w:cs="宋体"/>
          <w:b/>
          <w:bCs/>
          <w:kern w:val="0"/>
          <w:sz w:val="18"/>
          <w:szCs w:val="18"/>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bookmarkStart w:id="31" w:name="_Toc3250"/>
      <w:bookmarkStart w:id="32" w:name="_Toc24143"/>
    </w:p>
    <w:p>
      <w:pPr>
        <w:ind w:firstLine="640" w:firstLineChars="200"/>
        <w:jc w:val="center"/>
        <w:rPr>
          <w:rFonts w:hint="eastAsia" w:ascii="仿宋_GB2312" w:hAnsi="仿宋_GB2312" w:eastAsia="仿宋_GB2312" w:cs="仿宋_GB2312"/>
          <w:kern w:val="0"/>
          <w:sz w:val="32"/>
          <w:szCs w:val="32"/>
        </w:rPr>
      </w:pPr>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110FBD"/>
    <w:rsid w:val="000E002F"/>
    <w:rsid w:val="00110FBD"/>
    <w:rsid w:val="001E045D"/>
    <w:rsid w:val="00213C59"/>
    <w:rsid w:val="003041C5"/>
    <w:rsid w:val="003210CE"/>
    <w:rsid w:val="0039435A"/>
    <w:rsid w:val="00506CEC"/>
    <w:rsid w:val="005B1E98"/>
    <w:rsid w:val="006643C4"/>
    <w:rsid w:val="00774A76"/>
    <w:rsid w:val="00A4625F"/>
    <w:rsid w:val="00B11CB2"/>
    <w:rsid w:val="00B70D59"/>
    <w:rsid w:val="00D12DD5"/>
    <w:rsid w:val="00D55605"/>
    <w:rsid w:val="00D841DF"/>
    <w:rsid w:val="00DE3472"/>
    <w:rsid w:val="00F52A8D"/>
    <w:rsid w:val="00F7213A"/>
    <w:rsid w:val="00FD279C"/>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2CC19FF"/>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033D2E"/>
    <w:rsid w:val="50447CC2"/>
    <w:rsid w:val="50874A7C"/>
    <w:rsid w:val="50895EE7"/>
    <w:rsid w:val="50921B9D"/>
    <w:rsid w:val="50D16158"/>
    <w:rsid w:val="50DB5F45"/>
    <w:rsid w:val="51025EB1"/>
    <w:rsid w:val="51141503"/>
    <w:rsid w:val="513C450E"/>
    <w:rsid w:val="518D0ED5"/>
    <w:rsid w:val="52383FD4"/>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2C6C09"/>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1629</Words>
  <Characters>9290</Characters>
  <Lines>77</Lines>
  <Paragraphs>21</Paragraphs>
  <TotalTime>12</TotalTime>
  <ScaleCrop>false</ScaleCrop>
  <LinksUpToDate>false</LinksUpToDate>
  <CharactersWithSpaces>10898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2025-12-16T09:42:02Z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