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 w:val="32"/>
          <w:szCs w:val="32"/>
        </w:rPr>
      </w:pPr>
    </w:p>
    <w:p>
      <w:pPr>
        <w:jc w:val="center"/>
        <w:rPr>
          <w:rFonts w:hint="eastAsia" w:ascii="方正小标宋_GBK" w:hAnsi="宋体" w:eastAsia="方正小标宋_GBK"/>
          <w:sz w:val="44"/>
          <w:szCs w:val="44"/>
        </w:rPr>
      </w:pP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乌鲁木齐市第98小学</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2023年度部门决算</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spacing w:line="560" w:lineRule="exact"/>
        <w:ind w:firstLine="640" w:firstLineChars="200"/>
        <w:jc w:val="left"/>
        <w:rPr>
          <w:rFonts w:hint="eastAsia" w:ascii="仿宋_GB2312" w:hAnsi="黑体" w:eastAsia="仿宋_GB2312" w:cs="宋体"/>
          <w:kern w:val="0"/>
          <w:sz w:val="32"/>
          <w:szCs w:val="32"/>
        </w:rPr>
      </w:pPr>
      <w:bookmarkStart w:id="4" w:name="_Toc31238"/>
      <w:bookmarkStart w:id="5" w:name="_Toc2151"/>
      <w:r>
        <w:rPr>
          <w:rFonts w:hint="eastAsia" w:ascii="仿宋_GB2312" w:hAnsi="黑体" w:eastAsia="仿宋_GB2312" w:cs="宋体"/>
          <w:kern w:val="0"/>
          <w:sz w:val="32"/>
          <w:szCs w:val="32"/>
        </w:rPr>
        <w:t>乌鲁木齐市第98小学的主要职能是抓基础教育、培养学生习惯、组织教育教学、科学研究活动，保证教育教学质量。维护教职工利益，保障教职工合法权益，以教职工和学生的人生幸福和生命质量作为重点。</w:t>
      </w:r>
    </w:p>
    <w:p>
      <w:pPr>
        <w:spacing w:line="560" w:lineRule="exact"/>
        <w:ind w:firstLine="640" w:firstLineChars="200"/>
        <w:jc w:val="left"/>
        <w:rPr>
          <w:rFonts w:hint="eastAsia" w:ascii="仿宋_GB2312" w:hAnsi="黑体" w:eastAsia="仿宋_GB2312" w:cs="宋体"/>
          <w:kern w:val="0"/>
          <w:sz w:val="32"/>
          <w:szCs w:val="32"/>
          <w:lang w:val="zh-CN"/>
        </w:rPr>
      </w:pPr>
      <w:r>
        <w:rPr>
          <w:rFonts w:hint="eastAsia" w:ascii="仿宋_GB2312" w:hAnsi="黑体" w:eastAsia="仿宋_GB2312" w:cs="宋体"/>
          <w:kern w:val="0"/>
          <w:sz w:val="32"/>
          <w:szCs w:val="32"/>
          <w:lang w:val="zh-CN"/>
        </w:rPr>
        <w:t>（一）宣传贯彻执行党和国家的教育方针、政策、法律法规等，坚持依法治教、依法治学，贯彻执行上级教育部门的行政规章制度。</w:t>
      </w:r>
    </w:p>
    <w:p>
      <w:pPr>
        <w:spacing w:line="560" w:lineRule="exact"/>
        <w:ind w:firstLine="640" w:firstLineChars="200"/>
        <w:jc w:val="left"/>
        <w:rPr>
          <w:rFonts w:hint="eastAsia" w:ascii="仿宋_GB2312" w:hAnsi="黑体" w:eastAsia="仿宋_GB2312" w:cs="宋体"/>
          <w:kern w:val="0"/>
          <w:sz w:val="32"/>
          <w:szCs w:val="32"/>
          <w:lang w:val="zh-CN"/>
        </w:rPr>
      </w:pPr>
      <w:r>
        <w:rPr>
          <w:rFonts w:hint="eastAsia" w:ascii="仿宋_GB2312" w:hAnsi="黑体" w:eastAsia="仿宋_GB2312" w:cs="宋体"/>
          <w:kern w:val="0"/>
          <w:sz w:val="32"/>
          <w:szCs w:val="32"/>
          <w:lang w:val="zh-CN"/>
        </w:rPr>
        <w:t>（二）配合上级教育部门制定符合党的教育方针和国家教育法律法规以及本校实际的教育发展规划和学校布局调整规划，并抓好组织实施和落实工作。</w:t>
      </w:r>
    </w:p>
    <w:p>
      <w:pPr>
        <w:spacing w:line="560" w:lineRule="exact"/>
        <w:ind w:firstLine="640" w:firstLineChars="200"/>
        <w:jc w:val="left"/>
        <w:rPr>
          <w:rFonts w:hint="eastAsia" w:ascii="仿宋_GB2312" w:hAnsi="黑体" w:eastAsia="仿宋_GB2312" w:cs="宋体"/>
          <w:kern w:val="0"/>
          <w:sz w:val="32"/>
          <w:szCs w:val="32"/>
          <w:lang w:val="zh-CN"/>
        </w:rPr>
      </w:pPr>
      <w:r>
        <w:rPr>
          <w:rFonts w:hint="eastAsia" w:ascii="仿宋_GB2312" w:hAnsi="黑体" w:eastAsia="仿宋_GB2312" w:cs="宋体"/>
          <w:kern w:val="0"/>
          <w:sz w:val="32"/>
          <w:szCs w:val="32"/>
          <w:lang w:val="zh-CN"/>
        </w:rPr>
        <w:t>（三）配合各级人民政府依法动员、组织适龄少年入学，严格控制辍学，推进普及义务教育。</w:t>
      </w:r>
    </w:p>
    <w:p>
      <w:pPr>
        <w:spacing w:line="560" w:lineRule="exact"/>
        <w:ind w:firstLine="640" w:firstLineChars="200"/>
        <w:jc w:val="left"/>
        <w:rPr>
          <w:rFonts w:hint="eastAsia" w:ascii="仿宋_GB2312" w:hAnsi="黑体" w:eastAsia="仿宋_GB2312" w:cs="宋体"/>
          <w:kern w:val="0"/>
          <w:sz w:val="32"/>
          <w:szCs w:val="32"/>
          <w:lang w:val="zh-CN"/>
        </w:rPr>
      </w:pPr>
      <w:r>
        <w:rPr>
          <w:rFonts w:hint="eastAsia" w:ascii="仿宋_GB2312" w:hAnsi="黑体" w:eastAsia="仿宋_GB2312" w:cs="宋体"/>
          <w:kern w:val="0"/>
          <w:sz w:val="32"/>
          <w:szCs w:val="32"/>
          <w:lang w:val="zh-CN"/>
        </w:rPr>
        <w:t>（四）组织开展本校的教育教学科研和教育教学改革，科研兴教，科研兴校。负责对本校教育教学业务的具体管理，负责教育教学管理及教研教改工作。</w:t>
      </w:r>
    </w:p>
    <w:p>
      <w:pPr>
        <w:spacing w:line="560" w:lineRule="exact"/>
        <w:ind w:firstLine="640" w:firstLineChars="200"/>
        <w:jc w:val="left"/>
        <w:rPr>
          <w:rFonts w:hint="eastAsia" w:ascii="仿宋_GB2312" w:hAnsi="黑体" w:eastAsia="仿宋_GB2312" w:cs="宋体"/>
          <w:kern w:val="0"/>
          <w:sz w:val="32"/>
          <w:szCs w:val="32"/>
          <w:lang w:val="zh-CN"/>
        </w:rPr>
      </w:pPr>
      <w:r>
        <w:rPr>
          <w:rFonts w:hint="eastAsia" w:ascii="仿宋_GB2312" w:hAnsi="黑体" w:eastAsia="仿宋_GB2312" w:cs="宋体"/>
          <w:kern w:val="0"/>
          <w:sz w:val="32"/>
          <w:szCs w:val="32"/>
          <w:lang w:val="zh-CN"/>
        </w:rPr>
        <w:t>（五）按照干部和教师的职数、编制和管理权限，制定切实可行的学校工作规章制度，以提高教育教学质量为目的，负责本校教师人事管理、继续教育、考核考评等工作。</w:t>
      </w:r>
    </w:p>
    <w:p>
      <w:pPr>
        <w:spacing w:line="560" w:lineRule="exact"/>
        <w:ind w:firstLine="640" w:firstLineChars="200"/>
        <w:jc w:val="left"/>
        <w:rPr>
          <w:rFonts w:hint="eastAsia" w:ascii="仿宋_GB2312" w:hAnsi="黑体" w:eastAsia="仿宋_GB2312" w:cs="宋体"/>
          <w:kern w:val="0"/>
          <w:sz w:val="32"/>
          <w:szCs w:val="32"/>
          <w:lang w:val="zh-CN"/>
        </w:rPr>
      </w:pPr>
      <w:r>
        <w:rPr>
          <w:rFonts w:hint="eastAsia" w:ascii="仿宋_GB2312" w:hAnsi="黑体" w:eastAsia="仿宋_GB2312" w:cs="宋体"/>
          <w:kern w:val="0"/>
          <w:sz w:val="32"/>
          <w:szCs w:val="32"/>
          <w:lang w:val="zh-CN"/>
        </w:rPr>
        <w:t>（六）负责本校财务和基建管理，筹措资金，改善办学条件等工作，为师生提供优美和谐的学习和工作环境。核算和发放教职工工资,维护教职工利益，保障教职工合法权益。</w:t>
      </w:r>
    </w:p>
    <w:p>
      <w:pPr>
        <w:spacing w:line="560" w:lineRule="exact"/>
        <w:ind w:firstLine="640" w:firstLineChars="200"/>
        <w:jc w:val="left"/>
        <w:rPr>
          <w:rFonts w:hint="eastAsia" w:ascii="仿宋_GB2312" w:hAnsi="黑体" w:eastAsia="仿宋_GB2312" w:cs="宋体"/>
          <w:kern w:val="0"/>
          <w:sz w:val="32"/>
          <w:szCs w:val="32"/>
          <w:lang w:val="zh-CN"/>
        </w:rPr>
      </w:pPr>
      <w:r>
        <w:rPr>
          <w:rFonts w:hint="eastAsia" w:ascii="仿宋_GB2312" w:hAnsi="黑体" w:eastAsia="仿宋_GB2312" w:cs="宋体"/>
          <w:kern w:val="0"/>
          <w:sz w:val="32"/>
          <w:szCs w:val="32"/>
          <w:lang w:val="zh-CN"/>
        </w:rPr>
        <w:t>（七）指导、管理、检查、评价本校的教育教学工作，提高办学质量和办学效益。按照义务教育课程计划，开齐课程，开足课时，认真教育教学管理，全面提高教育教学质量。</w:t>
      </w:r>
    </w:p>
    <w:p>
      <w:pPr>
        <w:spacing w:line="560" w:lineRule="exact"/>
        <w:ind w:firstLine="640" w:firstLineChars="200"/>
        <w:jc w:val="left"/>
        <w:rPr>
          <w:rFonts w:hint="eastAsia" w:ascii="仿宋_GB2312" w:hAnsi="黑体" w:eastAsia="仿宋_GB2312" w:cs="宋体"/>
          <w:kern w:val="0"/>
          <w:sz w:val="32"/>
          <w:szCs w:val="32"/>
          <w:lang w:val="zh-CN"/>
        </w:rPr>
      </w:pPr>
      <w:r>
        <w:rPr>
          <w:rFonts w:hint="eastAsia" w:ascii="仿宋_GB2312" w:hAnsi="黑体" w:eastAsia="仿宋_GB2312" w:cs="宋体"/>
          <w:kern w:val="0"/>
          <w:sz w:val="32"/>
          <w:szCs w:val="32"/>
          <w:lang w:val="zh-CN"/>
        </w:rPr>
        <w:t>（八）建立健全学生学籍管理制度，按</w:t>
      </w:r>
      <w:bookmarkStart w:id="51" w:name="_GoBack"/>
      <w:bookmarkEnd w:id="51"/>
      <w:r>
        <w:rPr>
          <w:rFonts w:hint="eastAsia" w:ascii="仿宋_GB2312" w:hAnsi="黑体" w:eastAsia="仿宋_GB2312" w:cs="宋体"/>
          <w:kern w:val="0"/>
          <w:sz w:val="32"/>
          <w:szCs w:val="32"/>
          <w:lang w:val="zh-CN"/>
        </w:rPr>
        <w:t>教育部颁布的规定管理学生学籍。</w:t>
      </w:r>
    </w:p>
    <w:p>
      <w:pPr>
        <w:spacing w:line="560" w:lineRule="exact"/>
        <w:ind w:firstLine="640" w:firstLineChars="200"/>
        <w:jc w:val="left"/>
        <w:rPr>
          <w:rFonts w:hint="eastAsia" w:ascii="仿宋_GB2312" w:hAnsi="黑体" w:eastAsia="仿宋_GB2312" w:cs="宋体"/>
          <w:kern w:val="0"/>
          <w:sz w:val="32"/>
          <w:szCs w:val="32"/>
          <w:lang w:val="zh-CN"/>
        </w:rPr>
      </w:pPr>
      <w:r>
        <w:rPr>
          <w:rFonts w:hint="eastAsia" w:ascii="仿宋_GB2312" w:hAnsi="黑体" w:eastAsia="仿宋_GB2312" w:cs="宋体"/>
          <w:kern w:val="0"/>
          <w:sz w:val="32"/>
          <w:szCs w:val="32"/>
          <w:lang w:val="zh-CN"/>
        </w:rPr>
        <w:t>（九）在上级党委、政府和教育行政部门的领导下，积极开展学校的安全管理，不断提高安全管理水平，努力营造安全和谐的校园环境。</w:t>
      </w:r>
    </w:p>
    <w:p>
      <w:pPr>
        <w:spacing w:line="560" w:lineRule="exact"/>
        <w:ind w:firstLine="640" w:firstLineChars="200"/>
        <w:jc w:val="left"/>
        <w:rPr>
          <w:rFonts w:hint="eastAsia" w:ascii="仿宋_GB2312" w:hAnsi="黑体" w:eastAsia="仿宋_GB2312" w:cs="宋体"/>
          <w:kern w:val="0"/>
          <w:sz w:val="32"/>
          <w:szCs w:val="32"/>
          <w:lang w:val="zh-CN"/>
        </w:rPr>
      </w:pPr>
      <w:r>
        <w:rPr>
          <w:rFonts w:hint="eastAsia" w:ascii="仿宋_GB2312" w:hAnsi="黑体" w:eastAsia="仿宋_GB2312" w:cs="宋体"/>
          <w:kern w:val="0"/>
          <w:sz w:val="32"/>
          <w:szCs w:val="32"/>
          <w:lang w:val="zh-CN"/>
        </w:rPr>
        <w:t>（十）在上级教育部门的领导下，谋划布局，全面推进义务教育均衡发展。</w:t>
      </w:r>
    </w:p>
    <w:p>
      <w:pPr>
        <w:ind w:firstLine="640" w:firstLineChars="200"/>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乌鲁木齐市第98小学2023年度，实有人数</w:t>
      </w:r>
      <w:r>
        <w:rPr>
          <w:rFonts w:hint="eastAsia" w:ascii="仿宋_GB2312" w:eastAsia="仿宋_GB2312"/>
          <w:sz w:val="32"/>
          <w:szCs w:val="32"/>
          <w:lang w:val="zh-CN"/>
        </w:rPr>
        <w:t>45</w:t>
      </w:r>
      <w:r>
        <w:rPr>
          <w:rFonts w:hint="eastAsia" w:ascii="仿宋_GB2312" w:eastAsia="仿宋_GB2312"/>
          <w:sz w:val="32"/>
          <w:szCs w:val="32"/>
        </w:rPr>
        <w:t>人，其中：在职人员</w:t>
      </w:r>
      <w:r>
        <w:rPr>
          <w:rFonts w:hint="eastAsia" w:ascii="仿宋_GB2312" w:eastAsia="仿宋_GB2312"/>
          <w:sz w:val="32"/>
          <w:szCs w:val="32"/>
          <w:lang w:val="zh-CN"/>
        </w:rPr>
        <w:t>39</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6</w:t>
      </w:r>
      <w:r>
        <w:rPr>
          <w:rFonts w:hint="eastAsia" w:ascii="仿宋_GB2312" w:eastAsia="仿宋_GB2312"/>
          <w:sz w:val="32"/>
          <w:szCs w:val="32"/>
        </w:rPr>
        <w:t>人。</w:t>
      </w:r>
    </w:p>
    <w:p>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w:t>
      </w:r>
      <w:r>
        <w:rPr>
          <w:rFonts w:hint="eastAsia" w:ascii="仿宋_GB2312" w:hAnsi="仿宋_GB2312" w:eastAsia="仿宋_GB2312"/>
          <w:kern w:val="0"/>
          <w:sz w:val="32"/>
          <w:lang w:val="zh-CN"/>
        </w:rPr>
        <w:t>下设</w:t>
      </w:r>
      <w:r>
        <w:rPr>
          <w:rFonts w:hint="eastAsia" w:ascii="仿宋_GB2312" w:hAnsi="仿宋_GB2312" w:eastAsia="仿宋_GB2312"/>
          <w:kern w:val="0"/>
          <w:sz w:val="32"/>
        </w:rPr>
        <w:t>9</w:t>
      </w:r>
      <w:r>
        <w:rPr>
          <w:rFonts w:hint="eastAsia" w:ascii="仿宋_GB2312" w:hAnsi="仿宋_GB2312" w:eastAsia="仿宋_GB2312"/>
          <w:kern w:val="0"/>
          <w:sz w:val="32"/>
          <w:lang w:val="zh-CN"/>
        </w:rPr>
        <w:t>个科室，分别是：</w:t>
      </w:r>
      <w:r>
        <w:rPr>
          <w:rFonts w:hint="eastAsia" w:ascii="仿宋_GB2312" w:hAnsi="仿宋_GB2312" w:eastAsia="仿宋_GB2312"/>
          <w:kern w:val="0"/>
          <w:sz w:val="32"/>
        </w:rPr>
        <w:t>书记室、校长室、副校长室、总务室、教务处、德育处、安全办、党政办、财务室</w:t>
      </w:r>
      <w:r>
        <w:rPr>
          <w:rFonts w:hint="eastAsia" w:ascii="仿宋_GB2312" w:hAnsi="宋体" w:eastAsia="仿宋_GB2312" w:cs="宋体"/>
          <w:kern w:val="0"/>
          <w:sz w:val="32"/>
          <w:szCs w:val="32"/>
        </w:rPr>
        <w:t>。</w:t>
      </w:r>
    </w:p>
    <w:p>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jc w:val="left"/>
        <w:rPr>
          <w:rFonts w:ascii="仿宋_GB2312" w:eastAsia="仿宋_GB2312"/>
          <w:sz w:val="32"/>
          <w:szCs w:val="32"/>
        </w:rPr>
      </w:pPr>
      <w:r>
        <w:rPr>
          <w:rFonts w:hint="eastAsia" w:ascii="仿宋_GB2312" w:eastAsia="仿宋_GB2312"/>
          <w:sz w:val="32"/>
          <w:szCs w:val="32"/>
        </w:rPr>
        <w:t>2023年度收入总计859.98万元，其中：本年收入合计841.32万元，使用非财政拨款结余0.00万元，年初结转和结余18.66万元。</w:t>
      </w:r>
    </w:p>
    <w:p>
      <w:pPr>
        <w:ind w:firstLine="640" w:firstLineChars="200"/>
        <w:jc w:val="left"/>
        <w:rPr>
          <w:rFonts w:ascii="仿宋_GB2312" w:eastAsia="仿宋_GB2312"/>
          <w:sz w:val="32"/>
          <w:szCs w:val="32"/>
        </w:rPr>
      </w:pPr>
      <w:r>
        <w:rPr>
          <w:rFonts w:hint="eastAsia" w:ascii="仿宋_GB2312" w:eastAsia="仿宋_GB2312"/>
          <w:sz w:val="32"/>
          <w:szCs w:val="32"/>
        </w:rPr>
        <w:t>2023年度支出总计859.98万元，其中：本年支出合计837.21万元，结余分配0.00万元，年末结转和结余22.77万元。</w:t>
      </w:r>
    </w:p>
    <w:p>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减少55.08万元</w:t>
      </w:r>
      <w:r>
        <w:rPr>
          <w:rFonts w:hint="eastAsia" w:ascii="仿宋_GB2312" w:eastAsia="仿宋_GB2312"/>
          <w:sz w:val="32"/>
          <w:szCs w:val="32"/>
        </w:rPr>
        <w:t>，下降6.02%，主要原因是：</w:t>
      </w:r>
      <w:r>
        <w:rPr>
          <w:rFonts w:hint="eastAsia" w:ascii="仿宋_GB2312" w:hAnsi="仿宋_GB2312" w:eastAsia="仿宋_GB2312" w:cs="仿宋_GB2312"/>
          <w:sz w:val="32"/>
          <w:szCs w:val="32"/>
          <w:lang w:val="zh-CN"/>
        </w:rPr>
        <w:t>单位本年劳务费较上年减少</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jc w:val="left"/>
        <w:rPr>
          <w:rFonts w:ascii="仿宋_GB2312" w:eastAsia="仿宋_GB2312"/>
          <w:sz w:val="32"/>
          <w:szCs w:val="32"/>
        </w:rPr>
      </w:pPr>
      <w:r>
        <w:rPr>
          <w:rFonts w:hint="eastAsia" w:ascii="仿宋_GB2312" w:eastAsia="仿宋_GB2312"/>
          <w:sz w:val="32"/>
          <w:szCs w:val="32"/>
        </w:rPr>
        <w:t>本年收入841.32万元，其中：财政拨款收入</w:t>
      </w:r>
      <w:r>
        <w:rPr>
          <w:rFonts w:hint="eastAsia" w:ascii="仿宋_GB2312" w:eastAsia="仿宋_GB2312"/>
          <w:sz w:val="32"/>
          <w:szCs w:val="32"/>
          <w:lang w:val="zh-CN"/>
        </w:rPr>
        <w:t>793.27</w:t>
      </w:r>
      <w:r>
        <w:rPr>
          <w:rFonts w:hint="eastAsia" w:ascii="仿宋_GB2312" w:eastAsia="仿宋_GB2312"/>
          <w:sz w:val="32"/>
          <w:szCs w:val="32"/>
        </w:rPr>
        <w:t>万元，占</w:t>
      </w:r>
      <w:r>
        <w:rPr>
          <w:rFonts w:hint="eastAsia" w:ascii="仿宋_GB2312" w:eastAsia="仿宋_GB2312"/>
          <w:sz w:val="32"/>
          <w:szCs w:val="32"/>
          <w:lang w:val="zh-CN"/>
        </w:rPr>
        <w:t>94.29%</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48.05</w:t>
      </w:r>
      <w:r>
        <w:rPr>
          <w:rFonts w:hint="eastAsia" w:ascii="仿宋_GB2312" w:eastAsia="仿宋_GB2312"/>
          <w:sz w:val="32"/>
          <w:szCs w:val="32"/>
        </w:rPr>
        <w:t>万元，占</w:t>
      </w:r>
      <w:r>
        <w:rPr>
          <w:rFonts w:hint="eastAsia" w:ascii="仿宋_GB2312" w:eastAsia="仿宋_GB2312"/>
          <w:sz w:val="32"/>
          <w:szCs w:val="32"/>
          <w:lang w:val="zh-CN"/>
        </w:rPr>
        <w:t>5.71%</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本年支出837.21万元，其中：基本支出622.61万元，占74.37%；项目支出214.60万元，占25.63%；上缴上级支出0.00万元，占0.00%；经营支出0.00万元，占0.00%；对附属单位补助支出0.00万元，占0.00%。</w:t>
      </w:r>
    </w:p>
    <w:p>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809.27</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16.00</w:t>
      </w:r>
      <w:r>
        <w:rPr>
          <w:rFonts w:hint="eastAsia" w:ascii="仿宋_GB2312" w:eastAsia="仿宋_GB2312"/>
          <w:sz w:val="32"/>
          <w:szCs w:val="32"/>
        </w:rPr>
        <w:t>万元，本年财政拨款收入</w:t>
      </w:r>
      <w:r>
        <w:rPr>
          <w:rFonts w:hint="eastAsia" w:ascii="仿宋_GB2312" w:eastAsia="仿宋_GB2312"/>
          <w:sz w:val="32"/>
          <w:szCs w:val="32"/>
          <w:lang w:val="zh-CN"/>
        </w:rPr>
        <w:t>793.27</w:t>
      </w:r>
      <w:r>
        <w:rPr>
          <w:rFonts w:hint="eastAsia" w:ascii="仿宋_GB2312" w:eastAsia="仿宋_GB2312"/>
          <w:sz w:val="32"/>
          <w:szCs w:val="32"/>
        </w:rPr>
        <w:t>万元。财政拨款支出总计</w:t>
      </w:r>
      <w:r>
        <w:rPr>
          <w:rFonts w:hint="eastAsia" w:ascii="仿宋_GB2312" w:eastAsia="仿宋_GB2312"/>
          <w:sz w:val="32"/>
          <w:szCs w:val="32"/>
          <w:lang w:val="zh-CN"/>
        </w:rPr>
        <w:t>809.27</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20.31</w:t>
      </w:r>
      <w:r>
        <w:rPr>
          <w:rFonts w:hint="eastAsia" w:ascii="仿宋_GB2312" w:eastAsia="仿宋_GB2312"/>
          <w:sz w:val="32"/>
          <w:szCs w:val="32"/>
        </w:rPr>
        <w:t>万元，本年财政拨款支出</w:t>
      </w:r>
      <w:r>
        <w:rPr>
          <w:rFonts w:hint="eastAsia" w:ascii="仿宋_GB2312" w:eastAsia="仿宋_GB2312"/>
          <w:sz w:val="32"/>
          <w:szCs w:val="32"/>
          <w:lang w:val="zh-CN"/>
        </w:rPr>
        <w:t>788.96</w:t>
      </w:r>
      <w:r>
        <w:rPr>
          <w:rFonts w:hint="eastAsia" w:ascii="仿宋_GB2312" w:eastAsia="仿宋_GB2312"/>
          <w:sz w:val="32"/>
          <w:szCs w:val="32"/>
        </w:rPr>
        <w:t>万元。</w:t>
      </w:r>
    </w:p>
    <w:p>
      <w:pPr>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减少23.91万元</w:t>
      </w:r>
      <w:r>
        <w:rPr>
          <w:rFonts w:hint="eastAsia" w:ascii="仿宋_GB2312" w:eastAsia="仿宋_GB2312"/>
          <w:sz w:val="32"/>
          <w:szCs w:val="32"/>
        </w:rPr>
        <w:t>，下降2.87%,主要原因是：</w:t>
      </w:r>
      <w:r>
        <w:rPr>
          <w:rFonts w:hint="eastAsia" w:ascii="仿宋_GB2312" w:hAnsi="仿宋_GB2312" w:eastAsia="仿宋_GB2312" w:cs="仿宋_GB2312"/>
          <w:sz w:val="32"/>
          <w:szCs w:val="32"/>
          <w:lang w:val="zh-CN"/>
        </w:rPr>
        <w:t>单位本年劳务费较上年减少</w:t>
      </w:r>
      <w:r>
        <w:rPr>
          <w:rFonts w:hint="eastAsia" w:ascii="仿宋_GB2312" w:eastAsia="仿宋_GB2312"/>
          <w:sz w:val="32"/>
          <w:szCs w:val="32"/>
        </w:rPr>
        <w:t>。与年初预算相比，年初预算数</w:t>
      </w:r>
      <w:r>
        <w:rPr>
          <w:rFonts w:hint="eastAsia" w:ascii="仿宋_GB2312" w:eastAsia="仿宋_GB2312"/>
          <w:sz w:val="32"/>
          <w:szCs w:val="32"/>
          <w:lang w:val="zh-CN"/>
        </w:rPr>
        <w:t>942.85</w:t>
      </w:r>
      <w:r>
        <w:rPr>
          <w:rFonts w:hint="eastAsia" w:ascii="仿宋_GB2312" w:eastAsia="仿宋_GB2312"/>
          <w:sz w:val="32"/>
          <w:szCs w:val="32"/>
        </w:rPr>
        <w:t>万元，决算数</w:t>
      </w:r>
      <w:r>
        <w:rPr>
          <w:rFonts w:hint="eastAsia" w:ascii="仿宋_GB2312" w:eastAsia="仿宋_GB2312"/>
          <w:sz w:val="32"/>
          <w:szCs w:val="32"/>
          <w:lang w:val="zh-CN"/>
        </w:rPr>
        <w:t>809.27</w:t>
      </w:r>
      <w:r>
        <w:rPr>
          <w:rFonts w:hint="eastAsia" w:ascii="仿宋_GB2312" w:eastAsia="仿宋_GB2312"/>
          <w:sz w:val="32"/>
          <w:szCs w:val="32"/>
        </w:rPr>
        <w:t>万元，预决算差异率-14.17%，主要原因是：单位本年劳务费小于年初预算安排金额。</w:t>
      </w:r>
    </w:p>
    <w:p>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pPr>
        <w:rPr>
          <w:rFonts w:ascii="仿宋_GB2312" w:eastAsia="仿宋_GB2312"/>
          <w:sz w:val="32"/>
          <w:szCs w:val="32"/>
        </w:rPr>
      </w:pPr>
      <w:r>
        <w:rPr>
          <w:rFonts w:hint="eastAsia" w:ascii="仿宋_GB2312" w:eastAsia="仿宋_GB2312"/>
          <w:sz w:val="32"/>
          <w:szCs w:val="32"/>
        </w:rPr>
        <w:t>2023年度一般公共预算财政拨款支出788.96万元，占本年支出合计的</w:t>
      </w:r>
      <w:r>
        <w:rPr>
          <w:rFonts w:hint="eastAsia" w:ascii="仿宋_GB2312" w:eastAsia="仿宋_GB2312"/>
          <w:sz w:val="32"/>
          <w:szCs w:val="32"/>
          <w:lang w:val="zh-CN"/>
        </w:rPr>
        <w:t>94.24%</w:t>
      </w:r>
      <w:r>
        <w:rPr>
          <w:rFonts w:hint="eastAsia" w:ascii="仿宋_GB2312" w:eastAsia="仿宋_GB2312"/>
          <w:sz w:val="32"/>
          <w:szCs w:val="32"/>
        </w:rPr>
        <w:t>。与上年相比，</w:t>
      </w:r>
      <w:r>
        <w:rPr>
          <w:rFonts w:hint="eastAsia" w:ascii="仿宋_GB2312" w:eastAsia="仿宋_GB2312"/>
          <w:sz w:val="32"/>
          <w:szCs w:val="32"/>
          <w:lang w:val="zh-CN"/>
        </w:rPr>
        <w:t>减少28.22万元</w:t>
      </w:r>
      <w:r>
        <w:rPr>
          <w:rFonts w:hint="eastAsia" w:ascii="仿宋_GB2312" w:eastAsia="仿宋_GB2312"/>
          <w:sz w:val="32"/>
          <w:szCs w:val="32"/>
        </w:rPr>
        <w:t>，下降3.45%,主要原因是：</w:t>
      </w:r>
      <w:r>
        <w:rPr>
          <w:rFonts w:hint="eastAsia" w:ascii="仿宋_GB2312" w:hAnsi="仿宋_GB2312" w:eastAsia="仿宋_GB2312" w:cs="仿宋_GB2312"/>
          <w:sz w:val="32"/>
          <w:szCs w:val="32"/>
          <w:lang w:val="zh-CN"/>
        </w:rPr>
        <w:t>单位本年劳务费较上年减少</w:t>
      </w:r>
      <w:r>
        <w:rPr>
          <w:rFonts w:hint="eastAsia" w:ascii="仿宋_GB2312" w:eastAsia="仿宋_GB2312"/>
          <w:sz w:val="32"/>
          <w:szCs w:val="32"/>
        </w:rPr>
        <w:t>。与年初预算相比，年初预算数</w:t>
      </w:r>
      <w:r>
        <w:rPr>
          <w:rFonts w:hint="eastAsia" w:ascii="仿宋_GB2312" w:eastAsia="仿宋_GB2312"/>
          <w:sz w:val="32"/>
          <w:szCs w:val="32"/>
          <w:lang w:val="zh-CN"/>
        </w:rPr>
        <w:t>942.85</w:t>
      </w:r>
      <w:r>
        <w:rPr>
          <w:rFonts w:hint="eastAsia" w:ascii="仿宋_GB2312" w:eastAsia="仿宋_GB2312"/>
          <w:sz w:val="32"/>
          <w:szCs w:val="32"/>
        </w:rPr>
        <w:t>万元，决算数</w:t>
      </w:r>
      <w:r>
        <w:rPr>
          <w:rFonts w:hint="eastAsia" w:ascii="仿宋_GB2312" w:eastAsia="仿宋_GB2312"/>
          <w:sz w:val="32"/>
          <w:szCs w:val="32"/>
          <w:lang w:val="zh-CN"/>
        </w:rPr>
        <w:t>788.96</w:t>
      </w:r>
      <w:r>
        <w:rPr>
          <w:rFonts w:hint="eastAsia" w:ascii="仿宋_GB2312" w:eastAsia="仿宋_GB2312"/>
          <w:sz w:val="32"/>
          <w:szCs w:val="32"/>
        </w:rPr>
        <w:t>万元，预决算差异率</w:t>
      </w:r>
      <w:r>
        <w:rPr>
          <w:rFonts w:hint="eastAsia" w:ascii="仿宋_GB2312" w:eastAsia="仿宋_GB2312"/>
          <w:sz w:val="32"/>
          <w:szCs w:val="32"/>
          <w:lang w:val="zh-CN"/>
        </w:rPr>
        <w:t>-16.32%</w:t>
      </w:r>
      <w:r>
        <w:rPr>
          <w:rFonts w:hint="eastAsia" w:ascii="仿宋_GB2312" w:eastAsia="仿宋_GB2312"/>
          <w:sz w:val="32"/>
          <w:szCs w:val="32"/>
        </w:rPr>
        <w:t>，主要原因是：单位本年劳务费小于年初预算安排金额。</w:t>
      </w:r>
    </w:p>
    <w:p>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1</w:t>
      </w:r>
      <w:r>
        <w:rPr>
          <w:rFonts w:ascii="仿宋_GB2312" w:eastAsia="仿宋_GB2312"/>
          <w:kern w:val="2"/>
          <w:sz w:val="32"/>
          <w:szCs w:val="32"/>
          <w:lang w:val="zh-CN"/>
        </w:rPr>
        <w:t>.教育支出（类）</w:t>
      </w:r>
      <w:r>
        <w:rPr>
          <w:rFonts w:hint="eastAsia" w:ascii="仿宋_GB2312" w:eastAsia="仿宋_GB2312"/>
          <w:kern w:val="2"/>
          <w:sz w:val="32"/>
          <w:szCs w:val="32"/>
          <w:lang w:val="zh-CN"/>
        </w:rPr>
        <w:t>788.96</w:t>
      </w:r>
      <w:r>
        <w:rPr>
          <w:rFonts w:ascii="仿宋_GB2312" w:eastAsia="仿宋_GB2312"/>
          <w:kern w:val="2"/>
          <w:sz w:val="32"/>
          <w:szCs w:val="32"/>
          <w:lang w:val="zh-CN"/>
        </w:rPr>
        <w:t>万元，占</w:t>
      </w:r>
      <w:r>
        <w:rPr>
          <w:rFonts w:hint="eastAsia" w:ascii="仿宋_GB2312" w:eastAsia="仿宋_GB2312"/>
          <w:kern w:val="2"/>
          <w:sz w:val="32"/>
          <w:szCs w:val="32"/>
          <w:lang w:val="zh-CN"/>
        </w:rPr>
        <w:t>100.00%。</w:t>
      </w:r>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1.教育支出（类）普通教育（款）小学教育（项）:支出决算数为788.96万元，比上年决算减少28.22万元，下降3.45%，主要原因是：</w:t>
      </w:r>
      <w:r>
        <w:rPr>
          <w:rFonts w:hint="eastAsia" w:ascii="仿宋_GB2312" w:hAnsi="仿宋_GB2312" w:eastAsia="仿宋_GB2312" w:cs="仿宋_GB2312"/>
          <w:sz w:val="32"/>
          <w:szCs w:val="32"/>
          <w:lang w:val="zh-CN"/>
        </w:rPr>
        <w:t>单位本年劳务费较上年减少。</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622.61万元，其中：人员经费582.40万元，包括：基本工资、津贴补贴、奖金、绩效工资、机关事业单位基本养老保险缴费、职业年金缴费、职工基本医疗保险缴费、公务员医疗补助缴费、其他社会保障缴费、住房公积金、抚恤金、奖励金。</w:t>
      </w:r>
    </w:p>
    <w:p>
      <w:pPr>
        <w:ind w:firstLine="640" w:firstLineChars="200"/>
        <w:jc w:val="left"/>
        <w:rPr>
          <w:rFonts w:ascii="仿宋_GB2312" w:eastAsia="仿宋_GB2312"/>
          <w:sz w:val="32"/>
          <w:szCs w:val="32"/>
        </w:rPr>
      </w:pPr>
      <w:r>
        <w:rPr>
          <w:rFonts w:hint="eastAsia" w:ascii="仿宋_GB2312" w:eastAsia="仿宋_GB2312"/>
          <w:sz w:val="32"/>
          <w:szCs w:val="32"/>
        </w:rPr>
        <w:t>公用经费40.21万元，包括：办公费、取暖费、劳务费、工会经费、福利费、其他商品和服务支出。</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因公出国（境）费支出0.00万元，开支内容包括单位本年无此项经费。单位全年安排的因公出国（境）团组0个，因公出国（境）0人次。</w:t>
      </w:r>
    </w:p>
    <w:p>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单位本年无此项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1辆，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w:t>
      </w:r>
      <w:bookmarkStart w:id="18" w:name="_Hlk181978469"/>
      <w:r>
        <w:rPr>
          <w:rFonts w:hint="eastAsia" w:ascii="仿宋_GB2312" w:eastAsia="仿宋_GB2312"/>
          <w:sz w:val="32"/>
          <w:szCs w:val="32"/>
          <w:lang w:val="zh-CN"/>
        </w:rPr>
        <w:t>：</w:t>
      </w:r>
      <w:bookmarkEnd w:id="18"/>
      <w:r>
        <w:rPr>
          <w:rFonts w:hint="eastAsia" w:ascii="仿宋_GB2312" w:eastAsia="仿宋_GB2312"/>
          <w:sz w:val="32"/>
          <w:szCs w:val="32"/>
          <w:lang w:val="zh-CN"/>
        </w:rPr>
        <w:t>国有资产情况表中车辆是单位业务用车，不属于公务用车。</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公务接待费0.00万元，开支内容包括单位本年无此项经费。单位全年安排的国内公务接待0批次，0人次。</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0.00万元，决算数0.00万元，预决算差异率0.00%，主要原因是：单位本年无此项经费；公务用车购置费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w:t>
      </w:r>
    </w:p>
    <w:p>
      <w:pPr>
        <w:ind w:firstLine="640" w:firstLineChars="200"/>
        <w:jc w:val="left"/>
        <w:outlineLvl w:val="1"/>
        <w:rPr>
          <w:rFonts w:hint="eastAsia" w:ascii="黑体" w:hAnsi="黑体" w:eastAsia="黑体" w:cs="宋体"/>
          <w:bCs/>
          <w:kern w:val="0"/>
          <w:sz w:val="32"/>
          <w:szCs w:val="32"/>
        </w:rPr>
      </w:pPr>
      <w:bookmarkStart w:id="19" w:name="_Toc7927"/>
      <w:bookmarkStart w:id="20" w:name="_Toc5810"/>
      <w:r>
        <w:rPr>
          <w:rFonts w:hint="eastAsia" w:ascii="黑体" w:hAnsi="黑体" w:eastAsia="黑体" w:cs="宋体"/>
          <w:bCs/>
          <w:kern w:val="0"/>
          <w:sz w:val="32"/>
          <w:szCs w:val="32"/>
        </w:rPr>
        <w:t>八、政府性基金预算财政拨款收入支出决算情况说明</w:t>
      </w:r>
      <w:bookmarkEnd w:id="19"/>
      <w:bookmarkEnd w:id="20"/>
    </w:p>
    <w:p>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hint="eastAsia" w:ascii="黑体" w:hAnsi="黑体" w:eastAsia="黑体" w:cs="宋体"/>
          <w:bCs/>
          <w:kern w:val="0"/>
          <w:sz w:val="32"/>
          <w:szCs w:val="32"/>
        </w:rPr>
      </w:pPr>
      <w:bookmarkStart w:id="21" w:name="_Toc1235"/>
      <w:bookmarkStart w:id="22" w:name="_Toc7314"/>
      <w:r>
        <w:rPr>
          <w:rFonts w:hint="eastAsia" w:ascii="黑体" w:hAnsi="黑体" w:eastAsia="黑体" w:cs="宋体"/>
          <w:bCs/>
          <w:kern w:val="0"/>
          <w:sz w:val="32"/>
          <w:szCs w:val="32"/>
        </w:rPr>
        <w:t>十、其他重要事项的情况说明</w:t>
      </w:r>
      <w:bookmarkEnd w:id="21"/>
      <w:bookmarkEnd w:id="22"/>
    </w:p>
    <w:p>
      <w:pPr>
        <w:ind w:firstLine="640" w:firstLineChars="200"/>
        <w:jc w:val="left"/>
        <w:outlineLvl w:val="2"/>
        <w:rPr>
          <w:rFonts w:hint="eastAsia" w:ascii="黑体" w:hAnsi="黑体" w:eastAsia="黑体"/>
          <w:sz w:val="32"/>
          <w:szCs w:val="32"/>
        </w:rPr>
      </w:pPr>
      <w:bookmarkStart w:id="23" w:name="_Toc14519"/>
      <w:bookmarkStart w:id="24" w:name="_Toc13105"/>
      <w:r>
        <w:rPr>
          <w:rFonts w:hint="eastAsia" w:ascii="黑体" w:hAnsi="黑体" w:eastAsia="黑体"/>
          <w:sz w:val="32"/>
          <w:szCs w:val="32"/>
        </w:rPr>
        <w:t>（一）机关运行经费支出情况</w:t>
      </w:r>
      <w:bookmarkEnd w:id="23"/>
      <w:bookmarkEnd w:id="24"/>
    </w:p>
    <w:p>
      <w:pPr>
        <w:ind w:firstLine="640" w:firstLineChars="200"/>
        <w:rPr>
          <w:rFonts w:hint="eastAsia" w:ascii="仿宋_GB2312" w:hAnsi="仿宋_GB2312" w:eastAsia="仿宋_GB2312" w:cs="仿宋_GB2312"/>
          <w:sz w:val="32"/>
          <w:szCs w:val="32"/>
          <w:lang w:val="zh-CN"/>
        </w:rPr>
      </w:pPr>
      <w:bookmarkStart w:id="25" w:name="_Toc227"/>
      <w:bookmarkStart w:id="26"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乌鲁木齐市第98小学（事业单位）公用经费支出40.21万元，</w:t>
      </w:r>
      <w:r>
        <w:rPr>
          <w:rFonts w:hint="eastAsia" w:ascii="仿宋_GB2312" w:hAnsi="仿宋_GB2312" w:eastAsia="仿宋_GB2312" w:cs="仿宋_GB2312"/>
          <w:sz w:val="32"/>
          <w:szCs w:val="32"/>
          <w:lang w:val="zh-CN"/>
        </w:rPr>
        <w:t>比上年减少114.21万元，下降73.96%，主要原因是：单位本年</w:t>
      </w:r>
      <w:r>
        <w:rPr>
          <w:rFonts w:hint="eastAsia" w:ascii="仿宋_GB2312" w:eastAsia="仿宋_GB2312"/>
          <w:sz w:val="32"/>
          <w:szCs w:val="32"/>
        </w:rPr>
        <w:t>劳务费较上年减少</w:t>
      </w:r>
      <w:r>
        <w:rPr>
          <w:rFonts w:hint="eastAsia" w:ascii="仿宋_GB2312" w:hAnsi="仿宋_GB2312" w:eastAsia="仿宋_GB2312" w:cs="仿宋_GB2312"/>
          <w:sz w:val="32"/>
          <w:szCs w:val="32"/>
          <w:lang w:val="zh-CN"/>
        </w:rPr>
        <w:t>。</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5"/>
      <w:bookmarkEnd w:id="26"/>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2023年度政府采购支出总额0.00万元，其中：政府采购货物支出0.00万元、政府采购工程支出0.00万元、政府采购服务支出0.00万元。</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授予中小企业合同金额0.00万元，占政府采购支出总额的0.00%，其中：授予小微企业合同金额0.00万元，占政府采购支出总额的0.00%</w:t>
      </w:r>
      <w:r>
        <w:rPr>
          <w:rFonts w:hint="eastAsia" w:ascii="仿宋_GB2312" w:hAnsi="仿宋_GB2312" w:eastAsia="仿宋_GB2312" w:cs="仿宋_GB2312"/>
          <w:sz w:val="32"/>
          <w:szCs w:val="32"/>
        </w:rPr>
        <w:t>。</w:t>
      </w:r>
    </w:p>
    <w:p>
      <w:pPr>
        <w:ind w:firstLine="640" w:firstLineChars="200"/>
        <w:jc w:val="left"/>
        <w:rPr>
          <w:rFonts w:eastAsia="黑体"/>
          <w:sz w:val="32"/>
          <w:szCs w:val="30"/>
          <w:lang w:val="zh-CN"/>
        </w:rPr>
      </w:pPr>
      <w:bookmarkStart w:id="27" w:name="_Toc4591"/>
      <w:bookmarkStart w:id="28" w:name="_Toc8391"/>
      <w:r>
        <w:rPr>
          <w:rFonts w:hint="eastAsia" w:eastAsia="黑体"/>
          <w:sz w:val="32"/>
          <w:szCs w:val="30"/>
          <w:lang w:val="zh-CN"/>
        </w:rPr>
        <w:t>（三）国有资产占用情况说明</w:t>
      </w:r>
      <w:bookmarkEnd w:id="27"/>
      <w:bookmarkEnd w:id="28"/>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2,444.16</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屋9,470.48平方米，价值1,791.01万元。车辆1辆，价值3.73万元，其中：副部（省）级及以上领导用车0辆、主要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用车0辆、其他用车1辆，其他用车主要是：单位业务用车；单价100万元（含）以上设备（不含车辆）0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pPr>
        <w:ind w:firstLine="640" w:firstLineChars="200"/>
        <w:jc w:val="left"/>
        <w:outlineLvl w:val="1"/>
        <w:rPr>
          <w:rFonts w:hint="eastAsia" w:ascii="黑体" w:hAnsi="黑体" w:eastAsia="黑体" w:cs="宋体"/>
          <w:bCs/>
          <w:kern w:val="0"/>
          <w:sz w:val="32"/>
          <w:szCs w:val="32"/>
        </w:rPr>
      </w:pPr>
      <w:bookmarkStart w:id="29" w:name="_Toc11283"/>
      <w:bookmarkStart w:id="30" w:name="_Toc435"/>
      <w:r>
        <w:rPr>
          <w:rFonts w:hint="eastAsia" w:ascii="黑体" w:hAnsi="黑体" w:eastAsia="黑体" w:cs="宋体"/>
          <w:bCs/>
          <w:kern w:val="0"/>
          <w:sz w:val="32"/>
          <w:szCs w:val="32"/>
        </w:rPr>
        <w:t>十一、预算绩效的情况说明</w:t>
      </w:r>
      <w:bookmarkEnd w:id="29"/>
      <w:bookmarkEnd w:id="30"/>
    </w:p>
    <w:p>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859.98</w:t>
      </w:r>
      <w:r>
        <w:rPr>
          <w:rFonts w:hint="eastAsia" w:ascii="仿宋_GB2312" w:eastAsia="仿宋_GB2312"/>
          <w:sz w:val="32"/>
          <w:szCs w:val="32"/>
        </w:rPr>
        <w:t>万元，实际执行总额</w:t>
      </w:r>
      <w:r>
        <w:rPr>
          <w:rFonts w:ascii="仿宋_GB2312" w:eastAsia="仿宋_GB2312"/>
          <w:sz w:val="32"/>
          <w:szCs w:val="32"/>
        </w:rPr>
        <w:t>837.21</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预算绩效评价项目3个，全年预算数</w:t>
      </w:r>
      <w:r>
        <w:rPr>
          <w:rFonts w:ascii="仿宋_GB2312" w:eastAsia="仿宋_GB2312"/>
          <w:sz w:val="32"/>
          <w:szCs w:val="32"/>
        </w:rPr>
        <w:t>166.28</w:t>
      </w:r>
      <w:r>
        <w:rPr>
          <w:rFonts w:hint="eastAsia" w:ascii="仿宋_GB2312" w:eastAsia="仿宋_GB2312"/>
          <w:sz w:val="32"/>
          <w:szCs w:val="32"/>
        </w:rPr>
        <w:t>万元，全年执行数</w:t>
      </w:r>
      <w:r>
        <w:rPr>
          <w:rFonts w:ascii="仿宋_GB2312" w:eastAsia="仿宋_GB2312"/>
          <w:sz w:val="32"/>
          <w:szCs w:val="32"/>
        </w:rPr>
        <w:t>95.86</w:t>
      </w:r>
      <w:r>
        <w:rPr>
          <w:rFonts w:hint="eastAsia" w:ascii="仿宋_GB2312" w:eastAsia="仿宋_GB2312"/>
          <w:sz w:val="32"/>
          <w:szCs w:val="32"/>
        </w:rPr>
        <w:t>万元。预算绩效管理取得的成效：一是提高我校办学硬件设施，校园环境得到有效改善，办学条件明显改善；二是项目资金得到有效监管。发现的问题及原因：一是需要更加有效满足2023年期间教师工作需要，保证教学正常有序开展；二是对项目资金的重视情况下还未形成书面管理制度。下一步改进措施：一是提高我校办学硬件设施，改善校园环境及办学条件；二是协助相关人员尽快形成书面管理制度。具体项目自评情况附绩效自评表及自评报告。</w:t>
      </w:r>
    </w:p>
    <w:p>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gridCol w:w="284"/>
      </w:tblGrid>
      <w:tr>
        <w:tblPrEx>
          <w:tblLayout w:type="fixed"/>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pPr>
              <w:jc w:val="center"/>
            </w:pPr>
            <w:r>
              <w:rPr>
                <w:rFonts w:ascii="宋体" w:hAnsi="宋体"/>
                <w:sz w:val="18"/>
              </w:rPr>
              <w:t>第98小学</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1,046.23</w:t>
            </w:r>
          </w:p>
        </w:tc>
        <w:tc>
          <w:tcPr>
            <w:tcW w:w="1134" w:type="dxa"/>
            <w:tcBorders>
              <w:top w:val="nil"/>
              <w:left w:val="nil"/>
              <w:bottom w:val="single" w:color="auto" w:sz="4" w:space="0"/>
              <w:right w:val="single" w:color="auto" w:sz="4" w:space="0"/>
            </w:tcBorders>
            <w:shd w:val="clear" w:color="auto" w:fill="auto"/>
            <w:vAlign w:val="center"/>
          </w:tcPr>
          <w:p>
            <w:pPr>
              <w:jc w:val="center"/>
            </w:pPr>
            <w:bookmarkStart w:id="31" w:name="_Hlk179904819"/>
            <w:r>
              <w:rPr>
                <w:rFonts w:ascii="宋体" w:hAnsi="宋体"/>
                <w:sz w:val="18"/>
              </w:rPr>
              <w:t>859.98</w:t>
            </w:r>
            <w:bookmarkEnd w:id="31"/>
          </w:p>
        </w:tc>
        <w:tc>
          <w:tcPr>
            <w:tcW w:w="2126" w:type="dxa"/>
            <w:tcBorders>
              <w:top w:val="nil"/>
              <w:left w:val="nil"/>
              <w:bottom w:val="single" w:color="auto" w:sz="4" w:space="0"/>
              <w:right w:val="single" w:color="auto" w:sz="4" w:space="0"/>
            </w:tcBorders>
            <w:shd w:val="clear" w:color="auto" w:fill="auto"/>
            <w:vAlign w:val="center"/>
          </w:tcPr>
          <w:p>
            <w:pPr>
              <w:jc w:val="center"/>
            </w:pPr>
            <w:bookmarkStart w:id="32" w:name="_Hlk179904829"/>
            <w:r>
              <w:rPr>
                <w:rFonts w:ascii="宋体" w:hAnsi="宋体"/>
                <w:sz w:val="18"/>
              </w:rPr>
              <w:t>837.21</w:t>
            </w:r>
            <w:bookmarkEnd w:id="32"/>
          </w:p>
        </w:tc>
        <w:tc>
          <w:tcPr>
            <w:tcW w:w="100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97.35%</w:t>
            </w:r>
          </w:p>
        </w:tc>
        <w:tc>
          <w:tcPr>
            <w:tcW w:w="720"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9.74</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88.81</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47.54</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46.53</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11.69</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17.45</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16.42</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842.33</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640.88</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622.61</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103.40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154.11</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151.65</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抓基础教育、培养学生习惯、组织教育教学、科学研究活动，保证教育教学质量。维护教职工利益，保障教职工合法权益，以教职工和学生的人生幸福和生命质量作为重点。</w:t>
            </w:r>
          </w:p>
        </w:tc>
        <w:tc>
          <w:tcPr>
            <w:tcW w:w="4689" w:type="dxa"/>
            <w:gridSpan w:val="4"/>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本年共支出资金837.21万元。1、工资福利支出599.81万元，用于发放工资，奖金，绩效，社保公积金等，提高了教师的业务能力，带动了全体教师工作积极性，有效改善了我单位的整体教育教学水平。2.商品服务支出220.83万元，用于支付办公费电费取暖费，工行经费和福利费，保障学校的正常运转的水、电、暖、电话费、网络等，提高了办公环境。3.对个人家庭补助16.34万元，用于家庭困难学生生活补助，促进教育均衡化，完善义务教育保障机制。4.资本性支出0.23万元。</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法治思想专题学习次数</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《乌鲁木齐市教育系统开展法治宣传教育的第八个五年规划（2021-2025年）》</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备课组每周开展活动次数</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《新疆维吾尔自治区中小学教学常规管理基本要求》</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每位教师每学年开展公开课次数</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《新疆维吾尔自治区中小学教学常规管理基本要求》</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99.74分</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kern w:val="0"/>
                <w:sz w:val="18"/>
                <w:szCs w:val="18"/>
              </w:rPr>
            </w:pPr>
          </w:p>
        </w:tc>
      </w:tr>
    </w:tbl>
    <w:p>
      <w:pPr>
        <w:jc w:val="center"/>
        <w:rPr>
          <w:rFonts w:hint="eastAsia" w:ascii="宋体" w:hAnsi="宋体" w:cs="宋体"/>
          <w:b/>
          <w:bCs/>
          <w:kern w:val="0"/>
          <w:sz w:val="28"/>
          <w:szCs w:val="28"/>
        </w:rPr>
      </w:pPr>
      <w:r>
        <w:rPr>
          <w:rFonts w:hint="eastAsia" w:ascii="宋体" w:hAnsi="宋体" w:cs="宋体"/>
          <w:b/>
          <w:bCs/>
          <w:kern w:val="0"/>
          <w:sz w:val="18"/>
          <w:szCs w:val="18"/>
        </w:rPr>
        <w:br w:type="page"/>
      </w: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乌财教科【2023】106号—关于拨付2023年中小学和幼儿园自聘教师补助资金的通知</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第98小学</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48.44</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89.05</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20.15</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22.63%</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2.26分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48.44</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20.15</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20.15</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68.90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本项目通过按时支付自聘教师工资并缴纳社保，有改善学校教学资源短缺、教师人手不足，提高办学条件，推动义务教育均衡化发展。</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此项目通过聘请代课教师30人并依据工资标准按时发放工资，提高代课教师的薪资待遇，保持教师队伍的稳定，提高代课教师工作的积极性，保证教育教学工作的正常开展，同时提高教学质量</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自聘教师人数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&gt;=20人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30人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学生人数增加，自聘教师人数增加。</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教师持证上岗比例（%）</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课程正常开课率（%）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项目完成及时率（%）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代课工资标准</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=4200元/人/月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4200元/人/月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改善学校教学资源短缺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有效改善</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教师满意度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&gt;=98%</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自聘教师对工资待遇以及学校开展的各项工作都非常满意。</w:t>
            </w: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92.26分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28"/>
          <w:szCs w:val="28"/>
        </w:rPr>
      </w:pPr>
      <w:r>
        <w:rPr>
          <w:rFonts w:hint="eastAsia" w:ascii="宋体" w:hAnsi="宋体" w:cs="宋体"/>
          <w:b/>
          <w:bCs/>
          <w:kern w:val="0"/>
          <w:sz w:val="18"/>
          <w:szCs w:val="18"/>
        </w:rPr>
        <w:br w:type="page"/>
      </w: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公用经费（小学）乌财科教【2022】67号-75号-关于提前下达2023年教育直达资金预算的通知</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 xml:space="preserve"> 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第98小学</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85.99</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61.71</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61.71</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85.99</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33.78</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33.78</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27.93</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27.93</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本项目通过缴纳全年公用暖气费，支付6名保安12个月学校安保服务费，可改善我校办学硬件设施，有效改善校园环境，明显提高办学条件，推动义务教育均衡化发展。</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本项目通过缴纳全年公用暖气费，支付6名保安12个月学校安保服务费，及购买办公用品、保障日常零星维修，有效改善校园环境，明显提高办学条件，推动义务教育均衡发展。</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享受教学条件改善学生数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&gt;=1274人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1274人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学校供暖面积</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=9649.67平方米</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9649.67平方米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聘用保安人数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&gt;=6人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学校供暖覆盖率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聘用保安持证上岗率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学校全年正常运转率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提高社会服务发展能力，提升学生综合素质</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30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30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98%</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本年度学校领导班子对学校各项工作进行了优化，学校工作满意度水平较高。</w:t>
            </w: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28"/>
          <w:szCs w:val="28"/>
        </w:rPr>
      </w:pPr>
      <w:r>
        <w:rPr>
          <w:rFonts w:hint="eastAsia" w:ascii="宋体" w:hAnsi="宋体" w:cs="宋体"/>
          <w:b/>
          <w:bCs/>
          <w:kern w:val="0"/>
          <w:sz w:val="18"/>
          <w:szCs w:val="18"/>
        </w:rPr>
        <w:br w:type="page"/>
      </w: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生活补助（小学）乌财科教【2022】67号-75号-关于提前下达2023年教育直达资金预算的通知</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 xml:space="preserve"> 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第98小学</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10.94</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15.52</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14.00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90.21%</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9.02分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10.94</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10.62</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9.00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4.90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hint="eastAsia" w:ascii="宋体" w:hAnsi="宋体"/>
                <w:sz w:val="18"/>
              </w:rPr>
              <w:t>5.00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我校贫困生资助管理专干根据贫困生资助管理平台，提供人数175人，预计2023年的实际需求，非寄宿生家庭困难生活补助标准，小学每生312.5元/学期，支付全年贫困生生活补助，可改善贫困生家庭经济条件，帮助贫困生顺利完成学业。</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我校贫困生资助管理专干根据贫困生资助管理平台，提供人数400人，预计2023年的实际需求，非寄宿生家庭困难生活补助标准，小学每生312.5元/学期，支付全年贫困生生活补助，可改善贫困生家庭经济条件，帮助贫困生顺利完成学业。</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发放贫困补助学生人数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&gt;=175人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167人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9.5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 xml:space="preserve"> 有8名学生放弃补助名额。</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贫困生补助发放覆盖率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享受补助时长</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=2个学期</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2个学期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贫困生发放及时率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享受补助标准</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=625元/生/年</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625元/生/年</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解决非寄宿贫困学生困难</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有效解决</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98.52分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ind w:firstLine="643" w:firstLineChars="200"/>
        <w:jc w:val="left"/>
        <w:rPr>
          <w:rFonts w:hint="eastAsia" w:ascii="仿宋_GB2312" w:hAnsi="仿宋_GB2312" w:eastAsia="仿宋_GB2312" w:cs="仿宋_GB2312"/>
          <w:b/>
          <w:bCs/>
          <w:kern w:val="0"/>
          <w:sz w:val="32"/>
          <w:szCs w:val="32"/>
        </w:rPr>
      </w:pPr>
    </w:p>
    <w:p>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rPr>
          <w:rFonts w:ascii="仿宋_GB2312" w:eastAsia="仿宋_GB2312"/>
          <w:sz w:val="32"/>
          <w:szCs w:val="32"/>
          <w:lang w:val="zh-CN"/>
        </w:rPr>
      </w:pPr>
      <w:r>
        <w:rPr>
          <w:rFonts w:ascii="仿宋_GB2312" w:eastAsia="仿宋_GB2312"/>
          <w:sz w:val="32"/>
          <w:szCs w:val="32"/>
          <w:lang w:val="zh-CN"/>
        </w:rPr>
        <w:t>我单位本年资金紧张未购买办公用品及设备。因此政府采购金额支出为0万元。其中授予中小企业合同金额、授予小微企业合同金额为0万元。</w:t>
      </w:r>
    </w:p>
    <w:p>
      <w:pPr>
        <w:jc w:val="center"/>
        <w:outlineLvl w:val="0"/>
        <w:rPr>
          <w:rFonts w:hint="eastAsia" w:ascii="黑体" w:hAnsi="黑体" w:eastAsia="黑体"/>
          <w:sz w:val="32"/>
          <w:szCs w:val="32"/>
        </w:rPr>
      </w:pPr>
      <w:bookmarkStart w:id="33" w:name="_Toc3250"/>
      <w:bookmarkStart w:id="34"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3"/>
      <w:bookmarkEnd w:id="34"/>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hint="eastAsia" w:ascii="黑体" w:hAnsi="黑体" w:eastAsia="仿宋_GB2312" w:cs="宋体"/>
          <w:bCs/>
          <w:kern w:val="0"/>
          <w:sz w:val="32"/>
          <w:szCs w:val="32"/>
        </w:rPr>
      </w:pPr>
      <w:bookmarkStart w:id="35" w:name="_Toc6062"/>
      <w:bookmarkStart w:id="36" w:name="_Toc2183"/>
      <w:r>
        <w:rPr>
          <w:rFonts w:hint="eastAsia" w:ascii="黑体" w:hAnsi="黑体" w:eastAsia="仿宋_GB2312" w:cs="宋体"/>
          <w:bCs/>
          <w:kern w:val="0"/>
          <w:sz w:val="32"/>
          <w:szCs w:val="32"/>
        </w:rPr>
        <w:t>一、《收入支出决算总表》</w:t>
      </w:r>
      <w:bookmarkEnd w:id="35"/>
      <w:bookmarkEnd w:id="36"/>
    </w:p>
    <w:p>
      <w:pPr>
        <w:ind w:firstLine="640" w:firstLineChars="200"/>
        <w:outlineLvl w:val="1"/>
        <w:rPr>
          <w:rFonts w:hint="eastAsia" w:ascii="黑体" w:hAnsi="黑体" w:eastAsia="仿宋_GB2312" w:cs="宋体"/>
          <w:bCs/>
          <w:kern w:val="0"/>
          <w:sz w:val="32"/>
          <w:szCs w:val="32"/>
        </w:rPr>
      </w:pPr>
      <w:bookmarkStart w:id="37" w:name="_Toc30364"/>
      <w:bookmarkStart w:id="38" w:name="_Toc24532"/>
      <w:r>
        <w:rPr>
          <w:rFonts w:hint="eastAsia" w:ascii="黑体" w:hAnsi="黑体" w:eastAsia="仿宋_GB2312" w:cs="宋体"/>
          <w:bCs/>
          <w:kern w:val="0"/>
          <w:sz w:val="32"/>
          <w:szCs w:val="32"/>
        </w:rPr>
        <w:t>二、《收入决算表》</w:t>
      </w:r>
      <w:bookmarkEnd w:id="37"/>
      <w:bookmarkEnd w:id="38"/>
    </w:p>
    <w:p>
      <w:pPr>
        <w:ind w:firstLine="640" w:firstLineChars="200"/>
        <w:outlineLvl w:val="1"/>
        <w:rPr>
          <w:rFonts w:hint="eastAsia" w:ascii="黑体" w:hAnsi="黑体" w:eastAsia="仿宋_GB2312" w:cs="宋体"/>
          <w:bCs/>
          <w:kern w:val="0"/>
          <w:sz w:val="32"/>
          <w:szCs w:val="32"/>
        </w:rPr>
      </w:pPr>
      <w:bookmarkStart w:id="39" w:name="_Toc32434"/>
      <w:bookmarkStart w:id="40" w:name="_Toc21304"/>
      <w:r>
        <w:rPr>
          <w:rFonts w:hint="eastAsia" w:ascii="黑体" w:hAnsi="黑体" w:eastAsia="仿宋_GB2312" w:cs="宋体"/>
          <w:bCs/>
          <w:kern w:val="0"/>
          <w:sz w:val="32"/>
          <w:szCs w:val="32"/>
        </w:rPr>
        <w:t>三、《支出决算表》</w:t>
      </w:r>
      <w:bookmarkEnd w:id="39"/>
      <w:bookmarkEnd w:id="40"/>
    </w:p>
    <w:p>
      <w:pPr>
        <w:ind w:firstLine="640" w:firstLineChars="200"/>
        <w:outlineLvl w:val="1"/>
        <w:rPr>
          <w:rFonts w:hint="eastAsia" w:ascii="黑体" w:hAnsi="黑体" w:eastAsia="仿宋_GB2312" w:cs="宋体"/>
          <w:bCs/>
          <w:kern w:val="0"/>
          <w:sz w:val="32"/>
          <w:szCs w:val="32"/>
        </w:rPr>
      </w:pPr>
      <w:bookmarkStart w:id="41" w:name="_Toc28786"/>
      <w:bookmarkStart w:id="42" w:name="_Toc14238"/>
      <w:r>
        <w:rPr>
          <w:rFonts w:hint="eastAsia" w:ascii="黑体" w:hAnsi="黑体" w:eastAsia="仿宋_GB2312" w:cs="宋体"/>
          <w:bCs/>
          <w:kern w:val="0"/>
          <w:sz w:val="32"/>
          <w:szCs w:val="32"/>
        </w:rPr>
        <w:t>四、《财政拨款收入支出决算总表》</w:t>
      </w:r>
      <w:bookmarkEnd w:id="41"/>
      <w:bookmarkEnd w:id="42"/>
    </w:p>
    <w:p>
      <w:pPr>
        <w:ind w:firstLine="640" w:firstLineChars="200"/>
        <w:outlineLvl w:val="1"/>
        <w:rPr>
          <w:rFonts w:hint="eastAsia" w:ascii="黑体" w:hAnsi="黑体" w:eastAsia="仿宋_GB2312" w:cs="宋体"/>
          <w:bCs/>
          <w:kern w:val="0"/>
          <w:sz w:val="32"/>
          <w:szCs w:val="32"/>
        </w:rPr>
      </w:pPr>
      <w:bookmarkStart w:id="43" w:name="_Toc10347"/>
      <w:bookmarkStart w:id="44" w:name="_Toc14869"/>
      <w:r>
        <w:rPr>
          <w:rFonts w:hint="eastAsia" w:ascii="黑体" w:hAnsi="黑体" w:eastAsia="仿宋_GB2312" w:cs="宋体"/>
          <w:bCs/>
          <w:kern w:val="0"/>
          <w:sz w:val="32"/>
          <w:szCs w:val="32"/>
        </w:rPr>
        <w:t>五、《一般公共预算财政拨款支出决算表》</w:t>
      </w:r>
      <w:bookmarkEnd w:id="43"/>
      <w:bookmarkEnd w:id="44"/>
    </w:p>
    <w:p>
      <w:pPr>
        <w:ind w:firstLine="640" w:firstLineChars="200"/>
        <w:outlineLvl w:val="1"/>
        <w:rPr>
          <w:rFonts w:hint="eastAsia" w:ascii="黑体" w:hAnsi="黑体" w:eastAsia="仿宋_GB2312" w:cs="宋体"/>
          <w:bCs/>
          <w:kern w:val="0"/>
          <w:sz w:val="32"/>
          <w:szCs w:val="32"/>
        </w:rPr>
      </w:pPr>
      <w:bookmarkStart w:id="45" w:name="_Toc8884"/>
      <w:bookmarkStart w:id="46" w:name="_Toc5626"/>
      <w:r>
        <w:rPr>
          <w:rFonts w:hint="eastAsia" w:ascii="黑体" w:hAnsi="黑体" w:eastAsia="仿宋_GB2312" w:cs="宋体"/>
          <w:bCs/>
          <w:kern w:val="0"/>
          <w:sz w:val="32"/>
          <w:szCs w:val="32"/>
        </w:rPr>
        <w:t>六、《一般公共预算财政拨款基本支出决算表》</w:t>
      </w:r>
      <w:bookmarkEnd w:id="45"/>
      <w:bookmarkEnd w:id="46"/>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7" w:name="_Toc29106"/>
      <w:bookmarkStart w:id="48" w:name="_Toc32663"/>
      <w:r>
        <w:rPr>
          <w:rFonts w:hint="eastAsia" w:ascii="黑体" w:hAnsi="黑体" w:eastAsia="仿宋_GB2312" w:cs="宋体"/>
          <w:bCs/>
          <w:kern w:val="0"/>
          <w:sz w:val="32"/>
          <w:szCs w:val="32"/>
        </w:rPr>
        <w:t>《财政拨款“三公”经费支出决算表》</w:t>
      </w:r>
      <w:bookmarkEnd w:id="47"/>
      <w:bookmarkEnd w:id="48"/>
    </w:p>
    <w:p>
      <w:pPr>
        <w:ind w:firstLine="640" w:firstLineChars="200"/>
        <w:outlineLvl w:val="1"/>
        <w:rPr>
          <w:rFonts w:hint="eastAsia" w:ascii="黑体" w:hAnsi="黑体" w:eastAsia="仿宋_GB2312" w:cs="宋体"/>
          <w:bCs/>
          <w:kern w:val="0"/>
          <w:sz w:val="32"/>
          <w:szCs w:val="32"/>
        </w:rPr>
      </w:pPr>
      <w:bookmarkStart w:id="49" w:name="_Toc5453"/>
      <w:bookmarkStart w:id="50" w:name="_Toc7643"/>
      <w:r>
        <w:rPr>
          <w:rFonts w:hint="eastAsia" w:ascii="黑体" w:hAnsi="黑体" w:eastAsia="仿宋_GB2312" w:cs="宋体"/>
          <w:bCs/>
          <w:kern w:val="0"/>
          <w:sz w:val="32"/>
          <w:szCs w:val="32"/>
        </w:rPr>
        <w:t>八、《政府性基金预算财政拨款收入支出决算表》</w:t>
      </w:r>
      <w:bookmarkEnd w:id="49"/>
      <w:bookmarkEnd w:id="50"/>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zql5uc8AAAAFAQAADwAAAAAAAAABACAAAAAiAAAAZHJzL2Rvd25yZXYueG1sUEsBAhQAFAAAAAgA&#10;h07iQBbUj9C8AQAAZAMAAA4AAAAAAAAAAQAgAAAAHgEAAGRycy9lMm9Eb2MueG1sUEsFBgAAAAAG&#10;AAYAWQEAAEwFA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A33E6A"/>
    <w:rsid w:val="0002767F"/>
    <w:rsid w:val="0011404B"/>
    <w:rsid w:val="00213C59"/>
    <w:rsid w:val="002B4E62"/>
    <w:rsid w:val="003210CE"/>
    <w:rsid w:val="003B087F"/>
    <w:rsid w:val="004219E3"/>
    <w:rsid w:val="0047177D"/>
    <w:rsid w:val="004F3368"/>
    <w:rsid w:val="005A282F"/>
    <w:rsid w:val="00724FB5"/>
    <w:rsid w:val="007D03BC"/>
    <w:rsid w:val="009F4F43"/>
    <w:rsid w:val="00A33E6A"/>
    <w:rsid w:val="00A61BE0"/>
    <w:rsid w:val="00B07251"/>
    <w:rsid w:val="00B70D59"/>
    <w:rsid w:val="00BB4AD7"/>
    <w:rsid w:val="00C351BD"/>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9B7ABA"/>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1465</Words>
  <Characters>8354</Characters>
  <Lines>69</Lines>
  <Paragraphs>19</Paragraphs>
  <TotalTime>42</TotalTime>
  <ScaleCrop>false</ScaleCrop>
  <LinksUpToDate>false</LinksUpToDate>
  <CharactersWithSpaces>9800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姜哲文</cp:lastModifiedBy>
  <dcterms:modified xsi:type="dcterms:W3CDTF">2025-12-16T09:55:09Z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D624B15633CD43C8BF9435464A96BF70</vt:lpwstr>
  </property>
</Properties>
</file>