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乌鲁木齐市第99小学</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1．宣传贯彻执行党和国家的教育方针、政策、法律法规等，坚持依法治教、依法治学，贯彻执行上级教育部门的行政规章制度。</w:t>
      </w:r>
    </w:p>
    <w:p>
      <w:pPr>
        <w:ind w:firstLine="640" w:firstLineChars="200"/>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2．配合上级教育部门制定符合党的教育方针和国家教育法律法规以及本校实际的教育发展规划和学校布局调整规划，并抓好组织实施和落实工作。</w:t>
      </w:r>
    </w:p>
    <w:p>
      <w:pPr>
        <w:ind w:firstLine="640" w:firstLineChars="200"/>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3．配合各级人民政府依法动员、组织适龄少年入学，严格控制辍学，推进普及义务教育。</w:t>
      </w:r>
    </w:p>
    <w:p>
      <w:pPr>
        <w:ind w:firstLine="640" w:firstLineChars="200"/>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4．组织开展本校的教育教学科研和教育教学改革，科研兴教，科研兴校。负责对本校教育教学业务的具体管理，负责教育教学管理及教研教改工作。</w:t>
      </w:r>
    </w:p>
    <w:p>
      <w:pPr>
        <w:ind w:firstLine="640" w:firstLineChars="200"/>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5．按照干部和教师的职数、编制和管理权限，制定切实可行的学校工作规章制度，以提高教育教学质量为目的，负责本校教师人事管理、继续教育、考核考评等工作。</w:t>
      </w:r>
    </w:p>
    <w:p>
      <w:pPr>
        <w:ind w:firstLine="640" w:firstLineChars="200"/>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6．负责本校财务和基建管理，筹措资金，改善办学条件等工作，为师生提供优美和谐的学习和工作环境。核算和发放教职工工资,维护教职工利益，保障教职工合法权益。</w:t>
      </w:r>
    </w:p>
    <w:p>
      <w:pPr>
        <w:ind w:firstLine="640" w:firstLineChars="200"/>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7．指导、管理、检查、评价本校的教育教学工作，提高办学质量和办学效益。按照义务教育课程计划，开齐课程，开足课时，认真教育教学管理，全面提高教育教学质量。</w:t>
      </w:r>
    </w:p>
    <w:p>
      <w:pPr>
        <w:ind w:firstLine="640" w:firstLineChars="200"/>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8.建立健全学生学籍管理制度，按</w:t>
      </w:r>
      <w:bookmarkStart w:id="48" w:name="_GoBack"/>
      <w:bookmarkEnd w:id="48"/>
      <w:r>
        <w:rPr>
          <w:rFonts w:hint="eastAsia" w:ascii="仿宋_GB2312" w:hAnsi="黑体" w:eastAsia="仿宋_GB2312" w:cs="宋体"/>
          <w:bCs/>
          <w:kern w:val="0"/>
          <w:sz w:val="32"/>
          <w:szCs w:val="32"/>
          <w:lang w:eastAsia="zh-CN"/>
        </w:rPr>
        <w:t>教育部</w:t>
      </w:r>
      <w:r>
        <w:rPr>
          <w:rFonts w:hint="eastAsia" w:ascii="仿宋_GB2312" w:hAnsi="黑体" w:eastAsia="仿宋_GB2312" w:cs="宋体"/>
          <w:bCs/>
          <w:kern w:val="0"/>
          <w:sz w:val="32"/>
          <w:szCs w:val="32"/>
        </w:rPr>
        <w:t>颁布的规定管理学生学籍。</w:t>
      </w:r>
    </w:p>
    <w:p>
      <w:pPr>
        <w:ind w:firstLine="640" w:firstLineChars="200"/>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9.在上级党委、政府和教育行政部门的领导下，积极开展学校的安全管理，不断提高安全管理水平,努力营造安全和谐的校园环境。</w:t>
      </w:r>
    </w:p>
    <w:p>
      <w:pPr>
        <w:ind w:firstLine="640" w:firstLineChars="200"/>
        <w:rPr>
          <w:rFonts w:ascii="仿宋_GB2312" w:eastAsia="仿宋_GB2312"/>
          <w:sz w:val="32"/>
          <w:szCs w:val="32"/>
        </w:rPr>
      </w:pPr>
      <w:r>
        <w:rPr>
          <w:rFonts w:hint="eastAsia" w:ascii="仿宋_GB2312" w:hAnsi="黑体" w:eastAsia="仿宋_GB2312" w:cs="宋体"/>
          <w:bCs/>
          <w:kern w:val="0"/>
          <w:sz w:val="32"/>
          <w:szCs w:val="32"/>
        </w:rPr>
        <w:t>10．在上级教育部门的领导下，谋划布局，全面推进义务教育均衡发展</w:t>
      </w:r>
      <w:r>
        <w:rPr>
          <w:rFonts w:hint="eastAsia" w:ascii="仿宋_GB2312" w:eastAsia="仿宋_GB2312"/>
          <w:sz w:val="32"/>
          <w:szCs w:val="32"/>
        </w:rPr>
        <w:t>。</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乌鲁木齐市第99小学2023年度，实有人数</w:t>
      </w:r>
      <w:r>
        <w:rPr>
          <w:rFonts w:hint="eastAsia" w:ascii="仿宋_GB2312" w:eastAsia="仿宋_GB2312"/>
          <w:sz w:val="32"/>
          <w:szCs w:val="32"/>
          <w:lang w:val="zh-CN"/>
        </w:rPr>
        <w:t>100</w:t>
      </w:r>
      <w:r>
        <w:rPr>
          <w:rFonts w:hint="eastAsia" w:ascii="仿宋_GB2312" w:eastAsia="仿宋_GB2312"/>
          <w:sz w:val="32"/>
          <w:szCs w:val="32"/>
        </w:rPr>
        <w:t>人，其中：在职人员</w:t>
      </w:r>
      <w:r>
        <w:rPr>
          <w:rFonts w:hint="eastAsia" w:ascii="仿宋_GB2312" w:eastAsia="仿宋_GB2312"/>
          <w:sz w:val="32"/>
          <w:szCs w:val="32"/>
          <w:lang w:val="zh-CN"/>
        </w:rPr>
        <w:t>43</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57</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12</w:t>
      </w:r>
      <w:r>
        <w:rPr>
          <w:rFonts w:hint="eastAsia" w:ascii="仿宋_GB2312" w:hAnsi="黑体" w:eastAsia="仿宋_GB2312" w:cs="宋体"/>
          <w:bCs/>
          <w:kern w:val="0"/>
          <w:sz w:val="32"/>
          <w:szCs w:val="32"/>
        </w:rPr>
        <w:t>个处室，分别是：</w:t>
      </w:r>
      <w:r>
        <w:rPr>
          <w:rFonts w:hint="eastAsia" w:ascii="仿宋_GB2312" w:eastAsia="仿宋_GB2312"/>
          <w:kern w:val="0"/>
          <w:sz w:val="32"/>
        </w:rPr>
        <w:t>校长室、书记室、财务室、党政办、后勤室、教务室、教研室、人事办公室、德育室、体育室、各功能室、各科教师室</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2023年度收入总计959.05万元，其中：本年收入合计918.31万元，使用非财政拨款结余0.00万元，年初结转和结余40.74万元。</w:t>
      </w:r>
    </w:p>
    <w:p>
      <w:pPr>
        <w:ind w:firstLine="640" w:firstLineChars="200"/>
        <w:rPr>
          <w:rFonts w:ascii="仿宋_GB2312" w:eastAsia="仿宋_GB2312"/>
          <w:sz w:val="32"/>
          <w:szCs w:val="32"/>
        </w:rPr>
      </w:pPr>
      <w:r>
        <w:rPr>
          <w:rFonts w:hint="eastAsia" w:ascii="仿宋_GB2312" w:eastAsia="仿宋_GB2312"/>
          <w:sz w:val="32"/>
          <w:szCs w:val="32"/>
        </w:rPr>
        <w:t>2023年度支出总计959.05万元，其中：本年支出合计870.22万元，结余分配0.00万元，年末结转和结余88.82万元。</w:t>
      </w:r>
    </w:p>
    <w:p>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减少51.82万元</w:t>
      </w:r>
      <w:r>
        <w:rPr>
          <w:rFonts w:hint="eastAsia" w:ascii="仿宋_GB2312" w:eastAsia="仿宋_GB2312"/>
          <w:sz w:val="32"/>
          <w:szCs w:val="32"/>
        </w:rPr>
        <w:t>，下降5.13%，主要原因是：</w:t>
      </w:r>
      <w:r>
        <w:rPr>
          <w:rFonts w:hint="eastAsia" w:ascii="仿宋_GB2312" w:hAnsi="仿宋_GB2312" w:eastAsia="仿宋_GB2312" w:cs="仿宋_GB2312"/>
          <w:sz w:val="32"/>
          <w:szCs w:val="32"/>
          <w:lang w:val="zh-CN"/>
        </w:rPr>
        <w:t>本年单位人员减少，相应人员薪资、津补贴、奖金等人员经费减少</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本年收入918.31万元，其中：财政拨款收入</w:t>
      </w:r>
      <w:r>
        <w:rPr>
          <w:rFonts w:hint="eastAsia" w:ascii="仿宋_GB2312" w:eastAsia="仿宋_GB2312"/>
          <w:sz w:val="32"/>
          <w:szCs w:val="32"/>
          <w:lang w:val="zh-CN"/>
        </w:rPr>
        <w:t>886.68</w:t>
      </w:r>
      <w:r>
        <w:rPr>
          <w:rFonts w:hint="eastAsia" w:ascii="仿宋_GB2312" w:eastAsia="仿宋_GB2312"/>
          <w:sz w:val="32"/>
          <w:szCs w:val="32"/>
        </w:rPr>
        <w:t>万元，占</w:t>
      </w:r>
      <w:r>
        <w:rPr>
          <w:rFonts w:hint="eastAsia" w:ascii="仿宋_GB2312" w:eastAsia="仿宋_GB2312"/>
          <w:sz w:val="32"/>
          <w:szCs w:val="32"/>
          <w:lang w:val="zh-CN"/>
        </w:rPr>
        <w:t>96.56%</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31.63</w:t>
      </w:r>
      <w:r>
        <w:rPr>
          <w:rFonts w:hint="eastAsia" w:ascii="仿宋_GB2312" w:eastAsia="仿宋_GB2312"/>
          <w:sz w:val="32"/>
          <w:szCs w:val="32"/>
        </w:rPr>
        <w:t>万元，占</w:t>
      </w:r>
      <w:r>
        <w:rPr>
          <w:rFonts w:hint="eastAsia" w:ascii="仿宋_GB2312" w:eastAsia="仿宋_GB2312"/>
          <w:sz w:val="32"/>
          <w:szCs w:val="32"/>
          <w:lang w:val="zh-CN"/>
        </w:rPr>
        <w:t>3.44%</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本年支出870.22万元，其中：基本支出743.05万元，占85.39%；项目支出127.17万元，占14.61%；上缴上级支出0.00万元，占0.00%；经营支出0.00万元，占0.00%；对附属单位补助支出0.00万元，占0.00%。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926.51</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39.83</w:t>
      </w:r>
      <w:r>
        <w:rPr>
          <w:rFonts w:hint="eastAsia" w:ascii="仿宋_GB2312" w:eastAsia="仿宋_GB2312"/>
          <w:sz w:val="32"/>
          <w:szCs w:val="32"/>
        </w:rPr>
        <w:t>万元，本年财政拨款收入</w:t>
      </w:r>
      <w:r>
        <w:rPr>
          <w:rFonts w:hint="eastAsia" w:ascii="仿宋_GB2312" w:eastAsia="仿宋_GB2312"/>
          <w:sz w:val="32"/>
          <w:szCs w:val="32"/>
          <w:lang w:val="zh-CN"/>
        </w:rPr>
        <w:t>886.68</w:t>
      </w:r>
      <w:r>
        <w:rPr>
          <w:rFonts w:hint="eastAsia" w:ascii="仿宋_GB2312" w:eastAsia="仿宋_GB2312"/>
          <w:sz w:val="32"/>
          <w:szCs w:val="32"/>
        </w:rPr>
        <w:t>万元。财政拨款支出总计</w:t>
      </w:r>
      <w:r>
        <w:rPr>
          <w:rFonts w:hint="eastAsia" w:ascii="仿宋_GB2312" w:eastAsia="仿宋_GB2312"/>
          <w:sz w:val="32"/>
          <w:szCs w:val="32"/>
          <w:lang w:val="zh-CN"/>
        </w:rPr>
        <w:t>926.51</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88.04</w:t>
      </w:r>
      <w:r>
        <w:rPr>
          <w:rFonts w:hint="eastAsia" w:ascii="仿宋_GB2312" w:eastAsia="仿宋_GB2312"/>
          <w:sz w:val="32"/>
          <w:szCs w:val="32"/>
        </w:rPr>
        <w:t>万元，本年财政拨款支出</w:t>
      </w:r>
      <w:r>
        <w:rPr>
          <w:rFonts w:hint="eastAsia" w:ascii="仿宋_GB2312" w:eastAsia="仿宋_GB2312"/>
          <w:sz w:val="32"/>
          <w:szCs w:val="32"/>
          <w:lang w:val="zh-CN"/>
        </w:rPr>
        <w:t>838.47</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减少30.46万元</w:t>
      </w:r>
      <w:r>
        <w:rPr>
          <w:rFonts w:hint="eastAsia" w:ascii="仿宋_GB2312" w:eastAsia="仿宋_GB2312"/>
          <w:sz w:val="32"/>
          <w:szCs w:val="32"/>
        </w:rPr>
        <w:t>，下降3.18%,主要原因是：</w:t>
      </w:r>
      <w:r>
        <w:rPr>
          <w:rFonts w:hint="eastAsia" w:ascii="仿宋_GB2312" w:hAnsi="仿宋_GB2312" w:eastAsia="仿宋_GB2312" w:cs="仿宋_GB2312"/>
          <w:sz w:val="32"/>
          <w:szCs w:val="32"/>
          <w:lang w:val="zh-CN"/>
        </w:rPr>
        <w:t>本年单位人员减少，相应人员薪资、津补贴、奖金等人员经费减少</w:t>
      </w:r>
      <w:r>
        <w:rPr>
          <w:rFonts w:hint="eastAsia" w:ascii="仿宋_GB2312" w:eastAsia="仿宋_GB2312"/>
          <w:sz w:val="32"/>
          <w:szCs w:val="32"/>
        </w:rPr>
        <w:t>。与年初预算相比，年初预算数</w:t>
      </w:r>
      <w:r>
        <w:rPr>
          <w:rFonts w:hint="eastAsia" w:ascii="仿宋_GB2312" w:eastAsia="仿宋_GB2312"/>
          <w:sz w:val="32"/>
          <w:szCs w:val="32"/>
          <w:lang w:val="zh-CN"/>
        </w:rPr>
        <w:t>925.19</w:t>
      </w:r>
      <w:r>
        <w:rPr>
          <w:rFonts w:hint="eastAsia" w:ascii="仿宋_GB2312" w:eastAsia="仿宋_GB2312"/>
          <w:sz w:val="32"/>
          <w:szCs w:val="32"/>
        </w:rPr>
        <w:t>万元，决算数</w:t>
      </w:r>
      <w:r>
        <w:rPr>
          <w:rFonts w:hint="eastAsia" w:ascii="仿宋_GB2312" w:eastAsia="仿宋_GB2312"/>
          <w:sz w:val="32"/>
          <w:szCs w:val="32"/>
          <w:lang w:val="zh-CN"/>
        </w:rPr>
        <w:t>926.51</w:t>
      </w:r>
      <w:r>
        <w:rPr>
          <w:rFonts w:hint="eastAsia" w:ascii="仿宋_GB2312" w:eastAsia="仿宋_GB2312"/>
          <w:sz w:val="32"/>
          <w:szCs w:val="32"/>
        </w:rPr>
        <w:t>万元，预决算差异率0.14%，主要原因是：自聘教师补助资金、城乡义务教育经费保障机制-公用经费较预算增加。</w:t>
      </w:r>
    </w:p>
    <w:p>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2023年度一般公共预算财政拨款支出838.47万元，占本年支出合计的</w:t>
      </w:r>
      <w:r>
        <w:rPr>
          <w:rFonts w:hint="eastAsia" w:ascii="仿宋_GB2312" w:eastAsia="仿宋_GB2312"/>
          <w:sz w:val="32"/>
          <w:szCs w:val="32"/>
          <w:lang w:val="zh-CN"/>
        </w:rPr>
        <w:t>96.35%</w:t>
      </w:r>
      <w:r>
        <w:rPr>
          <w:rFonts w:hint="eastAsia" w:ascii="仿宋_GB2312" w:eastAsia="仿宋_GB2312"/>
          <w:sz w:val="32"/>
          <w:szCs w:val="32"/>
        </w:rPr>
        <w:t>。与上年相比，</w:t>
      </w:r>
      <w:r>
        <w:rPr>
          <w:rFonts w:hint="eastAsia" w:ascii="仿宋_GB2312" w:eastAsia="仿宋_GB2312"/>
          <w:sz w:val="32"/>
          <w:szCs w:val="32"/>
          <w:lang w:val="zh-CN"/>
        </w:rPr>
        <w:t>减少78.67万元</w:t>
      </w:r>
      <w:r>
        <w:rPr>
          <w:rFonts w:hint="eastAsia" w:ascii="仿宋_GB2312" w:eastAsia="仿宋_GB2312"/>
          <w:sz w:val="32"/>
          <w:szCs w:val="32"/>
        </w:rPr>
        <w:t>，下降8.58%,主要原因是：</w:t>
      </w:r>
      <w:r>
        <w:rPr>
          <w:rFonts w:hint="eastAsia" w:ascii="仿宋_GB2312" w:hAnsi="仿宋_GB2312" w:eastAsia="仿宋_GB2312" w:cs="仿宋_GB2312"/>
          <w:sz w:val="32"/>
          <w:szCs w:val="32"/>
          <w:lang w:val="zh-CN"/>
        </w:rPr>
        <w:t>本年单位人员减少，相应人员薪资、津补贴、奖金等人员经费减少</w:t>
      </w:r>
      <w:r>
        <w:rPr>
          <w:rFonts w:hint="eastAsia" w:ascii="仿宋_GB2312" w:eastAsia="仿宋_GB2312"/>
          <w:sz w:val="32"/>
          <w:szCs w:val="32"/>
        </w:rPr>
        <w:t>。与年初预算相比，年初预算数</w:t>
      </w:r>
      <w:r>
        <w:rPr>
          <w:rFonts w:hint="eastAsia" w:ascii="仿宋_GB2312" w:eastAsia="仿宋_GB2312"/>
          <w:sz w:val="32"/>
          <w:szCs w:val="32"/>
          <w:lang w:val="zh-CN"/>
        </w:rPr>
        <w:t>925.19</w:t>
      </w:r>
      <w:r>
        <w:rPr>
          <w:rFonts w:hint="eastAsia" w:ascii="仿宋_GB2312" w:eastAsia="仿宋_GB2312"/>
          <w:sz w:val="32"/>
          <w:szCs w:val="32"/>
        </w:rPr>
        <w:t>万元，决算数</w:t>
      </w:r>
      <w:r>
        <w:rPr>
          <w:rFonts w:hint="eastAsia" w:ascii="仿宋_GB2312" w:eastAsia="仿宋_GB2312"/>
          <w:sz w:val="32"/>
          <w:szCs w:val="32"/>
          <w:lang w:val="zh-CN"/>
        </w:rPr>
        <w:t>838.47</w:t>
      </w:r>
      <w:r>
        <w:rPr>
          <w:rFonts w:hint="eastAsia" w:ascii="仿宋_GB2312" w:eastAsia="仿宋_GB2312"/>
          <w:sz w:val="32"/>
          <w:szCs w:val="32"/>
        </w:rPr>
        <w:t>万元，预决算差异率</w:t>
      </w:r>
      <w:r>
        <w:rPr>
          <w:rFonts w:hint="eastAsia" w:ascii="仿宋_GB2312" w:eastAsia="仿宋_GB2312"/>
          <w:sz w:val="32"/>
          <w:szCs w:val="32"/>
          <w:lang w:val="zh-CN"/>
        </w:rPr>
        <w:t>-9.37%</w:t>
      </w:r>
      <w:r>
        <w:rPr>
          <w:rFonts w:hint="eastAsia" w:ascii="仿宋_GB2312" w:eastAsia="仿宋_GB2312"/>
          <w:sz w:val="32"/>
          <w:szCs w:val="32"/>
        </w:rPr>
        <w:t>，主要原因是：单位本年人员工资、津贴补贴等人员经费实际支出数小于年初预算安排资金。</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838.47</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1.教育支出（类）普通教育（款）小学教育（项）:支出决算数为838.47万元，比上年决算减少71.04万元，下降7.81%，主要原因是：</w:t>
      </w:r>
      <w:r>
        <w:rPr>
          <w:rFonts w:hint="eastAsia" w:ascii="仿宋_GB2312" w:hAnsi="仿宋_GB2312" w:eastAsia="仿宋_GB2312" w:cs="仿宋_GB2312"/>
          <w:sz w:val="32"/>
          <w:szCs w:val="32"/>
          <w:lang w:val="zh-CN"/>
        </w:rPr>
        <w:t>本年单位人员减少，相应人员薪资、津补贴、奖金等人员经费减少。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2.社会保障和就业支出（类）行政事业单位养老支出（款）机关事业单位基本养老保险缴费支出（项）:支出决算数为0.00万元，比上年决算减少7.62万元，下降100%，主要原因是：</w:t>
      </w:r>
      <w:r>
        <w:rPr>
          <w:rFonts w:hint="eastAsia" w:ascii="仿宋_GB2312" w:hAnsi="仿宋_GB2312" w:eastAsia="仿宋_GB2312" w:cs="仿宋_GB2312"/>
          <w:sz w:val="32"/>
          <w:szCs w:val="32"/>
          <w:lang w:val="zh-CN"/>
        </w:rPr>
        <w:t>单位本年养老保险支出在小学教育支出。</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743.05万元，其中：人员经费717.62万元，包括：基本工资、津贴补贴、奖金、绩效工资、机关事业单位基本养老保险缴费、职工基本医疗保险缴费、公务员医疗补助缴费、其他社会保障缴费、住房公积金、抚恤金、生活补助。</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公用经费25.43万元，包括：水费、电费、取暖费、工会经费、福利费、其他商品和服务支出</w:t>
      </w:r>
      <w:r>
        <w:rPr>
          <w:rFonts w:hint="eastAsia" w:ascii="仿宋_GB2312" w:hAnsi="宋体" w:eastAsia="仿宋_GB2312" w:cs="宋体"/>
          <w:kern w:val="0"/>
          <w:sz w:val="32"/>
          <w:szCs w:val="32"/>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原因是：差异车辆为一般业务用车1辆，车辆费用未使用财政拨款公务用车运行维护费支付。</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乌鲁木齐市第99小学（事业单位）公用经费支出25.43万元，</w:t>
      </w:r>
      <w:r>
        <w:rPr>
          <w:rFonts w:hint="eastAsia" w:ascii="仿宋_GB2312" w:hAnsi="仿宋_GB2312" w:eastAsia="仿宋_GB2312" w:cs="仿宋_GB2312"/>
          <w:sz w:val="32"/>
          <w:szCs w:val="32"/>
          <w:lang w:val="zh-CN"/>
        </w:rPr>
        <w:t>比上年减少31.91万元，下降55.65%，主要原因是：本年单位</w:t>
      </w:r>
      <w:r>
        <w:rPr>
          <w:rFonts w:hint="eastAsia" w:ascii="仿宋_GB2312" w:eastAsia="仿宋_GB2312"/>
          <w:sz w:val="32"/>
          <w:szCs w:val="32"/>
        </w:rPr>
        <w:t>水费、电费、取暖费较上年减少</w:t>
      </w:r>
      <w:r>
        <w:rPr>
          <w:rFonts w:hint="eastAsia" w:ascii="仿宋_GB2312" w:hAnsi="仿宋_GB2312" w:eastAsia="仿宋_GB2312" w:cs="仿宋_GB2312"/>
          <w:sz w:val="32"/>
          <w:szCs w:val="32"/>
          <w:lang w:val="zh-CN"/>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1,428.20</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屋5,358.25平方米，价值895.91万元。车辆1辆，价值3.73万元，其中：副部（省）级及以上领导用车0辆、主要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w:t>
      </w:r>
      <w:r>
        <w:rPr>
          <w:rFonts w:hint="eastAsia" w:ascii="仿宋_GB2312" w:hAnsi="仿宋_GB2312" w:eastAsia="仿宋_GB2312" w:cs="仿宋_GB2312"/>
          <w:sz w:val="32"/>
          <w:szCs w:val="32"/>
        </w:rPr>
        <w:t>单位巡逻车</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959.05</w:t>
      </w:r>
      <w:r>
        <w:rPr>
          <w:rFonts w:hint="eastAsia" w:ascii="仿宋_GB2312" w:eastAsia="仿宋_GB2312"/>
          <w:sz w:val="32"/>
          <w:szCs w:val="32"/>
        </w:rPr>
        <w:t>万元，实际执行总额</w:t>
      </w:r>
      <w:r>
        <w:rPr>
          <w:rFonts w:ascii="仿宋_GB2312" w:eastAsia="仿宋_GB2312"/>
          <w:sz w:val="32"/>
          <w:szCs w:val="32"/>
        </w:rPr>
        <w:t>870.22</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预算绩效评价项目5个，全年预算数</w:t>
      </w:r>
      <w:r>
        <w:rPr>
          <w:rFonts w:ascii="仿宋_GB2312" w:eastAsia="仿宋_GB2312"/>
          <w:sz w:val="32"/>
          <w:szCs w:val="32"/>
        </w:rPr>
        <w:t>98.24</w:t>
      </w:r>
      <w:r>
        <w:rPr>
          <w:rFonts w:hint="eastAsia" w:ascii="仿宋_GB2312" w:eastAsia="仿宋_GB2312"/>
          <w:sz w:val="32"/>
          <w:szCs w:val="32"/>
        </w:rPr>
        <w:t>万元，全年执行数</w:t>
      </w:r>
      <w:r>
        <w:rPr>
          <w:rFonts w:ascii="仿宋_GB2312" w:eastAsia="仿宋_GB2312"/>
          <w:sz w:val="32"/>
          <w:szCs w:val="32"/>
        </w:rPr>
        <w:t>95.13</w:t>
      </w:r>
      <w:r>
        <w:rPr>
          <w:rFonts w:hint="eastAsia" w:ascii="仿宋_GB2312" w:eastAsia="仿宋_GB2312"/>
          <w:sz w:val="32"/>
          <w:szCs w:val="32"/>
        </w:rPr>
        <w:t>万元。预算绩效管理取得的成效：一是满足了我单位2023年基本工作的需求，保障我单位教育教学工作正常开展；二是改善我单位教学设施，提高我单位教育教学水平。发现的问题及原因：一是部分资金执行率未达到100%,主要原因为财政资金未到位；二是项目自评人员为非专业性人员，缺乏专业性能力，主要原因为人员配备不足。下一步改进措施：一是加强与上级管理部门沟通，加强资金执行力及到位率；二是加强项目管理人员相关专业知识的培训，提高专业能力。具体项目自评情况附绩效自评表及自评报告。</w:t>
      </w:r>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第99小学</w:t>
            </w: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hint="eastAsia" w:ascii="宋体" w:hAnsi="宋体"/>
                <w:sz w:val="18"/>
              </w:rPr>
              <w:t>983.31</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959.05</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870.22</w:t>
            </w:r>
          </w:p>
        </w:tc>
        <w:tc>
          <w:tcPr>
            <w:tcW w:w="100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90.74%</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9.07</w:t>
            </w:r>
          </w:p>
        </w:tc>
      </w:tr>
      <w:tr>
        <w:tblPrEx>
          <w:tblLayout w:type="fixed"/>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71.17</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70.85</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59.46</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hint="eastAsia" w:ascii="宋体" w:hAnsi="宋体"/>
                <w:sz w:val="18"/>
              </w:rPr>
              <w:t>912.14</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92.34</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36.08</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764.23</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743.05</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31.63</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31.63</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在上级部门和我校领导的指导下，围绕教育事业发展目标，保证教职工正常的社保缴费，正常的工资及奖金的发放；保证教师教学等各项工作顺利开展；确保学校学生各项活动的开展；确保教师培训费活动顺利开展；确保学校日常业务及校园环境安全卫生。</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在上级部门和我校领导的指导下，围绕教育事业发展目标，我单位2023年完成以下工作目标：一、确保我单位教职工每月正常的社保缴费，正常的工资及奖金的发放；二、确保我单位教学工作及相关工作的正常开展，学校正常运行；三、确保我校学生各项活动正常有序的开展，未发生安全事故；四、确保我单位教师各项培训活动顺利开展，保证教师定期学习培训，提高自身业务能力，促进我单位教学水平；五、确保学校日常业务及校园环境安全卫生，为学生学习生活提供良好安全的环境。</w:t>
            </w: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法治思想专题学习次数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《乌鲁木齐市教育系统开展法治宣传教育的第八个五年规划（2021-2025年）》</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备课组每周开展活动次数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教研组每2周开展活动次数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每位教师每学年开展公开课次数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r>
      <w:tr>
        <w:tblPrEx>
          <w:tblLayout w:type="fixed"/>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99.07分</w:t>
            </w: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乌财科教【2023】106号-关于拨付2023年中小学和幼儿园自聘教师补助资金的通知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第99小学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38.61</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38.61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38.61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13.67</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13.67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13.67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24.94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24.94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24.94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此项目通过聘请代课教师14人并依据工资标准按时发放工资，提高代课教师的薪资待遇，保持教师队伍的稳定，提高代课教师工作的积极性，保证教育教学工作的正常开展，同时提高教学质量</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该项目完成了我单位2023年教育局下发14名代课教师1-12月份基本工资及绩效工资的发放，保证了我单位2023年教学工作的正常开展。</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代课教师人数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&gt;=14人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代课教师持证上岗率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代课教师工资发放准确性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代课教师工资发放及时性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提高教学质量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保证我校教师队伍稳定性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公用经费（5%教师培训费-小学）乌财科教【2022】67号-75号-关于提前下达2023年教育直达资金预算的通知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第99小学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2.50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2.67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2.67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2.50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0.44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0.44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2.23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2.23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公用经费（5%教师培训费-小学）乌财科教【2022】67号-75号--关于提前下达2023年教育直达资金预算的通知</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该项目保证我单位2022年寒假和2022年暑假教师继续教育培训支出，有效提高我单位教师业务水平，提高我单位教学质量。</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完成培训的计划班次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参加培训人数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&gt;=6人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11人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参加培训人员结业率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&gt;=98%</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继续教育培训标准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=608元/次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608元/次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提升教育教学水平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培训对象满意度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公用经费（小学）乌财科教【2022】67号-75号-关于提前下达2023年教育直达资金预算的通知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第99小学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51.86</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51.86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49.04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94.56%</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9.46分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51.86</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51.86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49.04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本项目通过缴纳全年公用暖气费，支付6名保安12个月学校安保服务费，可改善我校办学硬件设施，有效改善校园环境，明显提高办学条件，推动义务教育均衡发展。</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本项目通过缴纳我单位2023年公用暖气费，支付6名保安12个月学校安保服务费，购买办公用品、保障日常零星维修，有效改善校园环境，明显提高办学条件，推动义务教育均衡发展。</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享受教学条件改善学生数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&gt;=800人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915人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学校供暖面积</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=4420平方米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4426.4平方米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聘用保安人数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&gt;=6人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学校供暖覆盖率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聘用保安持证上岗率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学校全年正常运转率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提高社会服务发展能力</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99.46分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家庭经济困难学生生活补助（小学）</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第99小学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0.73</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0.73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0.44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60.27%</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6.03分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0.73</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0.73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0.44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提高贫困学生生活质量，提高其学习的积极性，对社会有正面作用。落实精准扶贫，努力做到家庭经济困难学生资助“全覆盖”，利于推动自治区统筹教育改革，优化教育布局，并形成“精准资助”工作长效机制。</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该项目满足我单位2023年全年及2022年秋季贫困生补助的发放，有效解决非寄宿贫困学生困难，提高其学习的积极性，对社会有正面作用。</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发放贫困补助学生人数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&gt;=400人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163人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4.08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ab/>
            </w:r>
            <w:r>
              <w:rPr>
                <w:rFonts w:ascii="宋体" w:hAnsi="宋体"/>
                <w:sz w:val="18"/>
              </w:rPr>
              <w:t>年初指标设定不准确，我单位贫困生人数未达到400人。</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非寄宿贫困学生覆盖率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资助标准达标率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享受补助时长</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=2个学期</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2个学期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学生生均补助额</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=625元/生/年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625元/生/年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解决非寄宿贫困学生困难</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有效解决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学生及家庭满意度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经统计我单位学生满意率为百分之百，年初指标设定为百分之90，所以有偏差。</w:t>
            </w: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90.11分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生活补助（小学）乌财科教【2022】67号-75号-关于提前下达2023年教育直达资金预算的通知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第99小学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4.37</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4.37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4.37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4.37</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4.37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4.37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我校贫困生资助管理专干根据贫困生资助管理平台，提供人数400人，预计2023年的实际需求，非寄宿生家庭困难生活补助标准，小学每生312.5元/学期，支付全年贫困生生活补助，可改善贫困生家庭经济条件，帮助贫困生顺利完成学业。</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该项目满足我单位2023年全年及2022年秋季贫困生补助的发放，有效解决非寄宿贫困学生困难，提高其学习的积极性，对社会有正面作用。</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发放贫困补助学生人数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&gt;=400人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163人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4.08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年初指标设定不准确，我单位贫困生人数未达到400人。</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贫困生补助发放覆盖率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享受补助时长</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=2个学期</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2个学期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贫困生发放及时率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享受补助标准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=625元/生/年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625元/生/年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解决非寄宿贫困学生困难</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有效解决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经统计我单位学生满意度为100%，年初指标设定为95%，所以有偏差。</w:t>
            </w: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94.08分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pPr>
        <w:jc w:val="center"/>
        <w:outlineLvl w:val="0"/>
        <w:rPr>
          <w:rFonts w:hint="eastAsia" w:ascii="黑体" w:hAnsi="黑体" w:eastAsia="黑体"/>
          <w:sz w:val="32"/>
          <w:szCs w:val="32"/>
        </w:rPr>
      </w:pPr>
      <w:bookmarkStart w:id="30" w:name="_Toc24143"/>
      <w:bookmarkStart w:id="31"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hint="eastAsia"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hint="eastAsia"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hint="eastAsia"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hint="eastAsia"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4A6C79"/>
    <w:rsid w:val="000E588B"/>
    <w:rsid w:val="00142101"/>
    <w:rsid w:val="001D5236"/>
    <w:rsid w:val="00213C59"/>
    <w:rsid w:val="003210CE"/>
    <w:rsid w:val="00327D66"/>
    <w:rsid w:val="00337487"/>
    <w:rsid w:val="003E4376"/>
    <w:rsid w:val="004A6C79"/>
    <w:rsid w:val="0059629E"/>
    <w:rsid w:val="006946A8"/>
    <w:rsid w:val="007A5408"/>
    <w:rsid w:val="0086147E"/>
    <w:rsid w:val="008E5B4A"/>
    <w:rsid w:val="00971C76"/>
    <w:rsid w:val="0098753C"/>
    <w:rsid w:val="00A235FE"/>
    <w:rsid w:val="00B37535"/>
    <w:rsid w:val="00B70D59"/>
    <w:rsid w:val="00B96E9E"/>
    <w:rsid w:val="00BF1270"/>
    <w:rsid w:val="00C25B07"/>
    <w:rsid w:val="00C44B5A"/>
    <w:rsid w:val="00D341C6"/>
    <w:rsid w:val="00D54110"/>
    <w:rsid w:val="00EF2267"/>
    <w:rsid w:val="00F52A8D"/>
    <w:rsid w:val="00F90AC4"/>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17987"/>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1711</Words>
  <Characters>9758</Characters>
  <Lines>81</Lines>
  <Paragraphs>22</Paragraphs>
  <TotalTime>36</TotalTime>
  <ScaleCrop>false</ScaleCrop>
  <LinksUpToDate>false</LinksUpToDate>
  <CharactersWithSpaces>11447</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2025-12-16T09:56:19Z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