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乌鲁木齐市米东区古牧地镇第一中心</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幼儿园2023年度部门决算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1.宣传贯彻执行党和国家的教育方针、政策、法律法规等，坚持依法治园、依法执教，贯彻执行上级教育部门的行政规章制度，坚持党组织领导下的园长负责制。</w:t>
      </w:r>
    </w:p>
    <w:p>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2.配合上级教育部门制定符合党的教育方针和国家教育法律法规以及本园实际的教育发展规划和幼儿园布局调整规划，并抓好组织实施和落实工作。</w:t>
      </w:r>
    </w:p>
    <w:p>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3.配合各级人民政府依法动员、组织适龄儿童入学，推进学前教育。</w:t>
      </w:r>
    </w:p>
    <w:p>
      <w:pPr>
        <w:ind w:firstLine="640" w:firstLineChars="200"/>
        <w:rPr>
          <w:rFonts w:ascii="仿宋_GB2312" w:eastAsia="仿宋_GB2312"/>
          <w:sz w:val="32"/>
          <w:szCs w:val="32"/>
        </w:rPr>
      </w:pPr>
      <w:r>
        <w:rPr>
          <w:rFonts w:hint="eastAsia" w:ascii="仿宋_GB2312" w:eastAsia="仿宋_GB2312"/>
          <w:sz w:val="32"/>
          <w:szCs w:val="32"/>
        </w:rPr>
        <w:t>4.组织开展本园的教育、保育工作。负责对本园教育、保育业务的具体管理，负责教育、保育及教研工作。</w:t>
      </w:r>
    </w:p>
    <w:p>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5.按照干部和教师的职数、编制和管理权限，制定切实可行的幼儿园工作规章制度，以提高教育、保育质量为目的，负责本园教师人事管理、继续教育、考核考评等工作。</w:t>
      </w:r>
    </w:p>
    <w:p>
      <w:pPr>
        <w:ind w:firstLine="640" w:firstLineChars="200"/>
        <w:rPr>
          <w:rFonts w:ascii="仿宋_GB2312" w:eastAsia="仿宋_GB2312"/>
          <w:sz w:val="32"/>
          <w:szCs w:val="32"/>
        </w:rPr>
      </w:pPr>
      <w:r>
        <w:rPr>
          <w:rFonts w:hint="eastAsia" w:ascii="仿宋_GB2312" w:eastAsia="仿宋_GB2312"/>
          <w:sz w:val="32"/>
          <w:szCs w:val="32"/>
        </w:rPr>
        <w:t>6.负责本园财务和基建管理，筹措资金，改善办园条件等工作，为师生提供优美和谐的学习和工作环境。核算和发放教职工工资,维护教职工利益，保障教职工合法权益。</w:t>
      </w:r>
    </w:p>
    <w:p>
      <w:pPr>
        <w:ind w:firstLine="640" w:firstLineChars="200"/>
        <w:rPr>
          <w:rFonts w:ascii="仿宋_GB2312" w:eastAsia="仿宋_GB2312"/>
          <w:sz w:val="32"/>
          <w:szCs w:val="32"/>
        </w:rPr>
      </w:pPr>
      <w:r>
        <w:rPr>
          <w:rFonts w:hint="eastAsia" w:ascii="仿宋_GB2312" w:eastAsia="仿宋_GB2312"/>
          <w:sz w:val="32"/>
          <w:szCs w:val="32"/>
        </w:rPr>
        <w:t>7.指导、管理、检查、评价本园的教育、保育工作。按照学前教育课程计划，实施教育、保育管理，全面提高教育、保育质量。</w:t>
      </w:r>
    </w:p>
    <w:p>
      <w:pPr>
        <w:ind w:firstLine="640" w:firstLineChars="200"/>
        <w:rPr>
          <w:rFonts w:ascii="仿宋_GB2312" w:eastAsia="仿宋_GB2312"/>
          <w:sz w:val="32"/>
          <w:szCs w:val="32"/>
        </w:rPr>
      </w:pPr>
      <w:r>
        <w:rPr>
          <w:rFonts w:hint="eastAsia" w:ascii="仿宋_GB2312" w:eastAsia="仿宋_GB2312"/>
          <w:sz w:val="32"/>
          <w:szCs w:val="32"/>
        </w:rPr>
        <w:t>8.建立健全幼儿学籍管理制度，按</w:t>
      </w:r>
      <w:bookmarkStart w:id="49" w:name="_GoBack"/>
      <w:bookmarkEnd w:id="49"/>
      <w:r>
        <w:rPr>
          <w:rFonts w:hint="eastAsia" w:ascii="仿宋_GB2312" w:eastAsia="仿宋_GB2312"/>
          <w:sz w:val="32"/>
          <w:szCs w:val="32"/>
          <w:lang w:eastAsia="zh-CN"/>
        </w:rPr>
        <w:t>教育部</w:t>
      </w:r>
      <w:r>
        <w:rPr>
          <w:rFonts w:hint="eastAsia" w:ascii="仿宋_GB2312" w:eastAsia="仿宋_GB2312"/>
          <w:sz w:val="32"/>
          <w:szCs w:val="32"/>
        </w:rPr>
        <w:t>以及自治区相关规定管理幼儿学籍。</w:t>
      </w:r>
    </w:p>
    <w:p>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9.在上级党委、政府和教育行政部门的领导下，积极开展幼儿园安全管理，不断平安建设管理水平，努力营造平安、和谐、优美的幼儿园环境。</w:t>
      </w:r>
    </w:p>
    <w:p>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10.在上级教育部门的领导下，谋划布局，全面推进学前教育均衡发展。</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乌鲁木齐市米东区古牧地镇第一中心幼儿园2023年度，实有人数</w:t>
      </w:r>
      <w:r>
        <w:rPr>
          <w:rFonts w:hint="eastAsia" w:ascii="仿宋_GB2312" w:eastAsia="仿宋_GB2312"/>
          <w:sz w:val="32"/>
          <w:szCs w:val="32"/>
          <w:lang w:val="zh-CN"/>
        </w:rPr>
        <w:t>19</w:t>
      </w:r>
      <w:r>
        <w:rPr>
          <w:rFonts w:hint="eastAsia" w:ascii="仿宋_GB2312" w:eastAsia="仿宋_GB2312"/>
          <w:sz w:val="32"/>
          <w:szCs w:val="32"/>
        </w:rPr>
        <w:t>人，其中：在职人员</w:t>
      </w:r>
      <w:r>
        <w:rPr>
          <w:rFonts w:hint="eastAsia" w:ascii="仿宋_GB2312" w:eastAsia="仿宋_GB2312"/>
          <w:sz w:val="32"/>
          <w:szCs w:val="32"/>
          <w:lang w:val="zh-CN"/>
        </w:rPr>
        <w:t>19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书记办、财务室、综治办公室、教师办公室。</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2023年度收入总计435.08万元，其中：本年收入合计431.54万元，使用非财政拨款结余0.00万元，年初结转和结余3.55万元。</w:t>
      </w:r>
    </w:p>
    <w:p>
      <w:pPr>
        <w:ind w:firstLine="640" w:firstLineChars="200"/>
        <w:rPr>
          <w:rFonts w:ascii="仿宋_GB2312" w:eastAsia="仿宋_GB2312"/>
          <w:sz w:val="32"/>
          <w:szCs w:val="32"/>
        </w:rPr>
      </w:pPr>
      <w:r>
        <w:rPr>
          <w:rFonts w:hint="eastAsia" w:ascii="仿宋_GB2312" w:eastAsia="仿宋_GB2312"/>
          <w:sz w:val="32"/>
          <w:szCs w:val="32"/>
        </w:rPr>
        <w:t>2023年度支出总计435.08万元，其中：本年支出合计428.03万元，结余分配0.00万元，年末结转和结余7.06万元。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增加435.08万元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本年收入431.54万元，其中：财政拨款收入</w:t>
      </w:r>
      <w:r>
        <w:rPr>
          <w:rFonts w:hint="eastAsia" w:ascii="仿宋_GB2312" w:eastAsia="仿宋_GB2312"/>
          <w:sz w:val="32"/>
          <w:szCs w:val="32"/>
          <w:lang w:val="zh-CN"/>
        </w:rPr>
        <w:t>431.54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本年支出428.03万元，其中：基本支出408.32万元，占95.40%；项目支出19.70万元，占4.60%；上缴上级支出0.00万元，占0.00%；经营支出0.00万元，占0.00%；对附属单位补助支出0.00万元，占0.00%。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435.08</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3.55</w:t>
      </w:r>
      <w:r>
        <w:rPr>
          <w:rFonts w:hint="eastAsia" w:ascii="仿宋_GB2312" w:eastAsia="仿宋_GB2312"/>
          <w:sz w:val="32"/>
          <w:szCs w:val="32"/>
        </w:rPr>
        <w:t>万元，本年财政拨款收入</w:t>
      </w:r>
      <w:r>
        <w:rPr>
          <w:rFonts w:hint="eastAsia" w:ascii="仿宋_GB2312" w:eastAsia="仿宋_GB2312"/>
          <w:sz w:val="32"/>
          <w:szCs w:val="32"/>
          <w:lang w:val="zh-CN"/>
        </w:rPr>
        <w:t>431.54</w:t>
      </w:r>
      <w:r>
        <w:rPr>
          <w:rFonts w:hint="eastAsia" w:ascii="仿宋_GB2312" w:eastAsia="仿宋_GB2312"/>
          <w:sz w:val="32"/>
          <w:szCs w:val="32"/>
        </w:rPr>
        <w:t>万元。财政拨款支出总计</w:t>
      </w:r>
      <w:r>
        <w:rPr>
          <w:rFonts w:hint="eastAsia" w:ascii="仿宋_GB2312" w:eastAsia="仿宋_GB2312"/>
          <w:sz w:val="32"/>
          <w:szCs w:val="32"/>
          <w:lang w:val="zh-CN"/>
        </w:rPr>
        <w:t>435.08</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7.06</w:t>
      </w:r>
      <w:r>
        <w:rPr>
          <w:rFonts w:hint="eastAsia" w:ascii="仿宋_GB2312" w:eastAsia="仿宋_GB2312"/>
          <w:sz w:val="32"/>
          <w:szCs w:val="32"/>
        </w:rPr>
        <w:t>万元，本年财政拨款支出</w:t>
      </w:r>
      <w:r>
        <w:rPr>
          <w:rFonts w:hint="eastAsia" w:ascii="仿宋_GB2312" w:eastAsia="仿宋_GB2312"/>
          <w:sz w:val="32"/>
          <w:szCs w:val="32"/>
          <w:lang w:val="zh-CN"/>
        </w:rPr>
        <w:t>428.03</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增加435.08万元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420.94</w:t>
      </w:r>
      <w:r>
        <w:rPr>
          <w:rFonts w:hint="eastAsia" w:ascii="仿宋_GB2312" w:eastAsia="仿宋_GB2312"/>
          <w:sz w:val="32"/>
          <w:szCs w:val="32"/>
        </w:rPr>
        <w:t>万元，决算数</w:t>
      </w:r>
      <w:r>
        <w:rPr>
          <w:rFonts w:hint="eastAsia" w:ascii="仿宋_GB2312" w:eastAsia="仿宋_GB2312"/>
          <w:sz w:val="32"/>
          <w:szCs w:val="32"/>
          <w:lang w:val="zh-CN"/>
        </w:rPr>
        <w:t>435.08</w:t>
      </w:r>
      <w:r>
        <w:rPr>
          <w:rFonts w:hint="eastAsia" w:ascii="仿宋_GB2312" w:eastAsia="仿宋_GB2312"/>
          <w:sz w:val="32"/>
          <w:szCs w:val="32"/>
        </w:rPr>
        <w:t>万元，预决算差异率3.36%，主要原因是：</w:t>
      </w:r>
      <w:r>
        <w:rPr>
          <w:rFonts w:hint="eastAsia" w:ascii="仿宋_GB2312" w:hAnsi="仿宋_GB2312" w:eastAsia="仿宋_GB2312" w:cs="仿宋_GB2312"/>
          <w:sz w:val="32"/>
          <w:szCs w:val="32"/>
        </w:rPr>
        <w:t>我单位为新增单位，年中追加</w:t>
      </w:r>
      <w:r>
        <w:rPr>
          <w:rFonts w:hint="eastAsia" w:ascii="仿宋_GB2312" w:hAnsi="仿宋_GB2312" w:eastAsia="仿宋_GB2312" w:cs="仿宋_GB2312"/>
          <w:sz w:val="32"/>
          <w:szCs w:val="32"/>
          <w:lang w:val="zh-CN"/>
        </w:rPr>
        <w:t>工资、津贴补贴、奖金等人员经费</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2023年度一般公共预算财政拨款支出428.03万元，占本年支出合计的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增加428.03万元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420.94</w:t>
      </w:r>
      <w:r>
        <w:rPr>
          <w:rFonts w:hint="eastAsia" w:ascii="仿宋_GB2312" w:eastAsia="仿宋_GB2312"/>
          <w:sz w:val="32"/>
          <w:szCs w:val="32"/>
        </w:rPr>
        <w:t>万元，决算数</w:t>
      </w:r>
      <w:r>
        <w:rPr>
          <w:rFonts w:hint="eastAsia" w:ascii="仿宋_GB2312" w:eastAsia="仿宋_GB2312"/>
          <w:sz w:val="32"/>
          <w:szCs w:val="32"/>
          <w:lang w:val="zh-CN"/>
        </w:rPr>
        <w:t>428.03</w:t>
      </w:r>
      <w:r>
        <w:rPr>
          <w:rFonts w:hint="eastAsia" w:ascii="仿宋_GB2312" w:eastAsia="仿宋_GB2312"/>
          <w:sz w:val="32"/>
          <w:szCs w:val="32"/>
        </w:rPr>
        <w:t>万元，预决算差异率</w:t>
      </w:r>
      <w:r>
        <w:rPr>
          <w:rFonts w:hint="eastAsia" w:ascii="仿宋_GB2312" w:eastAsia="仿宋_GB2312"/>
          <w:sz w:val="32"/>
          <w:szCs w:val="32"/>
          <w:lang w:val="zh-CN"/>
        </w:rPr>
        <w:t>1.68%</w:t>
      </w:r>
      <w:r>
        <w:rPr>
          <w:rFonts w:hint="eastAsia" w:ascii="仿宋_GB2312" w:eastAsia="仿宋_GB2312"/>
          <w:sz w:val="32"/>
          <w:szCs w:val="32"/>
        </w:rPr>
        <w:t>，主要原因是：</w:t>
      </w:r>
      <w:r>
        <w:rPr>
          <w:rFonts w:hint="eastAsia" w:ascii="仿宋_GB2312" w:hAnsi="仿宋_GB2312" w:eastAsia="仿宋_GB2312" w:cs="仿宋_GB2312"/>
          <w:sz w:val="32"/>
          <w:szCs w:val="32"/>
        </w:rPr>
        <w:t>我单位为新增单位，年中追加</w:t>
      </w:r>
      <w:r>
        <w:rPr>
          <w:rFonts w:hint="eastAsia" w:ascii="仿宋_GB2312" w:hAnsi="仿宋_GB2312" w:eastAsia="仿宋_GB2312" w:cs="仿宋_GB2312"/>
          <w:sz w:val="32"/>
          <w:szCs w:val="32"/>
          <w:lang w:val="zh-CN"/>
        </w:rPr>
        <w:t>工资、津贴补贴、奖金等人员经费</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428.03</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1.教育支出（类）普通教育（款）学前教育（项）:支出决算数为428.03万元，比上年决算增加428.03万元，增长100%，主要原因是：我单位为新增单位，本年</w:t>
      </w:r>
      <w:r>
        <w:rPr>
          <w:rFonts w:hint="eastAsia" w:ascii="仿宋_GB2312" w:hAnsi="仿宋_GB2312" w:eastAsia="仿宋_GB2312" w:cs="仿宋_GB2312"/>
          <w:sz w:val="32"/>
          <w:szCs w:val="32"/>
          <w:lang w:val="zh-CN"/>
        </w:rPr>
        <w:t>农村学前三年免费教育保障机制项目经费增加。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408.32万元，其中：人员经费289.85万元，包括：基本工资、津贴补贴、奖金、绩效工资、机关事业单位基本养老保险缴费、职工基本医疗保险缴费、公务员医疗补助缴费、其他社会保障缴费、住房公积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公用经费118.47万元，包括：办公费、印刷费、手续费、电费、邮电费、取暖费、物业管理费、差旅费、维修（护）费、劳务费、工会经费、福利费、其他交通费用、其他商品和服务支出。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乌鲁木齐市米东区古牧地镇第一中心幼儿园（事业单位）公用经费支出118.47万元，</w:t>
      </w:r>
      <w:r>
        <w:rPr>
          <w:rFonts w:hint="eastAsia" w:ascii="仿宋_GB2312" w:hAnsi="仿宋_GB2312" w:eastAsia="仿宋_GB2312" w:cs="仿宋_GB2312"/>
          <w:sz w:val="32"/>
          <w:szCs w:val="32"/>
          <w:lang w:val="zh-CN"/>
        </w:rPr>
        <w:t>比上年增加118.47万元，增长100.00%，主要原因是：</w:t>
      </w:r>
      <w:r>
        <w:rPr>
          <w:rFonts w:hint="eastAsia" w:ascii="仿宋_GB2312" w:hAnsi="仿宋_GB2312" w:eastAsia="仿宋_GB2312" w:cs="仿宋_GB2312"/>
          <w:sz w:val="32"/>
          <w:szCs w:val="32"/>
        </w:rPr>
        <w:t>我单位为新增单位，</w:t>
      </w:r>
      <w:r>
        <w:rPr>
          <w:rFonts w:hint="eastAsia" w:ascii="仿宋_GB2312" w:hAnsi="仿宋_GB2312" w:eastAsia="仿宋_GB2312" w:cs="仿宋_GB2312"/>
          <w:sz w:val="32"/>
          <w:szCs w:val="32"/>
          <w:lang w:val="zh-CN"/>
        </w:rPr>
        <w:t>本年</w:t>
      </w:r>
      <w:r>
        <w:rPr>
          <w:rFonts w:hint="eastAsia" w:ascii="仿宋_GB2312" w:eastAsia="仿宋_GB2312"/>
          <w:sz w:val="32"/>
          <w:szCs w:val="32"/>
        </w:rPr>
        <w:t>办公费、印刷费、取暖费、物业管理费、劳务费增加</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3,227.95</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屋9,225.70平方米，价值2,885.63万元。车辆0辆，价值0.00万元，其中：副部（省）级及以上领导用车0辆、主要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435.08</w:t>
      </w:r>
      <w:r>
        <w:rPr>
          <w:rFonts w:hint="eastAsia" w:ascii="仿宋_GB2312" w:eastAsia="仿宋_GB2312"/>
          <w:sz w:val="32"/>
          <w:szCs w:val="32"/>
        </w:rPr>
        <w:t>万元，实际执行总额</w:t>
      </w:r>
      <w:r>
        <w:rPr>
          <w:rFonts w:ascii="仿宋_GB2312" w:eastAsia="仿宋_GB2312"/>
          <w:sz w:val="32"/>
          <w:szCs w:val="32"/>
        </w:rPr>
        <w:t>428.0</w:t>
      </w:r>
      <w:r>
        <w:rPr>
          <w:rFonts w:hint="eastAsia" w:ascii="仿宋_GB2312" w:eastAsia="仿宋_GB2312"/>
          <w:sz w:val="32"/>
          <w:szCs w:val="32"/>
        </w:rPr>
        <w:t>2万元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预算绩效评价项目2个，全年预算数</w:t>
      </w:r>
      <w:r>
        <w:rPr>
          <w:rFonts w:ascii="仿宋_GB2312" w:eastAsia="仿宋_GB2312"/>
          <w:sz w:val="32"/>
          <w:szCs w:val="32"/>
        </w:rPr>
        <w:t>23.17</w:t>
      </w:r>
      <w:r>
        <w:rPr>
          <w:rFonts w:hint="eastAsia" w:ascii="仿宋_GB2312" w:eastAsia="仿宋_GB2312"/>
          <w:sz w:val="32"/>
          <w:szCs w:val="32"/>
        </w:rPr>
        <w:t>万元，全年执行数</w:t>
      </w:r>
      <w:r>
        <w:rPr>
          <w:rFonts w:ascii="仿宋_GB2312" w:eastAsia="仿宋_GB2312"/>
          <w:sz w:val="32"/>
          <w:szCs w:val="32"/>
        </w:rPr>
        <w:t>19.7</w:t>
      </w:r>
      <w:r>
        <w:rPr>
          <w:rFonts w:hint="eastAsia" w:ascii="仿宋_GB2312" w:eastAsia="仿宋_GB2312"/>
          <w:sz w:val="32"/>
          <w:szCs w:val="32"/>
        </w:rPr>
        <w:t>0万元。预算绩效管理取得的成效：一是我单位及其下属的两个分园分别对支出进行了详细的分类和分析，在日常办公支出方面，严格控制各项费用，合理安排办公用品的采购和使用，避免了浪费；二是我单位加强了对支出的监督和管理。通过建立健全的支出管理制度,明确了各项支出的审批流程和责任人，有效地防止了资金的挪用和浪费。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乌鲁木齐市米东区古牧地镇第一中心幼儿园</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420.94</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435.08</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428.02</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98.38%</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9.84</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16.89</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16.89</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2.81</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2.81</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420.94</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415.38</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408.32</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我园在2023年通过制定幼儿园教师培训规划，加大培训力度来保证幼儿教育质量；严格落实幼儿园安全主体责任和有关部门安全监管责任，建立全覆盖的安全风险防控体系；深入贯彻落实《3—6岁儿童学习与发展指南》《幼儿园教育指导纲要》，以先进的实践经验为引领，切实转变教师观念和行为，促进幼儿在快乐的童年生活中获得有益身心的学习和发展经验，提升教师职业成就感。</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2023年已支付428.03万元，主要用于1、人员经费：支付19名在职人员工资福利社保公积金；2、公用经费:交通费及园内办公费、保运转水电暖、宽带等费用；3、保障我园各项工作正常运转，达到幼儿基本教育质量要求。</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专任教师人数与幼儿人数占比</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&gt;=6.70%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教育部关于印发《县域学前教育普及普惠督导评估办法》的通知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8.42%</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班额达标率</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&gt;=85%</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教育部关于印发《县域学前教育普及普惠督导评估办法》的通知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75%</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26.47</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公办园在园幼儿占比</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教育部关于印发《县域学前教育普及普惠督导评估办法》的通知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74.81%</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96.31分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学前免费教育（保障经费）2.17乌财科教【2022】68号-关于提前下达2023年自治区教育项目资金的通知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乌鲁木齐市米东区古牧地镇第一中心幼儿园</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0.18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2.81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2.81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0.18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0.18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0.18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2.63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2.63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本项目具体内容为保障202名农村在园幼儿免费接受学前三年教育。本项目的实施可巩固学前教育保教覆盖率。</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本项目保障了202名农村在园幼儿免费接受学前三年教育。本项目经费2.81万元，2023年已支付2.63万元。主要用于支付日常伙食费和采暖费，保障了幼儿园正常运转。</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享受学前教育资助的幼儿人数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&gt;=202人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享受学前教育资助幼儿覆盖率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我园完成了计划幼儿人数。</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项目生均成本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&lt;=9元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139.04元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此项支出包含68号文和1119号文，所以偏差率较大。</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保障幼儿接受学前免费教育</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保障我园教学工作正常进行</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家长满意度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家长对我园的工作比较满意。</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0"/>
    </w:tbl>
    <w:p>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492"/>
        <w:gridCol w:w="1559"/>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学前（保障经费）2.17乌财科教【2022】71号--关于提前下达2023年新疆西藏等地区教育特殊补助资金的通知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乌鲁木齐市米东区古牧地镇第一中心幼儿园</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14.26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20.36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16.89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82.96%</w:t>
            </w:r>
          </w:p>
        </w:tc>
        <w:tc>
          <w:tcPr>
            <w:tcW w:w="155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8.30分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14.26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14.26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10.79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具体内容为保障202名农村在园幼儿免费接受学前三年教育，保障4个月安保服务费正常发放；保障4个月的宽带费正常发放。本项目的实施可巩固学前教育保教覆盖率，保障全区适龄幼儿接受学前免费教育，保障校园安全，保障全园日常工作正常运转。</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本项目保障了202名农村在园幼儿免费接受学前三年教育，项目经费为20.36万元，2023年已支付16.89万元。主要用于支付安保服务费，网费和采暖费，保障了校园安全和全园日常工作正常运转。</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享受学前教育资助的幼儿人数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&gt;=202人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宽带服务时间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计划次项目资金付4个月的宽带费，实际付了12个月的。</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安保服务时间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比原计划多支付2个月。</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享受学前教育资助幼儿覆盖率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我园完成率计划人数。</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安保上岗率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比原计划多支付2个月。</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宽带服务故障率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安保服务费用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&lt;=3万元/月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3万元/月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宽带服务成本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&lt;=999元/月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1.75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计划支付电信网费，实际支付了移动A++网费，所以有偏差。</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项目生均成本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&lt;=350元/人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836.29元/人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此项目包含71号文和102号文的上级资金，所以实际完成指标偏差率大</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提高乡村教师队伍素质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保障幼儿接受学前免费教育</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家长满意度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家长对我园工作都比较满意。</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85.05分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3B39AF"/>
    <w:rsid w:val="001C749D"/>
    <w:rsid w:val="00213C59"/>
    <w:rsid w:val="003210CE"/>
    <w:rsid w:val="003B39AF"/>
    <w:rsid w:val="004955B4"/>
    <w:rsid w:val="0069386F"/>
    <w:rsid w:val="008038C2"/>
    <w:rsid w:val="00A07D93"/>
    <w:rsid w:val="00B70D59"/>
    <w:rsid w:val="00BF6D8C"/>
    <w:rsid w:val="00C23A50"/>
    <w:rsid w:val="00DD3272"/>
    <w:rsid w:val="00F125FC"/>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24480B"/>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1449</Words>
  <Characters>8265</Characters>
  <Lines>68</Lines>
  <Paragraphs>19</Paragraphs>
  <TotalTime>75</TotalTime>
  <ScaleCrop>false</ScaleCrop>
  <LinksUpToDate>false</LinksUpToDate>
  <CharactersWithSpaces>9695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2025-12-16T10:06:37Z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