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乌鲁木齐市米东区司法局</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ascii="仿宋_GB2312" w:eastAsia="仿宋_GB2312"/>
          <w:sz w:val="32"/>
          <w:szCs w:val="32"/>
        </w:rPr>
        <w:t>贯彻执行国家司法行政工作的方针、政策，研究制</w:t>
      </w:r>
      <w:r>
        <w:rPr>
          <w:rFonts w:hint="eastAsia" w:ascii="仿宋_GB2312" w:eastAsia="仿宋_GB2312"/>
          <w:sz w:val="32"/>
          <w:szCs w:val="32"/>
        </w:rPr>
        <w:t>定本区司法行政工作中长期规划、工作要点并组织实施；制定法制宣传教育和普法依法治区工作规划，并组织实施，指导本区基层和各行业依法合理工作，负责法制宣传，法制教育工作；加强对本区人民调解组织工作的管理，管理本区基层司法所和法律服务所工作，监督法律服务工作者的职业道德和职业纪律；开展对刑释解教人员安置帮教工作，参与社会治安综合治理工作；监督律师事务所及从业人员的职业道德和执业纪律，综合管理社会法律服务机构；监督公证机构及公证人员的职业道德和执业纪律；根据上级委托，组织法律服务从业人员为区委和区人民政府提供法律服务，为上级依法决策提供法律咨询；配合上级业务部门和区纪检监察部门做好干警违法的查处工作；开展法律援助工作，对符合援助条件的当事人，提供法律援助。</w:t>
      </w:r>
    </w:p>
    <w:p>
      <w:pPr>
        <w:ind w:firstLine="640" w:firstLineChars="200"/>
        <w:rPr>
          <w:rFonts w:ascii="仿宋_GB2312" w:eastAsia="仿宋_GB2312"/>
          <w:sz w:val="32"/>
          <w:szCs w:val="32"/>
        </w:rPr>
      </w:pPr>
      <w:r>
        <w:rPr>
          <w:rFonts w:hint="eastAsia" w:ascii="仿宋_GB2312" w:eastAsia="仿宋_GB2312"/>
          <w:sz w:val="32"/>
          <w:szCs w:val="32"/>
        </w:rPr>
        <w:t>承办区委和区人民政府交办的其它工作。</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乌鲁木齐市米东区司法局2023年度，实有人数</w:t>
      </w:r>
      <w:r>
        <w:rPr>
          <w:rFonts w:hint="eastAsia" w:ascii="仿宋_GB2312" w:eastAsia="仿宋_GB2312"/>
          <w:sz w:val="32"/>
          <w:szCs w:val="32"/>
          <w:lang w:val="zh-CN"/>
        </w:rPr>
        <w:t>61</w:t>
      </w:r>
      <w:r>
        <w:rPr>
          <w:rFonts w:hint="eastAsia" w:ascii="仿宋_GB2312" w:eastAsia="仿宋_GB2312"/>
          <w:sz w:val="32"/>
          <w:szCs w:val="32"/>
        </w:rPr>
        <w:t>人，其中：在职人员</w:t>
      </w:r>
      <w:r>
        <w:rPr>
          <w:rFonts w:hint="eastAsia" w:ascii="仿宋_GB2312" w:eastAsia="仿宋_GB2312"/>
          <w:sz w:val="32"/>
          <w:szCs w:val="32"/>
          <w:lang w:val="zh-CN"/>
        </w:rPr>
        <w:t>30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31</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下派司法所、法律援助中心</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2023年度收入总计1,191.79万元，其中：本年收入合计951.30万元，使用非财政拨款结余0.00万元，年初结转和结余240.49万元。</w:t>
      </w:r>
    </w:p>
    <w:p>
      <w:pPr>
        <w:ind w:firstLine="640" w:firstLineChars="200"/>
        <w:rPr>
          <w:rFonts w:ascii="仿宋_GB2312" w:eastAsia="仿宋_GB2312"/>
          <w:sz w:val="32"/>
          <w:szCs w:val="32"/>
        </w:rPr>
      </w:pPr>
      <w:r>
        <w:rPr>
          <w:rFonts w:hint="eastAsia" w:ascii="仿宋_GB2312" w:eastAsia="仿宋_GB2312"/>
          <w:sz w:val="32"/>
          <w:szCs w:val="32"/>
        </w:rPr>
        <w:t>2023年度支出总计1,191.79万元，其中：本年支出合计932.46万元，结余分配0.00万元，年末结转和结余259.33万元。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增加170.22万元</w:t>
      </w:r>
      <w:r>
        <w:rPr>
          <w:rFonts w:hint="eastAsia" w:ascii="仿宋_GB2312" w:eastAsia="仿宋_GB2312"/>
          <w:sz w:val="32"/>
          <w:szCs w:val="32"/>
        </w:rPr>
        <w:t>，增长16.66%，主要原因是：</w:t>
      </w:r>
      <w:r>
        <w:rPr>
          <w:rFonts w:hint="eastAsia" w:ascii="仿宋_GB2312" w:hAnsi="仿宋_GB2312" w:eastAsia="仿宋_GB2312" w:cs="仿宋_GB2312"/>
          <w:sz w:val="32"/>
          <w:szCs w:val="32"/>
          <w:lang w:val="zh-CN"/>
        </w:rPr>
        <w:t>单位本年中央政法纪检监察转移支付项目资金增加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本年收入951.30万元，其中：财政拨款收入</w:t>
      </w:r>
      <w:r>
        <w:rPr>
          <w:rFonts w:hint="eastAsia" w:ascii="仿宋_GB2312" w:eastAsia="仿宋_GB2312"/>
          <w:sz w:val="32"/>
          <w:szCs w:val="32"/>
          <w:lang w:val="zh-CN"/>
        </w:rPr>
        <w:t>949.30</w:t>
      </w:r>
      <w:r>
        <w:rPr>
          <w:rFonts w:hint="eastAsia" w:ascii="仿宋_GB2312" w:eastAsia="仿宋_GB2312"/>
          <w:sz w:val="32"/>
          <w:szCs w:val="32"/>
        </w:rPr>
        <w:t>万元，占</w:t>
      </w:r>
      <w:r>
        <w:rPr>
          <w:rFonts w:hint="eastAsia" w:ascii="仿宋_GB2312" w:eastAsia="仿宋_GB2312"/>
          <w:sz w:val="32"/>
          <w:szCs w:val="32"/>
          <w:lang w:val="zh-CN"/>
        </w:rPr>
        <w:t>99.79%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2.00</w:t>
      </w:r>
      <w:r>
        <w:rPr>
          <w:rFonts w:hint="eastAsia" w:ascii="仿宋_GB2312" w:eastAsia="仿宋_GB2312"/>
          <w:sz w:val="32"/>
          <w:szCs w:val="32"/>
        </w:rPr>
        <w:t>万元，占</w:t>
      </w:r>
      <w:r>
        <w:rPr>
          <w:rFonts w:hint="eastAsia" w:ascii="仿宋_GB2312" w:eastAsia="仿宋_GB2312"/>
          <w:sz w:val="32"/>
          <w:szCs w:val="32"/>
          <w:lang w:val="zh-CN"/>
        </w:rPr>
        <w:t>0.21%</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本年支出932.46万元，其中：基本支出825.41万元，占88.52%；项目支出107.05万元，占11.48%；上缴上级支出0.00万元，占0.00%；经营支出0.00万元，占0.00%；对附属单位补助支出0.00万元，占0.00%。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1,178.92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229.62</w:t>
      </w:r>
      <w:r>
        <w:rPr>
          <w:rFonts w:hint="eastAsia" w:ascii="仿宋_GB2312" w:eastAsia="仿宋_GB2312"/>
          <w:sz w:val="32"/>
          <w:szCs w:val="32"/>
        </w:rPr>
        <w:t>万元，本年财政拨款收入</w:t>
      </w:r>
      <w:r>
        <w:rPr>
          <w:rFonts w:hint="eastAsia" w:ascii="仿宋_GB2312" w:eastAsia="仿宋_GB2312"/>
          <w:sz w:val="32"/>
          <w:szCs w:val="32"/>
          <w:lang w:val="zh-CN"/>
        </w:rPr>
        <w:t>949.30</w:t>
      </w:r>
      <w:r>
        <w:rPr>
          <w:rFonts w:hint="eastAsia" w:ascii="仿宋_GB2312" w:eastAsia="仿宋_GB2312"/>
          <w:sz w:val="32"/>
          <w:szCs w:val="32"/>
        </w:rPr>
        <w:t>万元。财政拨款支出总计</w:t>
      </w:r>
      <w:r>
        <w:rPr>
          <w:rFonts w:hint="eastAsia" w:ascii="仿宋_GB2312" w:eastAsia="仿宋_GB2312"/>
          <w:sz w:val="32"/>
          <w:szCs w:val="32"/>
          <w:lang w:val="zh-CN"/>
        </w:rPr>
        <w:t>1,178.92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248.18</w:t>
      </w:r>
      <w:r>
        <w:rPr>
          <w:rFonts w:hint="eastAsia" w:ascii="仿宋_GB2312" w:eastAsia="仿宋_GB2312"/>
          <w:sz w:val="32"/>
          <w:szCs w:val="32"/>
        </w:rPr>
        <w:t>万元，本年财政拨款支出</w:t>
      </w:r>
      <w:r>
        <w:rPr>
          <w:rFonts w:hint="eastAsia" w:ascii="仿宋_GB2312" w:eastAsia="仿宋_GB2312"/>
          <w:sz w:val="32"/>
          <w:szCs w:val="32"/>
          <w:lang w:val="zh-CN"/>
        </w:rPr>
        <w:t>930.74</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增加168.21万元</w:t>
      </w:r>
      <w:r>
        <w:rPr>
          <w:rFonts w:hint="eastAsia" w:ascii="仿宋_GB2312" w:eastAsia="仿宋_GB2312"/>
          <w:sz w:val="32"/>
          <w:szCs w:val="32"/>
        </w:rPr>
        <w:t>，增长16.64%,主要原因是：</w:t>
      </w:r>
      <w:r>
        <w:rPr>
          <w:rFonts w:hint="eastAsia" w:ascii="仿宋_GB2312" w:hAnsi="仿宋_GB2312" w:eastAsia="仿宋_GB2312" w:cs="仿宋_GB2312"/>
          <w:sz w:val="32"/>
          <w:szCs w:val="32"/>
          <w:lang w:val="zh-CN"/>
        </w:rPr>
        <w:t>单位本年中央政法纪检监察转移支付项目资金增加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1,538.51</w:t>
      </w:r>
      <w:r>
        <w:rPr>
          <w:rFonts w:hint="eastAsia" w:ascii="仿宋_GB2312" w:eastAsia="仿宋_GB2312"/>
          <w:sz w:val="32"/>
          <w:szCs w:val="32"/>
        </w:rPr>
        <w:t>万元，决算数</w:t>
      </w:r>
      <w:r>
        <w:rPr>
          <w:rFonts w:hint="eastAsia" w:ascii="仿宋_GB2312" w:eastAsia="仿宋_GB2312"/>
          <w:sz w:val="32"/>
          <w:szCs w:val="32"/>
          <w:lang w:val="zh-CN"/>
        </w:rPr>
        <w:t>1,178.92</w:t>
      </w:r>
      <w:r>
        <w:rPr>
          <w:rFonts w:hint="eastAsia" w:ascii="仿宋_GB2312" w:eastAsia="仿宋_GB2312"/>
          <w:sz w:val="32"/>
          <w:szCs w:val="32"/>
        </w:rPr>
        <w:t>万元，预决算差异率-23.37%，主要原因是：</w:t>
      </w:r>
      <w:r>
        <w:rPr>
          <w:rFonts w:hint="eastAsia" w:ascii="仿宋_GB2312" w:hAnsi="仿宋_GB2312" w:eastAsia="仿宋_GB2312" w:cs="仿宋_GB2312"/>
          <w:sz w:val="32"/>
          <w:szCs w:val="32"/>
          <w:lang w:val="zh-CN"/>
        </w:rPr>
        <w:t>单位本年人员工资、津贴补贴等人员经费实际支出数小于年初预算安排资金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2023年度一般公共预算财政拨款支出930.74万元，占本年支出合计的</w:t>
      </w:r>
      <w:r>
        <w:rPr>
          <w:rFonts w:hint="eastAsia" w:ascii="仿宋_GB2312" w:eastAsia="仿宋_GB2312"/>
          <w:sz w:val="32"/>
          <w:szCs w:val="32"/>
          <w:lang w:val="zh-CN"/>
        </w:rPr>
        <w:t>99.82%</w:t>
      </w:r>
      <w:r>
        <w:rPr>
          <w:rFonts w:hint="eastAsia" w:ascii="仿宋_GB2312" w:eastAsia="仿宋_GB2312"/>
          <w:sz w:val="32"/>
          <w:szCs w:val="32"/>
        </w:rPr>
        <w:t>。与上年相比，</w:t>
      </w:r>
      <w:r>
        <w:rPr>
          <w:rFonts w:hint="eastAsia" w:ascii="仿宋_GB2312" w:eastAsia="仿宋_GB2312"/>
          <w:sz w:val="32"/>
          <w:szCs w:val="32"/>
          <w:lang w:val="zh-CN"/>
        </w:rPr>
        <w:t>增加149.66万元</w:t>
      </w:r>
      <w:r>
        <w:rPr>
          <w:rFonts w:hint="eastAsia" w:ascii="仿宋_GB2312" w:eastAsia="仿宋_GB2312"/>
          <w:sz w:val="32"/>
          <w:szCs w:val="32"/>
        </w:rPr>
        <w:t>，增长19.16%,主要原因是：</w:t>
      </w:r>
      <w:r>
        <w:rPr>
          <w:rFonts w:hint="eastAsia" w:ascii="仿宋_GB2312" w:hAnsi="仿宋_GB2312" w:eastAsia="仿宋_GB2312" w:cs="仿宋_GB2312"/>
          <w:sz w:val="32"/>
          <w:szCs w:val="32"/>
          <w:lang w:val="zh-CN"/>
        </w:rPr>
        <w:t>单位本年中央政法纪检监察转移支付项目资金增加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1,538.51</w:t>
      </w:r>
      <w:r>
        <w:rPr>
          <w:rFonts w:hint="eastAsia" w:ascii="仿宋_GB2312" w:eastAsia="仿宋_GB2312"/>
          <w:sz w:val="32"/>
          <w:szCs w:val="32"/>
        </w:rPr>
        <w:t>万元，决算数</w:t>
      </w:r>
      <w:r>
        <w:rPr>
          <w:rFonts w:hint="eastAsia" w:ascii="仿宋_GB2312" w:eastAsia="仿宋_GB2312"/>
          <w:sz w:val="32"/>
          <w:szCs w:val="32"/>
          <w:lang w:val="zh-CN"/>
        </w:rPr>
        <w:t>930.74</w:t>
      </w:r>
      <w:r>
        <w:rPr>
          <w:rFonts w:hint="eastAsia" w:ascii="仿宋_GB2312" w:eastAsia="仿宋_GB2312"/>
          <w:sz w:val="32"/>
          <w:szCs w:val="32"/>
        </w:rPr>
        <w:t>万元，预决算差异率</w:t>
      </w:r>
      <w:r>
        <w:rPr>
          <w:rFonts w:hint="eastAsia" w:ascii="仿宋_GB2312" w:eastAsia="仿宋_GB2312"/>
          <w:sz w:val="32"/>
          <w:szCs w:val="32"/>
          <w:lang w:val="zh-CN"/>
        </w:rPr>
        <w:t>-39.50%</w:t>
      </w:r>
      <w:r>
        <w:rPr>
          <w:rFonts w:hint="eastAsia" w:ascii="仿宋_GB2312" w:eastAsia="仿宋_GB2312"/>
          <w:sz w:val="32"/>
          <w:szCs w:val="32"/>
        </w:rPr>
        <w:t>，主要原因是：</w:t>
      </w:r>
      <w:r>
        <w:rPr>
          <w:rFonts w:hint="eastAsia" w:ascii="仿宋_GB2312" w:hAnsi="仿宋_GB2312" w:eastAsia="仿宋_GB2312" w:cs="仿宋_GB2312"/>
          <w:sz w:val="32"/>
          <w:szCs w:val="32"/>
          <w:lang w:val="zh-CN"/>
        </w:rPr>
        <w:t>单位本年人员工资、津贴补贴等人员经费实际支出数小于年初预算安排资金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.公共安全类支出（类）</w:t>
      </w:r>
      <w:r>
        <w:rPr>
          <w:rFonts w:hint="eastAsia" w:ascii="仿宋_GB2312" w:eastAsia="仿宋_GB2312"/>
          <w:kern w:val="2"/>
          <w:sz w:val="32"/>
          <w:szCs w:val="32"/>
          <w:lang w:val="zh-CN"/>
        </w:rPr>
        <w:t>821.08</w:t>
      </w:r>
      <w:r>
        <w:rPr>
          <w:rFonts w:ascii="仿宋_GB2312" w:eastAsia="仿宋_GB2312"/>
          <w:kern w:val="2"/>
          <w:sz w:val="32"/>
          <w:szCs w:val="32"/>
          <w:lang w:val="zh-CN"/>
        </w:rPr>
        <w:t>万元，占</w:t>
      </w:r>
      <w:r>
        <w:rPr>
          <w:rFonts w:hint="eastAsia" w:ascii="仿宋_GB2312" w:eastAsia="仿宋_GB2312"/>
          <w:kern w:val="2"/>
          <w:sz w:val="32"/>
          <w:szCs w:val="32"/>
          <w:lang w:val="zh-CN"/>
        </w:rPr>
        <w:t>88.22%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109.66</w:t>
      </w:r>
      <w:r>
        <w:rPr>
          <w:rFonts w:ascii="仿宋_GB2312" w:eastAsia="仿宋_GB2312"/>
          <w:kern w:val="2"/>
          <w:sz w:val="32"/>
          <w:szCs w:val="32"/>
          <w:lang w:val="zh-CN"/>
        </w:rPr>
        <w:t>万元，占</w:t>
      </w:r>
      <w:r>
        <w:rPr>
          <w:rFonts w:hint="eastAsia" w:ascii="仿宋_GB2312" w:eastAsia="仿宋_GB2312"/>
          <w:kern w:val="2"/>
          <w:sz w:val="32"/>
          <w:szCs w:val="32"/>
          <w:lang w:val="zh-CN"/>
        </w:rPr>
        <w:t>11.78%。</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1.公共安全支出（类）司法（款）事业运行（项）:支出决算数为44.89万元，比上年决算减少0.91万元，下降1.99%，主要原因是：</w:t>
      </w:r>
      <w:r>
        <w:rPr>
          <w:rFonts w:hint="eastAsia" w:ascii="仿宋_GB2312" w:hAnsi="仿宋_GB2312" w:eastAsia="仿宋_GB2312" w:cs="仿宋_GB2312"/>
          <w:sz w:val="32"/>
          <w:szCs w:val="32"/>
          <w:lang w:val="zh-CN"/>
        </w:rPr>
        <w:t>单位本年人员绩效工资较上年减少。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2.公共安全支出（类）司法（款）一般行政管理事务（项）:支出决算数为1.00万元，比上年决算增加1.00万元，增长100%，主要原因是：</w:t>
      </w:r>
      <w:r>
        <w:rPr>
          <w:rFonts w:hint="eastAsia" w:ascii="仿宋_GB2312" w:hAnsi="仿宋_GB2312" w:eastAsia="仿宋_GB2312" w:cs="仿宋_GB2312"/>
          <w:sz w:val="32"/>
          <w:szCs w:val="32"/>
          <w:lang w:val="zh-CN"/>
        </w:rPr>
        <w:t>2023年代理记账专项项目经费较上年增加。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3.公共安全支出（类）司法（款）行政运行（项）:支出决算数为670.86万元，比上年决算增加70.94万元，增长11.82%，主要原因是：</w:t>
      </w:r>
      <w:r>
        <w:rPr>
          <w:rFonts w:hint="eastAsia" w:ascii="仿宋_GB2312" w:hAnsi="仿宋_GB2312" w:eastAsia="仿宋_GB2312" w:cs="仿宋_GB2312"/>
          <w:sz w:val="32"/>
          <w:szCs w:val="32"/>
          <w:lang w:val="zh-CN"/>
        </w:rPr>
        <w:t>单位本年人员正常晋升，相应人员工资、津贴补贴、奖金等人员经费增加。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4.社会保障和就业支出（类）行政事业单位养老支出（款）机关事业单位职业年金缴费支出（项）:支出决算数为50.72万元，比上年决算增加50.72万元，增长100%，主要原因是：</w:t>
      </w:r>
      <w:r>
        <w:rPr>
          <w:rFonts w:hint="eastAsia" w:ascii="仿宋_GB2312" w:hAnsi="仿宋_GB2312" w:eastAsia="仿宋_GB2312" w:cs="仿宋_GB2312"/>
          <w:sz w:val="32"/>
          <w:szCs w:val="32"/>
          <w:lang w:val="zh-CN"/>
        </w:rPr>
        <w:t>单位退休人员增加，退休人员职业年金缴费增加。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5.公共安全支出（类）司法（款）其他司法支出（项）:支出决算数为104.33万元，比上年决算增加19.76万元，增长23.37%，主要原因是：</w:t>
      </w:r>
      <w:r>
        <w:rPr>
          <w:rFonts w:hint="eastAsia" w:ascii="仿宋_GB2312" w:hAnsi="仿宋_GB2312" w:eastAsia="仿宋_GB2312" w:cs="仿宋_GB2312"/>
          <w:sz w:val="32"/>
          <w:szCs w:val="32"/>
          <w:lang w:val="zh-CN"/>
        </w:rPr>
        <w:t>单位本年中央政法纪检监察转移支付项目资金较上年增加。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6.社会保障和就业支出（类）行政事业单位养老支出（款）机关事业单位基本养老保险缴费支出（项）:支出决算数为58.94万元，比上年决算增加8.15万元，增长16.05%，主要原因是：</w:t>
      </w:r>
      <w:r>
        <w:rPr>
          <w:rFonts w:hint="eastAsia" w:ascii="仿宋_GB2312" w:hAnsi="仿宋_GB2312" w:eastAsia="仿宋_GB2312" w:cs="仿宋_GB2312"/>
          <w:sz w:val="32"/>
          <w:szCs w:val="32"/>
          <w:lang w:val="zh-CN"/>
        </w:rPr>
        <w:t>本年单位社保缴费基数调增，人员养老保险缴费增加。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825.41万元，其中：人员经费669.17万元，包括：基本工资、津贴补贴、奖金、机关事业单位基本养老保险缴费、职业年金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公用经费156.24万元，包括：办公费、手续费、电费、取暖费、差旅费、维修（护）费、劳务费、委托业务费、工会经费、福利费、公务用车运行维护费、其他商品和服务支出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“三公”经费支出25.37万元，</w:t>
      </w:r>
      <w:r>
        <w:rPr>
          <w:rFonts w:hint="eastAsia" w:ascii="仿宋_GB2312" w:eastAsia="仿宋_GB2312"/>
          <w:sz w:val="32"/>
          <w:szCs w:val="32"/>
        </w:rPr>
        <w:t>比上年</w:t>
      </w:r>
      <w:r>
        <w:rPr>
          <w:rFonts w:hint="eastAsia" w:ascii="仿宋_GB2312" w:eastAsia="仿宋_GB2312"/>
          <w:sz w:val="32"/>
          <w:szCs w:val="32"/>
          <w:lang w:val="zh-CN"/>
        </w:rPr>
        <w:t>减少1.03万元，</w:t>
      </w:r>
      <w:r>
        <w:rPr>
          <w:rFonts w:hint="eastAsia" w:ascii="仿宋_GB2312" w:eastAsia="仿宋_GB2312"/>
          <w:sz w:val="32"/>
          <w:szCs w:val="32"/>
        </w:rPr>
        <w:t>下降3.90%,</w:t>
      </w:r>
      <w:r>
        <w:rPr>
          <w:rFonts w:hint="eastAsia" w:ascii="仿宋_GB2312" w:eastAsia="仿宋_GB2312"/>
          <w:sz w:val="32"/>
          <w:szCs w:val="32"/>
          <w:lang w:val="zh-CN"/>
        </w:rPr>
        <w:t>主要原因是：绿色出行，车辆维护维修费，燃油费等减少。其中：因公出国（境）费支出0.00万元，占0.00%，比上年增加0.00万元，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主要原因是：单位本年无此项经费；公务用车购置及运行维护费支出25.37万元，占100.00%，比上年减少1.03万元，</w:t>
      </w:r>
      <w:r>
        <w:rPr>
          <w:rFonts w:hint="eastAsia" w:ascii="仿宋_GB2312" w:eastAsia="仿宋_GB2312"/>
          <w:sz w:val="32"/>
          <w:szCs w:val="32"/>
        </w:rPr>
        <w:t>下降3.90%,</w:t>
      </w:r>
      <w:r>
        <w:rPr>
          <w:rFonts w:hint="eastAsia" w:ascii="仿宋_GB2312" w:eastAsia="仿宋_GB2312"/>
          <w:sz w:val="32"/>
          <w:szCs w:val="32"/>
          <w:lang w:val="zh-CN"/>
        </w:rPr>
        <w:t>主要原因是：绿色出行，车辆维护维修费，燃油费等减少；公务接待费支出0.00万元，占0.00%，比上年增加0.00万元，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25.37万元，其中：公务用车购置费0.00万元，公务用车运行维护费25.37万元。公务用车运行维护费开支内容包括公务用车燃油费、车辆维修维护费、保险费、过路费等。公务用车购置数0辆，公务用车保有量22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原因是：单位从其他单位借调1辆汽车，车辆经费由我单位承担，所以公务用车保有量大于国有资产占用情况表中固定资产车辆。</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预算数25.37万元，决算数25.37万元，预决算差异率0.00%，主要原因是：严格按照预算执行，预决算对比无差异。其中：因公出国（境）费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预算数25.37万元，决算数25.37万元，预决算差异率0.00%，主要原因是：严格按照预算执行，预决算对比无差异；公务接待费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乌鲁木齐市米东区司法局（行政单位和参照公务员法管理事业单位）机关运行经费支出156.24万元，</w:t>
      </w:r>
      <w:r>
        <w:rPr>
          <w:rFonts w:hint="eastAsia" w:ascii="仿宋_GB2312" w:hAnsi="仿宋_GB2312" w:eastAsia="仿宋_GB2312" w:cs="仿宋_GB2312"/>
          <w:sz w:val="32"/>
          <w:szCs w:val="32"/>
          <w:lang w:val="zh-CN"/>
        </w:rPr>
        <w:t>比上年增加99.92万元，增长177.41%，主要原因是：单位本年</w:t>
      </w:r>
      <w:r>
        <w:rPr>
          <w:rFonts w:hint="eastAsia" w:ascii="仿宋_GB2312" w:eastAsia="仿宋_GB2312"/>
          <w:sz w:val="32"/>
          <w:szCs w:val="32"/>
        </w:rPr>
        <w:t>办公费、手续费、电费、取暖费、劳务费较上年增加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2023年度政府采购支出总额34.98万元，其中：政府采购货物支出12.54万元、政府采购工程支出14.32万元、政府采购服务支出8.12万元。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授予中小企业合同金额32.50万元，占政府采购支出总额的92.91%，其中：授予小微企业合同金额28.46万元，占政府采购支出总额的81.36%</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1,536.14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屋0.00平方米，价值0.00万元。车辆21辆，价值219.48万元，其中：副部（省）级及以上领导用车0辆、主要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用车1辆、机要通信用车0辆、应急保障用车2辆、执法执勤用车17辆、特种专业技术用车1辆、离退休干部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用车0辆、其他用车0辆，其他用车主要是：单位无其他车辆；单价100万元（含）以上设备（不含车辆）4</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1,191.79</w:t>
      </w:r>
      <w:r>
        <w:rPr>
          <w:rFonts w:hint="eastAsia" w:ascii="仿宋_GB2312" w:eastAsia="仿宋_GB2312"/>
          <w:sz w:val="32"/>
          <w:szCs w:val="32"/>
        </w:rPr>
        <w:t>万元，实际执行总额</w:t>
      </w:r>
      <w:r>
        <w:rPr>
          <w:rFonts w:ascii="仿宋_GB2312" w:eastAsia="仿宋_GB2312"/>
          <w:sz w:val="32"/>
          <w:szCs w:val="32"/>
        </w:rPr>
        <w:t>932.46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399.01</w:t>
      </w:r>
      <w:r>
        <w:rPr>
          <w:rFonts w:hint="eastAsia" w:ascii="仿宋_GB2312" w:eastAsia="仿宋_GB2312"/>
          <w:sz w:val="32"/>
          <w:szCs w:val="32"/>
        </w:rPr>
        <w:t>万元，全年执行数</w:t>
      </w:r>
      <w:r>
        <w:rPr>
          <w:rFonts w:ascii="仿宋_GB2312" w:eastAsia="仿宋_GB2312"/>
          <w:sz w:val="32"/>
          <w:szCs w:val="32"/>
        </w:rPr>
        <w:t>277.32</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米东区司法局</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1,613.94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1,191.79</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932.46</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78.24%</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7.82</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172.00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199.00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102.59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1,366.51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917.36</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828.71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75.43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75.43</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以习近平新时代中国特色社会主义思想为指导，深入学习习近平法治思想，学习贯彻党的二十大精神，坚持党对司法行政工作的绝对领导，充分发挥司法行政职能作用，认真开展依法治区、法制宣传、基层法律服务管理、社区矫正、人民调解、安置帮教及法律援助等工作，着力维护社会和谐稳定，维护社会公平正义，增强人民群众共享法治建设成果的获得感、幸福感，为全区经济社会又好又快发展营造良好法治环境。</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司法局紧紧围绕米东区委、政府的中心工作，以习近平新时代中国特色社会主义思想为指导，深入学习习近平法治思想，学习贯彻党的二十大精神，坚持党对司法行政工作的绝对领导，充分发挥司法行政职能作用，认真开展依法治区、法制宣传、基层法律服务管理、社区矫正、人民调解、安置帮教及法律援助等工作，致力于提升人民群众安全感和满意度，不断创新公共法律服务举措，为米东高质量发展提供有力法治支撑。</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规范司法所建设创建率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乌党办发[2022]95号</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街道司法所覆盖率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乌党办发[2022]95号</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各司法所配备人员数量</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&gt;=3人</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乌党办发[2022]95号</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97.82分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2022年为民办实事工作队工作经费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乌鲁木齐市米东区司法局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米东区司法局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w:t>
            </w:r>
            <w:r>
              <w:rPr>
                <w:rFonts w:hint="eastAsia" w:ascii="宋体" w:hAnsi="宋体"/>
                <w:sz w:val="18"/>
              </w:rPr>
              <w:t>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98.28%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9.83分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保障驻村为民办实事工作队正常开展工作。</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保障驻村为民办实事工作队正常开展工作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为民办实事人员数量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我单位采取人员轮流入驻为民办实事工作队模式，人员总数量超过预期目标</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符合规定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符合规定</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保障为民办实事工作正常开展</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有效开展</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改善群众的生活环境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基本达到预期效果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因项目预算较少，解决实际问题较少</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97.83分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2023年中央政法纪检监察转移支付资金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米东区司法局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米东区司法局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102.59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59.65%</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5.97分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102.59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本项目具体内容为：接待法律援助人数次数不少于250人，</w:t>
            </w:r>
            <w:bookmarkStart w:id="48" w:name="_GoBack"/>
            <w:bookmarkEnd w:id="48"/>
            <w:r>
              <w:rPr>
                <w:rFonts w:hint="eastAsia" w:ascii="宋体" w:hAnsi="宋体"/>
                <w:sz w:val="18"/>
                <w:lang w:eastAsia="zh-CN"/>
              </w:rPr>
              <w:t>调解纠纷</w:t>
            </w:r>
            <w:r>
              <w:rPr>
                <w:rFonts w:ascii="宋体" w:hAnsi="宋体"/>
                <w:sz w:val="18"/>
              </w:rPr>
              <w:t>数量不少于1800个，法制宣传次数不少于90次。本项目有效开展法律援助工作，服务全区人民，保障司法局和各乡镇（片区）司法所各项工作正常开展，全力维护社会公平正义。</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接待法律援助人数次数726人，</w:t>
            </w:r>
            <w:r>
              <w:rPr>
                <w:rFonts w:hint="eastAsia" w:ascii="宋体" w:hAnsi="宋体"/>
                <w:sz w:val="18"/>
                <w:lang w:eastAsia="zh-CN"/>
              </w:rPr>
              <w:t>调解纠纷</w:t>
            </w:r>
            <w:r>
              <w:rPr>
                <w:rFonts w:ascii="宋体" w:hAnsi="宋体"/>
                <w:sz w:val="18"/>
              </w:rPr>
              <w:t>数量7008件，法制宣传次数150次。本项目有效开展法律援助工作，服务全区人民，保障司法局和各乡镇（片区）司法所各项工作正常开展，全力维护社会公平正义</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接待法律援助咨询人数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调解纠纷数量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&gt;=1800个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7008个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法制宣传次数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社区矫正人员管控率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开展法律援助工作，服务全区人民</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有效开展</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因法律援助中心工作人员较少，缺少年轻干部，对电子政务事项不熟悉，未能充分开展</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92.97分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2023年代理记账专项经费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乌鲁木齐市米东区司法局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米东区司法局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根据关于申请追加预算代理记账专项经费的报告，及时支付代理记账年费</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及时支付了上半年代理记账服务费</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记账会计人数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完成决算报表数量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=1份</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资金支付合规率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记账及时率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财政资金紧张，未及时支付下半年记账服务费</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保障我单位记账工作顺利完成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记账工作满意度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记账工作完成度高，满意度超预期</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85.00分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司法局2022年中央政法纪检监察转移支付资金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乌鲁木齐市米东区司法局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米东区司法局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52.43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52.43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2.21%</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0.22分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52.43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52.43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本项目具体内容为：接待法律援助人数次数不少于250人，</w:t>
            </w:r>
            <w:r>
              <w:rPr>
                <w:rFonts w:hint="eastAsia" w:ascii="宋体" w:hAnsi="宋体"/>
                <w:sz w:val="18"/>
                <w:lang w:eastAsia="zh-CN"/>
              </w:rPr>
              <w:t>调解纠纷</w:t>
            </w:r>
            <w:r>
              <w:rPr>
                <w:rFonts w:ascii="宋体" w:hAnsi="宋体"/>
                <w:sz w:val="18"/>
              </w:rPr>
              <w:t>数量不少于1800个，法制宣传次数不少于90次。本项目有效开展法律援助工作，服务全区人民，保障司法局和各乡镇（片区）司法所各项工作正常开展，全力维护社会公平正义。</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接待法律援助人数次数726人，</w:t>
            </w:r>
            <w:r>
              <w:rPr>
                <w:rFonts w:hint="eastAsia" w:ascii="宋体" w:hAnsi="宋体"/>
                <w:sz w:val="18"/>
                <w:lang w:eastAsia="zh-CN"/>
              </w:rPr>
              <w:t>调解纠纷</w:t>
            </w:r>
            <w:r>
              <w:rPr>
                <w:rFonts w:ascii="宋体" w:hAnsi="宋体"/>
                <w:sz w:val="18"/>
              </w:rPr>
              <w:t>数量7008件，法制宣传次数150次。本项目有效开展法律援助工作，服务全区人民，保障司法局和各乡镇（片区）司法所各项工作正常开展，全力维护社会公平正义</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接待法律援助咨询人数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&gt;=250人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目标值参考2022年完成值设定，2022年因疫情影响业务开展完成值较低，2023年业务恢复正常，业务量有大幅增长，导致偏差率较高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调解纠纷数量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&gt;=1800个</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7008个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目标值参考2022年完成值设定，2022年因疫情影响业务开展完成值较低，2023年业务恢复正常，业务量有大幅增长，导致偏差率较高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法制宣传次数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目标值参考2022年完成值设定，2022年因疫情影响业务开展完成值较低，2023年业务恢复正常，业务量有大幅增长，导致偏差率较高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社区矫正人员管控率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开展法律援助工作，服务全区人民</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有效开展</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法律援助中心工作人员数量较少，在政务事项网上办理方面还有不足</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87.22分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本部门当年预算绩效评价项目有1个涉密项目，涉及全年预算数172.00万元，全年执行数172.00万元，未公开绩效自评表原因：涉密项目不公开项目绩效自评表。</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26960"/>
    <w:rsid w:val="00213C59"/>
    <w:rsid w:val="002A08C2"/>
    <w:rsid w:val="002D0F72"/>
    <w:rsid w:val="003210CE"/>
    <w:rsid w:val="00362910"/>
    <w:rsid w:val="004E359C"/>
    <w:rsid w:val="00574264"/>
    <w:rsid w:val="00580079"/>
    <w:rsid w:val="005D5860"/>
    <w:rsid w:val="005E507D"/>
    <w:rsid w:val="00742FAE"/>
    <w:rsid w:val="007500A2"/>
    <w:rsid w:val="007D2D27"/>
    <w:rsid w:val="008F4AA3"/>
    <w:rsid w:val="009A78DF"/>
    <w:rsid w:val="00A766FF"/>
    <w:rsid w:val="00B207D0"/>
    <w:rsid w:val="00B70D59"/>
    <w:rsid w:val="00B81D68"/>
    <w:rsid w:val="00C26960"/>
    <w:rsid w:val="00DA5F2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4D920B6"/>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1690</Words>
  <Characters>9634</Characters>
  <Lines>80</Lines>
  <Paragraphs>22</Paragraphs>
  <TotalTime>32</TotalTime>
  <ScaleCrop>false</ScaleCrop>
  <LinksUpToDate>false</LinksUpToDate>
  <CharactersWithSpaces>11302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2025-12-16T03:49:32Z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