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卡子湾村征地补偿款（第一次）</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米东区房屋征收与补偿管理办公室</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米东区房屋征收与补偿管理办公室</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王传国</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截止2022年12月31日，共计支付4843.31万元，还余59359.62尚未支付。为妥善解决信访问题，因此根据米地管函【2023】4号安排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（2）项目2023年的主要实施内容由米东区征收办向地磅街道卡子湾村支付征地补偿款1000万元。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（3）2023年当年完成情况：实际完成情况为2023年4月米东区征收办向地磅街道卡子湾村支付征地补偿款1000万元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（1）该项目资金投入情况：项目系2023年本级资金，共安排预算1000万元，于2023年年中追加部门预算批复项目，年中追加预算1000万元，全年无资金调整情况。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（2）该项目资金使用情况：①总预算情况：1000万元；②资金投入方向：由米东区征收办向地磅街道卡子湾村支付征地补偿款1000万元，实际执行1000万元；③预算执行率：100%。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该项目总体绩效目标：支付卡子湾村征地补偿款共6.42亿元。本项目的实施通过征地和土地整理，可以优化土地资源配置，促进区域经济的均衡发展，缩小城乡差距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该项目阶段性目标为：根据区财政财力安排1000万元征地补偿款。目的为支付征收补偿款，保障村集体利益，提高村集体收入，促进经济发展。</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卡子湾村征地补偿项目的总体目标为：向卡子湾村支付征地补偿款共6.42亿元。本项目的实施通过征地和土地整理，可以优化土地资源配置，促进区域经济的均衡发展，缩小城乡差距。在2023年阶段目标为向乌卡子湾村支付支付征收款1000万元。本项目的实施通过征地和土地整理，可以优化土地资源配置，促进区域经济的均衡发展，缩小城乡差距，保障村集体利益，提高村集体收入，促进经济发展。该项目涉及卡子湾村集体土地征收，征收补偿标准按照一类地价190500元，其绩效目标可以通过绩效评价体系进行反应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项目计划向向卡子湾村支付征地补偿款共1000万元，实际过程中资金到位1000万元，实际支付1000万元，因此预算执行率为100%，项目执行率100%。达到年初预期效果。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会计凭证作为评价数据的来源，真实合理的反应了该项目，确保了数据的准确性和完整性。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卡子湾村征地补偿款（第一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（1）绩效评价的对象：卡子湾村征地补偿款（第一次）项目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卡子湾村征地补偿款（第一次）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该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分发挥土地资源的优势，提高土地利用效率。但还是存在不足之处，包括资金支付不到位，导致信访问题严重，管理制度不健全等问题，因此在未来项目的开展中应建立健全资金监管制度，发挥财政资金效益以及建立健全内控制度</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被征收村数量 项目实施所涉及的对象主体数量 对象主体数量指签该项目征收范围内涉及的对象主体数量，当目标值为1时得满分，目标值不为一时不得分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剩余土地使用权的补偿标准 项目完成的质量达标产出数与实际产出数的比率，用以反映和考核项目产出质量目标的实现程度。 征收补偿标准为190500元每平米进行补偿时，得满分，其余数值不得分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有效实现区域均衡发展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项目实施所产生的效益。 通过征地和土地整理，可以优化土地资源配置，促进区域经济的均衡发展，缩小城乡差距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根据本项目（卡子湾村征地补偿款（第一次））的特点，本次评价主要采用比较法和公众评判法，对项目总预算和明细预算的内容、标准、计划是否经济合理进行深入分析，以考察实际产出和效益是否达到预期。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·《中华人民共和国土地管理法（2019年修订）》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·《关于印发国家自治区及市重点建设项目涉及集体土地征收补偿办法的通知》（乌政办〔2011〕272号）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·《关于公布自治区征收农用地区片综合地价标准定的通知》（新自然资源规〔2020〕4号）</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卡子湾村征地补偿款项目进行客观评价，最终评分结果为：总分为98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被征收村数量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耕地补偿标准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资金支付及时性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有效实现区域均衡发展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合规合法的及时向卡子湾村支付项目征收补偿款1000万元。在项目开展之后，未超过项目预算。本项目的实施通过征地和土地整理，可以优化土地资源配置，促进区域经济的均衡发展，缩小城乡差距，保障村集体利益，提高村集体收入，促进经济发展。本次项目开展中，较好的完成了决策指标，即项目立项依据充分，程序规范；产出指标中的产出数量符合设定的绩效目标值；未超过计划的产出成本</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土地管理法（2019年修订）》；《关于印发国家自治区及市重点建设项目涉及集体土地征收补偿办法的通知》（乌政办〔2011〕272号）；《关于公布自治区征收农用地区片综合地价标准定的通知》（新自然资源规〔2020〕4号）等国家法律法规、政策要求。同时，项目与我单位职责范围相符为依据</w:t>
      </w:r>
      <w:bookmarkStart w:id="0" w:name="_GoBack"/>
      <w:bookmarkEnd w:id="0"/>
      <w:r>
        <w:rPr>
          <w:rStyle w:val="18"/>
          <w:rFonts w:hint="eastAsia" w:ascii="楷体" w:hAnsi="楷体" w:eastAsia="楷体"/>
          <w:b w:val="0"/>
          <w:bCs w:val="0"/>
          <w:spacing w:val="-4"/>
          <w:sz w:val="32"/>
          <w:szCs w:val="32"/>
          <w:lang w:eastAsia="zh-CN"/>
        </w:rPr>
        <w:t>《国有土地上房屋征收与补偿条例》</w:t>
      </w:r>
      <w:r>
        <w:rPr>
          <w:rStyle w:val="18"/>
          <w:rFonts w:hint="eastAsia" w:ascii="楷体" w:hAnsi="楷体" w:eastAsia="楷体"/>
          <w:b w:val="0"/>
          <w:bCs w:val="0"/>
          <w:spacing w:val="-4"/>
          <w:sz w:val="32"/>
          <w:szCs w:val="32"/>
        </w:rPr>
        <w:t>组织实施行政区域内的房屋征收与补偿工作，负责行政区域内储备土地的征收管理工作，属于我单位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立项程序规范性:卡子湾村征地补偿款项目是根据乌鲁木齐市总体土地储备和地磅片区卡子湾村成片开发计划进行立项，项目按照规定的程序申请设立，审批文件、材料符合相关要求，故立项程序规范，得4分。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在2023年年中追加时考虑区财政财力情况，未按照协议金额建立项目库，而是根据区财力情况建立项目库，绩效目标未能反映该项目的整体情况，仅能反映该项目库的情况，故绩效目标合理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为7条，可通过数量指标、质量指标、时效指标和成本指标予以量化，并具有确切的评价标准，且指标设定均与目标相关。且指标设定均与目标相关。其中，数量指标1条，“被征收村数量”为1家，质量指标两条，“资金支付合规性”为100%，“预算控制率”为0%，时效指标两条，“资金支付及时性”为100%，“资金到位及时率”为100%，社会效益指标两条，“重新规划城市设计，有利于建设新兴城市”为有利建设，“提高村集体收入”为有利于提高。各项指标均能在现实条件下收集到会计凭证、文档资料进行佐证，并与当年项目年度计划相对应，故绩效目标明确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预算编制科学性：该次预算根据米地管函【2023】4号，向财政申请资金。故预算编制科学性指标得分3分。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资金分配合理性：资金分配按照项目具体建设内容和协议进行分配，本项目仅涉及向卡子湾村支付征收款，故资金分配合理性指标得分3分。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资金到位率：根据米东区征收办财务室记账凭证等相关资料，该项目资金由财政拨付，申请预算资金1000万元，实际到位1000万元，在2023年4月3日到位，支付给卡子湾村民委员会。故资金到位率指标得分5分。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根据米东区征收办财务室记账凭证等相关资料，该项目资金由财政拨付，申请预算资金1000万元，在2023年4月3日到位1000万元，支付给卡子湾村民委员会1000万元，预算执行率为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管理制度健全性：米东区征收办已制定相应的《内部控制》手册，且制度合法、合规、完整，为项目顺利实施提供重要保障。故管理制度健全性得分为3分。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征收办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项目产出指标由4个二级指标和4个三级指标构成，权重为45分，实际得分45分。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数量指标“被征收村数量”的目标值是1个，2023年度我单位实际完成1个；向卡子湾村支付征地补偿款1000万元；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耕地补偿标准：耕地补偿标准为190500元/亩，实际补偿表准为190500补偿；故实际完成率得分为10分。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资金支付及时性：目标值是100%，2023年度我单位实际完成100%；我单位在2023年4月3日财政拨付资金后于2023年4月3日向卡子湾村完成支付；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成本节约率：本项目计划支出1000万元，实际支出 1000万元，无超支情况，项目资金全部完成，无超支情况，得分为10分。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综上，该部分指标满分45分，得分45分。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社会效益指标：评价指标“有效实现区域均衡发展”，指标值：有效实现，实际完成值：达成年度指标。本项目的实施通过征地和土地整理，可以优化土地资源配置，促进区域经济的均衡发展，缩小城乡差距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本项目不涉及满意度完成情况评价。</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卡子湾村征地补偿款项目的特色主要体现在以人为本，关注民生，政府和相关部门更加注重民生问题，充分保障被征地农民的合法权益，确保他们的生活得到妥善安置，在征地过程中，充分考虑到农民的意愿和需求，尽量减少对他们生活的影响。在执行过程中，政府和相关部门更加注重科学规划和合理布局，充分发挥土地资源的优势，提高土地利用效率，在征地过程中，充分考虑到土地的可持续发展，确保土地资源的合理利用。对于我们的启示是征地项目要以人为本，关注民生，保障被征地农民的合法权益；严格程序，规范操作，确保征地过程中的合法性和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1.资金支付不到位，导致信访问题严重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原因分析：卡子湾村土地征收项目涉及征地面积较大，涉及群众较多，但自2021年签订协议以来，因区财政财力紧张，未按照协议约定按期支付征收补偿款，导致群众较为激动，存在信访问题。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2.管理制度不健全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在项目开展时根据《中华人民共和国土地管理法（2019年修订）》；《关于印发国家自治区及市重点建设项目涉及集体土地征收补偿办法的通知》（乌政办〔2011〕272号）；《关于公布自治区征收农用地区片综合地价标准定的通知》（新自然资源规〔2020〕4号）等执行，未根据自身职责及项目实际情况制定具体到人管理制度。</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（一）建立健全资金监管制度，发挥财政资金效益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使项目专项资金监管更具效力，需要加强专项资金管理制度建设，通过制定完善项目管理办法及相应的监管机制，明确专项资金使用流程和标准，对项目实施过程中所需专项资金进行全面有效监管，保证项目实施的延续性和可控性，以促进预期目标的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（二）建立健全内控制度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综合部门职责和上级规定，制定切合实际的、可操作的内部控制制度。</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0B222C"/>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D017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3287"/>
    <w:rsid w:val="00DF42A0"/>
    <w:rsid w:val="00DF6150"/>
    <w:rsid w:val="00E30E91"/>
    <w:rsid w:val="00E769FE"/>
    <w:rsid w:val="00EA2CBE"/>
    <w:rsid w:val="00F32FEE"/>
    <w:rsid w:val="00FB10BB"/>
    <w:rsid w:val="07261865"/>
    <w:rsid w:val="0856517C"/>
    <w:rsid w:val="0BFB189F"/>
    <w:rsid w:val="11BD75F7"/>
    <w:rsid w:val="1304768A"/>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1562</Words>
  <Characters>8904</Characters>
  <Lines>74</Lines>
  <Paragraphs>20</Paragraphs>
  <TotalTime>12</TotalTime>
  <ScaleCrop>false</ScaleCrop>
  <LinksUpToDate>false</LinksUpToDate>
  <CharactersWithSpaces>10446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2025-12-16T09:25:48Z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