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BC856E">
      <w:pPr>
        <w:rPr>
          <w:rFonts w:hint="eastAsia" w:ascii="黑体" w:hAnsi="黑体" w:eastAsia="黑体"/>
          <w:sz w:val="32"/>
          <w:szCs w:val="32"/>
        </w:rPr>
      </w:pPr>
    </w:p>
    <w:p w14:paraId="7C579B55">
      <w:pPr>
        <w:jc w:val="center"/>
        <w:rPr>
          <w:rFonts w:hint="eastAsia" w:ascii="方正小标宋_GBK" w:hAnsi="宋体" w:eastAsia="方正小标宋_GBK"/>
          <w:sz w:val="44"/>
          <w:szCs w:val="44"/>
        </w:rPr>
      </w:pPr>
    </w:p>
    <w:p w14:paraId="47EF0BEE">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乌鲁木齐市米东区政务服务管理局</w:t>
      </w:r>
    </w:p>
    <w:p w14:paraId="38A993A3">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14:paraId="5C919673">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5845A97F">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03844050">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03A3E202">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412208E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51BC0C7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3635F6F6">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4F4FFFC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4B1448E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643E07C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3ABC73A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6AAD566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16D9C3D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3B3A7E3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4E0A15B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73F11893">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0348B79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17B7DCD2">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039F2A47">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0C25A2F0">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1AE88D0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667830F1">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2BFA8C1B">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45DDB9A1">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66273CD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0A54E3E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75B82E2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35CF2CB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67F42CB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1D6380E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0D56034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37C79175">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7E23FBDC">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45821644">
      <w:r>
        <w:rPr>
          <w:rFonts w:hint="eastAsia" w:ascii="仿宋_GB2312" w:hAnsi="仿宋_GB2312" w:eastAsia="仿宋_GB2312" w:cs="仿宋_GB2312"/>
          <w:sz w:val="32"/>
          <w:szCs w:val="32"/>
        </w:rPr>
        <w:fldChar w:fldCharType="end"/>
      </w:r>
    </w:p>
    <w:p w14:paraId="2A9D058C">
      <w:pPr>
        <w:rPr>
          <w:rFonts w:ascii="仿宋_GB2312" w:eastAsia="仿宋_GB2312"/>
          <w:sz w:val="32"/>
          <w:szCs w:val="32"/>
        </w:rPr>
      </w:pPr>
      <w:r>
        <w:rPr>
          <w:rFonts w:hint="eastAsia" w:ascii="仿宋_GB2312" w:eastAsia="仿宋_GB2312"/>
          <w:sz w:val="32"/>
          <w:szCs w:val="32"/>
        </w:rPr>
        <w:br w:type="page"/>
      </w:r>
    </w:p>
    <w:p w14:paraId="64EA9357">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16235563">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503A911B">
      <w:pPr>
        <w:shd w:val="clear" w:color="auto" w:fill="FFFFFF"/>
        <w:ind w:firstLine="640" w:firstLineChars="200"/>
        <w:rPr>
          <w:rFonts w:hint="eastAsia" w:ascii="仿宋_GB2312" w:hAnsi="仿宋_GB2312" w:eastAsia="仿宋_GB2312"/>
          <w:kern w:val="0"/>
          <w:sz w:val="32"/>
        </w:rPr>
      </w:pPr>
      <w:r>
        <w:rPr>
          <w:rFonts w:hint="eastAsia" w:ascii="仿宋_GB2312" w:hAnsi="仿宋_GB2312" w:eastAsia="仿宋_GB2312"/>
          <w:kern w:val="0"/>
          <w:sz w:val="32"/>
        </w:rPr>
        <w:t>1.贯彻执行国家、自治区和我市有关优化政务服务管理的方针、政策和法律、法规，起草有关政策措施，并组织实施。</w:t>
      </w:r>
    </w:p>
    <w:p w14:paraId="71DDA78D">
      <w:pPr>
        <w:shd w:val="clear" w:color="auto" w:fill="FFFFFF"/>
        <w:ind w:firstLine="640" w:firstLineChars="200"/>
        <w:rPr>
          <w:rFonts w:hint="eastAsia" w:ascii="仿宋_GB2312" w:hAnsi="仿宋_GB2312" w:eastAsia="仿宋_GB2312"/>
          <w:kern w:val="0"/>
          <w:sz w:val="32"/>
        </w:rPr>
      </w:pPr>
      <w:r>
        <w:rPr>
          <w:rFonts w:hint="eastAsia" w:ascii="仿宋_GB2312" w:hAnsi="仿宋_GB2312" w:eastAsia="仿宋_GB2312"/>
          <w:kern w:val="0"/>
          <w:sz w:val="32"/>
        </w:rPr>
        <w:t>2.参与推进政务服务改革工作，推动全区政务服务体系建设；组织、协调、指导和监督区级政府各部门的行政审批管理工作。</w:t>
      </w:r>
    </w:p>
    <w:p w14:paraId="5F71B7E5">
      <w:pPr>
        <w:shd w:val="clear" w:color="auto" w:fill="FFFFFF"/>
        <w:ind w:firstLine="640" w:firstLineChars="200"/>
        <w:rPr>
          <w:rFonts w:hint="eastAsia" w:ascii="仿宋_GB2312" w:hAnsi="仿宋_GB2312" w:eastAsia="仿宋_GB2312"/>
          <w:kern w:val="0"/>
          <w:sz w:val="32"/>
        </w:rPr>
      </w:pPr>
      <w:r>
        <w:rPr>
          <w:rFonts w:hint="eastAsia" w:ascii="仿宋_GB2312" w:hAnsi="仿宋_GB2312" w:eastAsia="仿宋_GB2312"/>
          <w:kern w:val="0"/>
          <w:sz w:val="32"/>
        </w:rPr>
        <w:t>3.组织制定有关行政审批的管理规则和行政审批事项的办理流程；负责对进驻部门开展政务服务工作情况进行监督、协调和考核。</w:t>
      </w:r>
    </w:p>
    <w:p w14:paraId="28A8A6C8">
      <w:pPr>
        <w:shd w:val="clear" w:color="auto" w:fill="FFFFFF"/>
        <w:ind w:firstLine="640" w:firstLineChars="200"/>
        <w:rPr>
          <w:rFonts w:hint="eastAsia" w:ascii="仿宋_GB2312" w:hAnsi="仿宋_GB2312" w:eastAsia="仿宋_GB2312"/>
          <w:kern w:val="0"/>
          <w:sz w:val="32"/>
        </w:rPr>
      </w:pPr>
      <w:r>
        <w:rPr>
          <w:rFonts w:hint="eastAsia" w:ascii="仿宋_GB2312" w:hAnsi="仿宋_GB2312" w:eastAsia="仿宋_GB2312"/>
          <w:kern w:val="0"/>
          <w:sz w:val="32"/>
        </w:rPr>
        <w:t>4.受理和核实违反政务服务相关规定的投诉举报。</w:t>
      </w:r>
    </w:p>
    <w:p w14:paraId="69131148">
      <w:pPr>
        <w:shd w:val="clear" w:color="auto" w:fill="FFFFFF"/>
        <w:ind w:firstLine="640" w:firstLineChars="200"/>
        <w:rPr>
          <w:rFonts w:hint="eastAsia" w:ascii="仿宋_GB2312" w:hAnsi="仿宋_GB2312" w:eastAsia="仿宋_GB2312"/>
          <w:kern w:val="0"/>
          <w:sz w:val="32"/>
        </w:rPr>
      </w:pPr>
      <w:r>
        <w:rPr>
          <w:rFonts w:hint="eastAsia" w:ascii="仿宋_GB2312" w:hAnsi="仿宋_GB2312" w:eastAsia="仿宋_GB2312"/>
          <w:kern w:val="0"/>
          <w:sz w:val="32"/>
        </w:rPr>
        <w:t>5.推进“互联网+政务服务”改革工作；负责政务服务的信息化建设工作；负责政务服务和公共资源交易信息的统计、整理和分析工作。</w:t>
      </w:r>
    </w:p>
    <w:p w14:paraId="1B8AF410">
      <w:pPr>
        <w:shd w:val="clear" w:color="auto" w:fill="FFFFFF"/>
        <w:ind w:firstLine="640" w:firstLineChars="200"/>
        <w:rPr>
          <w:rFonts w:hint="eastAsia" w:ascii="仿宋_GB2312" w:hAnsi="仿宋_GB2312" w:eastAsia="仿宋_GB2312"/>
          <w:kern w:val="0"/>
          <w:sz w:val="32"/>
        </w:rPr>
      </w:pPr>
      <w:r>
        <w:rPr>
          <w:rFonts w:hint="eastAsia" w:ascii="仿宋_GB2312" w:hAnsi="仿宋_GB2312" w:eastAsia="仿宋_GB2312"/>
          <w:kern w:val="0"/>
          <w:sz w:val="32"/>
        </w:rPr>
        <w:t>6.指导监督乡镇（片区）政务服务工作。</w:t>
      </w:r>
    </w:p>
    <w:p w14:paraId="648F7634">
      <w:pPr>
        <w:shd w:val="clear" w:color="auto" w:fill="FFFFFF"/>
        <w:ind w:firstLine="640" w:firstLineChars="200"/>
        <w:rPr>
          <w:rFonts w:eastAsia="Times New Roman"/>
          <w:sz w:val="32"/>
          <w:lang w:val="zh-CN"/>
        </w:rPr>
      </w:pPr>
      <w:r>
        <w:rPr>
          <w:rFonts w:hint="eastAsia" w:ascii="仿宋_GB2312" w:hAnsi="仿宋_GB2312" w:eastAsia="仿宋_GB2312"/>
          <w:kern w:val="0"/>
          <w:sz w:val="32"/>
        </w:rPr>
        <w:t>7.承办区委、区人民政府交办的其他事项</w:t>
      </w:r>
      <w:r>
        <w:rPr>
          <w:rFonts w:hint="eastAsia" w:ascii="仿宋_GB2312" w:eastAsia="仿宋_GB2312"/>
          <w:sz w:val="32"/>
          <w:szCs w:val="32"/>
        </w:rPr>
        <w:t>。</w:t>
      </w:r>
    </w:p>
    <w:p w14:paraId="6EB68E6A">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6C827D6E">
      <w:pPr>
        <w:ind w:firstLine="640" w:firstLineChars="200"/>
        <w:rPr>
          <w:rFonts w:hint="eastAsia" w:ascii="仿宋_GB2312" w:hAnsi="仿宋_GB2312" w:eastAsia="仿宋_GB2312" w:cs="仿宋_GB2312"/>
          <w:b/>
          <w:sz w:val="32"/>
          <w:szCs w:val="32"/>
        </w:rPr>
      </w:pPr>
      <w:r>
        <w:rPr>
          <w:rFonts w:hint="eastAsia" w:ascii="仿宋_GB2312" w:eastAsia="仿宋_GB2312"/>
          <w:sz w:val="32"/>
          <w:szCs w:val="32"/>
        </w:rPr>
        <w:t>乌鲁木齐市米东区政务服务管理局2023年度，实有人数</w:t>
      </w:r>
      <w:r>
        <w:rPr>
          <w:rFonts w:hint="eastAsia" w:ascii="仿宋_GB2312" w:eastAsia="仿宋_GB2312"/>
          <w:sz w:val="32"/>
          <w:szCs w:val="32"/>
          <w:lang w:val="zh-CN"/>
        </w:rPr>
        <w:t>12</w:t>
      </w:r>
      <w:r>
        <w:rPr>
          <w:rFonts w:hint="eastAsia" w:ascii="仿宋_GB2312" w:eastAsia="仿宋_GB2312"/>
          <w:sz w:val="32"/>
          <w:szCs w:val="32"/>
        </w:rPr>
        <w:t>人，其中：在职人员</w:t>
      </w:r>
      <w:r>
        <w:rPr>
          <w:rFonts w:hint="eastAsia" w:ascii="仿宋_GB2312" w:eastAsia="仿宋_GB2312"/>
          <w:sz w:val="32"/>
          <w:szCs w:val="32"/>
          <w:lang w:val="zh-CN"/>
        </w:rPr>
        <w:t>12</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0</w:t>
      </w:r>
      <w:r>
        <w:rPr>
          <w:rFonts w:hint="eastAsia" w:ascii="仿宋_GB2312" w:eastAsia="仿宋_GB2312"/>
          <w:sz w:val="32"/>
          <w:szCs w:val="32"/>
        </w:rPr>
        <w:t>人。</w:t>
      </w:r>
    </w:p>
    <w:p w14:paraId="53400489">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3</w:t>
      </w:r>
      <w:r>
        <w:rPr>
          <w:rFonts w:hint="eastAsia" w:ascii="仿宋_GB2312" w:hAnsi="黑体" w:eastAsia="仿宋_GB2312" w:cs="宋体"/>
          <w:bCs/>
          <w:kern w:val="0"/>
          <w:sz w:val="32"/>
          <w:szCs w:val="32"/>
        </w:rPr>
        <w:t>个处室，分别是：党政办、综合科、督查科</w:t>
      </w:r>
      <w:r>
        <w:rPr>
          <w:rFonts w:hint="eastAsia" w:ascii="仿宋_GB2312" w:hAnsi="宋体" w:eastAsia="仿宋_GB2312" w:cs="宋体"/>
          <w:kern w:val="0"/>
          <w:sz w:val="32"/>
          <w:szCs w:val="32"/>
        </w:rPr>
        <w:t>。</w:t>
      </w:r>
    </w:p>
    <w:p w14:paraId="2EB22004">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14:paraId="0282F5A0">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7515A921">
      <w:pPr>
        <w:ind w:firstLine="640" w:firstLineChars="200"/>
        <w:rPr>
          <w:rFonts w:ascii="仿宋_GB2312" w:eastAsia="仿宋_GB2312"/>
          <w:sz w:val="32"/>
          <w:szCs w:val="32"/>
        </w:rPr>
      </w:pPr>
      <w:r>
        <w:rPr>
          <w:rFonts w:hint="eastAsia" w:ascii="仿宋_GB2312" w:eastAsia="仿宋_GB2312"/>
          <w:sz w:val="32"/>
          <w:szCs w:val="32"/>
        </w:rPr>
        <w:t>2023年度收入总计387.95万元，其中：本年收入合计385.54万元，使用非财政拨款结余0.00万元，年初结转和结余2.41万元。</w:t>
      </w:r>
    </w:p>
    <w:p w14:paraId="5B06450F">
      <w:pPr>
        <w:ind w:firstLine="640" w:firstLineChars="200"/>
        <w:rPr>
          <w:rFonts w:ascii="仿宋_GB2312" w:eastAsia="仿宋_GB2312"/>
          <w:sz w:val="32"/>
          <w:szCs w:val="32"/>
        </w:rPr>
      </w:pPr>
      <w:r>
        <w:rPr>
          <w:rFonts w:hint="eastAsia" w:ascii="仿宋_GB2312" w:eastAsia="仿宋_GB2312"/>
          <w:sz w:val="32"/>
          <w:szCs w:val="32"/>
        </w:rPr>
        <w:t>2023年度支出总计387.95万元，其中：本年支出合计375.46万元，结余分配0.00万元，年末结转和结余12.49万元。</w:t>
      </w:r>
    </w:p>
    <w:p w14:paraId="1A943AC6">
      <w:pPr>
        <w:ind w:firstLine="640" w:firstLineChars="200"/>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增加25.15万元</w:t>
      </w:r>
      <w:r>
        <w:rPr>
          <w:rFonts w:hint="eastAsia" w:ascii="仿宋_GB2312" w:eastAsia="仿宋_GB2312"/>
          <w:sz w:val="32"/>
          <w:szCs w:val="32"/>
        </w:rPr>
        <w:t>，增长6.93%，主要原因是：</w:t>
      </w:r>
      <w:r>
        <w:rPr>
          <w:rFonts w:hint="eastAsia" w:ascii="仿宋_GB2312" w:hAnsi="仿宋_GB2312" w:eastAsia="仿宋_GB2312" w:cs="仿宋_GB2312"/>
          <w:sz w:val="32"/>
          <w:szCs w:val="32"/>
          <w:lang w:val="zh-CN"/>
        </w:rPr>
        <w:t>单位本年补发以前年度基础绩效奖金、艰苦边远地区津贴补贴等</w:t>
      </w:r>
      <w:r>
        <w:rPr>
          <w:rFonts w:hint="eastAsia" w:ascii="仿宋_GB2312" w:eastAsia="仿宋_GB2312"/>
          <w:sz w:val="32"/>
          <w:szCs w:val="32"/>
        </w:rPr>
        <w:t>。</w:t>
      </w:r>
    </w:p>
    <w:p w14:paraId="439F8E1A">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14:paraId="5B1B62EC">
      <w:pPr>
        <w:ind w:firstLine="640" w:firstLineChars="200"/>
        <w:jc w:val="left"/>
        <w:rPr>
          <w:rFonts w:ascii="仿宋_GB2312" w:eastAsia="仿宋_GB2312"/>
          <w:sz w:val="32"/>
          <w:szCs w:val="32"/>
        </w:rPr>
      </w:pPr>
      <w:r>
        <w:rPr>
          <w:rFonts w:hint="eastAsia" w:ascii="仿宋_GB2312" w:eastAsia="仿宋_GB2312"/>
          <w:sz w:val="32"/>
          <w:szCs w:val="32"/>
        </w:rPr>
        <w:t>本年收入385.54万元，其中：财政拨款收入</w:t>
      </w:r>
      <w:r>
        <w:rPr>
          <w:rFonts w:hint="eastAsia" w:ascii="仿宋_GB2312" w:eastAsia="仿宋_GB2312"/>
          <w:sz w:val="32"/>
          <w:szCs w:val="32"/>
          <w:lang w:val="zh-CN"/>
        </w:rPr>
        <w:t>385.54</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14:paraId="44AECBA7">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00C7B04C">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本年支出375.46万元，其中：基本支出375.46万元，占100.00%；项目支出0.00万元，占0.00%；上缴上级支出0.00万元，占0.00%；经营支出0.00万元，占0.00%；对附属单位补助支出0.00万元，占0.00%。</w:t>
      </w:r>
    </w:p>
    <w:p w14:paraId="07C2F2EF">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14:paraId="5CEE6B74">
      <w:pPr>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387.88</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2.34</w:t>
      </w:r>
      <w:r>
        <w:rPr>
          <w:rFonts w:hint="eastAsia" w:ascii="仿宋_GB2312" w:eastAsia="仿宋_GB2312"/>
          <w:sz w:val="32"/>
          <w:szCs w:val="32"/>
        </w:rPr>
        <w:t>万元，本年财政拨款收入</w:t>
      </w:r>
      <w:r>
        <w:rPr>
          <w:rFonts w:hint="eastAsia" w:ascii="仿宋_GB2312" w:eastAsia="仿宋_GB2312"/>
          <w:sz w:val="32"/>
          <w:szCs w:val="32"/>
          <w:lang w:val="zh-CN"/>
        </w:rPr>
        <w:t>385.54</w:t>
      </w:r>
      <w:r>
        <w:rPr>
          <w:rFonts w:hint="eastAsia" w:ascii="仿宋_GB2312" w:eastAsia="仿宋_GB2312"/>
          <w:sz w:val="32"/>
          <w:szCs w:val="32"/>
        </w:rPr>
        <w:t>万元。财政拨款支出总计</w:t>
      </w:r>
      <w:r>
        <w:rPr>
          <w:rFonts w:hint="eastAsia" w:ascii="仿宋_GB2312" w:eastAsia="仿宋_GB2312"/>
          <w:sz w:val="32"/>
          <w:szCs w:val="32"/>
          <w:lang w:val="zh-CN"/>
        </w:rPr>
        <w:t>387.88</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12.43</w:t>
      </w:r>
      <w:r>
        <w:rPr>
          <w:rFonts w:hint="eastAsia" w:ascii="仿宋_GB2312" w:eastAsia="仿宋_GB2312"/>
          <w:sz w:val="32"/>
          <w:szCs w:val="32"/>
        </w:rPr>
        <w:t>万元，本年财政拨款支出</w:t>
      </w:r>
      <w:r>
        <w:rPr>
          <w:rFonts w:hint="eastAsia" w:ascii="仿宋_GB2312" w:eastAsia="仿宋_GB2312"/>
          <w:sz w:val="32"/>
          <w:szCs w:val="32"/>
          <w:lang w:val="zh-CN"/>
        </w:rPr>
        <w:t>375.46</w:t>
      </w:r>
      <w:r>
        <w:rPr>
          <w:rFonts w:hint="eastAsia" w:ascii="仿宋_GB2312" w:eastAsia="仿宋_GB2312"/>
          <w:sz w:val="32"/>
          <w:szCs w:val="32"/>
        </w:rPr>
        <w:t>万元。</w:t>
      </w:r>
    </w:p>
    <w:p w14:paraId="419D2210">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增加25.15万元</w:t>
      </w:r>
      <w:r>
        <w:rPr>
          <w:rFonts w:hint="eastAsia" w:ascii="仿宋_GB2312" w:eastAsia="仿宋_GB2312"/>
          <w:sz w:val="32"/>
          <w:szCs w:val="32"/>
        </w:rPr>
        <w:t>，增长6.93%,主要原因是：</w:t>
      </w:r>
      <w:r>
        <w:rPr>
          <w:rFonts w:hint="eastAsia" w:ascii="仿宋_GB2312" w:hAnsi="仿宋_GB2312" w:eastAsia="仿宋_GB2312" w:cs="仿宋_GB2312"/>
          <w:sz w:val="32"/>
          <w:szCs w:val="32"/>
          <w:lang w:val="zh-CN"/>
        </w:rPr>
        <w:t>单位本年补发以前年度基础绩效奖金、艰苦边远地区津贴补贴等</w:t>
      </w:r>
      <w:r>
        <w:rPr>
          <w:rFonts w:hint="eastAsia" w:ascii="仿宋_GB2312" w:eastAsia="仿宋_GB2312"/>
          <w:sz w:val="32"/>
          <w:szCs w:val="32"/>
        </w:rPr>
        <w:t>。与年初预算相比，年初预算数</w:t>
      </w:r>
      <w:r>
        <w:rPr>
          <w:rFonts w:hint="eastAsia" w:ascii="仿宋_GB2312" w:eastAsia="仿宋_GB2312"/>
          <w:sz w:val="32"/>
          <w:szCs w:val="32"/>
          <w:lang w:val="zh-CN"/>
        </w:rPr>
        <w:t>449.70</w:t>
      </w:r>
      <w:r>
        <w:rPr>
          <w:rFonts w:hint="eastAsia" w:ascii="仿宋_GB2312" w:eastAsia="仿宋_GB2312"/>
          <w:sz w:val="32"/>
          <w:szCs w:val="32"/>
        </w:rPr>
        <w:t>万元，决算数</w:t>
      </w:r>
      <w:r>
        <w:rPr>
          <w:rFonts w:hint="eastAsia" w:ascii="仿宋_GB2312" w:eastAsia="仿宋_GB2312"/>
          <w:sz w:val="32"/>
          <w:szCs w:val="32"/>
          <w:lang w:val="zh-CN"/>
        </w:rPr>
        <w:t>387.88</w:t>
      </w:r>
      <w:r>
        <w:rPr>
          <w:rFonts w:hint="eastAsia" w:ascii="仿宋_GB2312" w:eastAsia="仿宋_GB2312"/>
          <w:sz w:val="32"/>
          <w:szCs w:val="32"/>
        </w:rPr>
        <w:t>万元，预决算差异率-13.75%，主要原因是：单位本年人员工资、津贴补贴等人员经费实际金额小于年初预算安排资金。</w:t>
      </w:r>
    </w:p>
    <w:p w14:paraId="44308499">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145BB1AF">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1CBC40B9">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2023年度一般公共预算财政拨款支出375.46万元，占本年支出合计的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增加15.07万元</w:t>
      </w:r>
      <w:r>
        <w:rPr>
          <w:rFonts w:hint="eastAsia" w:ascii="仿宋_GB2312" w:eastAsia="仿宋_GB2312"/>
          <w:sz w:val="32"/>
          <w:szCs w:val="32"/>
        </w:rPr>
        <w:t>，增长4.18%,主要原因是：</w:t>
      </w:r>
      <w:r>
        <w:rPr>
          <w:rFonts w:hint="eastAsia" w:ascii="仿宋_GB2312" w:hAnsi="仿宋_GB2312" w:eastAsia="仿宋_GB2312" w:cs="仿宋_GB2312"/>
          <w:sz w:val="32"/>
          <w:szCs w:val="32"/>
          <w:lang w:val="zh-CN"/>
        </w:rPr>
        <w:t>单位本年补发以前年度基础绩效奖金、艰苦边远地区津贴补贴等</w:t>
      </w:r>
      <w:r>
        <w:rPr>
          <w:rFonts w:hint="eastAsia" w:ascii="仿宋_GB2312" w:eastAsia="仿宋_GB2312"/>
          <w:sz w:val="32"/>
          <w:szCs w:val="32"/>
        </w:rPr>
        <w:t>。与年初预算相比，年初预算数</w:t>
      </w:r>
      <w:r>
        <w:rPr>
          <w:rFonts w:hint="eastAsia" w:ascii="仿宋_GB2312" w:eastAsia="仿宋_GB2312"/>
          <w:sz w:val="32"/>
          <w:szCs w:val="32"/>
          <w:lang w:val="zh-CN"/>
        </w:rPr>
        <w:t>449.70</w:t>
      </w:r>
      <w:r>
        <w:rPr>
          <w:rFonts w:hint="eastAsia" w:ascii="仿宋_GB2312" w:eastAsia="仿宋_GB2312"/>
          <w:sz w:val="32"/>
          <w:szCs w:val="32"/>
        </w:rPr>
        <w:t>万元，决算数</w:t>
      </w:r>
      <w:r>
        <w:rPr>
          <w:rFonts w:hint="eastAsia" w:ascii="仿宋_GB2312" w:eastAsia="仿宋_GB2312"/>
          <w:sz w:val="32"/>
          <w:szCs w:val="32"/>
          <w:lang w:val="zh-CN"/>
        </w:rPr>
        <w:t>375.46</w:t>
      </w:r>
      <w:r>
        <w:rPr>
          <w:rFonts w:hint="eastAsia" w:ascii="仿宋_GB2312" w:eastAsia="仿宋_GB2312"/>
          <w:sz w:val="32"/>
          <w:szCs w:val="32"/>
        </w:rPr>
        <w:t>万元，预决算差异率</w:t>
      </w:r>
      <w:r>
        <w:rPr>
          <w:rFonts w:hint="eastAsia" w:ascii="仿宋_GB2312" w:eastAsia="仿宋_GB2312"/>
          <w:sz w:val="32"/>
          <w:szCs w:val="32"/>
          <w:lang w:val="zh-CN"/>
        </w:rPr>
        <w:t>-16.51%</w:t>
      </w:r>
      <w:r>
        <w:rPr>
          <w:rFonts w:hint="eastAsia" w:ascii="仿宋_GB2312" w:eastAsia="仿宋_GB2312"/>
          <w:sz w:val="32"/>
          <w:szCs w:val="32"/>
        </w:rPr>
        <w:t>，主要原因是：单位本年人员工资、津贴补贴等人员经费实际金额小于年初预算安排资金。</w:t>
      </w:r>
    </w:p>
    <w:p w14:paraId="7D0BAAE2">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43A78A5A">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hint="eastAsia" w:ascii="仿宋_GB2312" w:eastAsia="仿宋_GB2312"/>
          <w:kern w:val="2"/>
          <w:sz w:val="32"/>
          <w:szCs w:val="32"/>
          <w:lang w:val="zh-CN"/>
        </w:rPr>
        <w:t>353.89</w:t>
      </w:r>
      <w:r>
        <w:rPr>
          <w:rFonts w:ascii="仿宋_GB2312" w:eastAsia="仿宋_GB2312"/>
          <w:kern w:val="2"/>
          <w:sz w:val="32"/>
          <w:szCs w:val="32"/>
          <w:lang w:val="zh-CN"/>
        </w:rPr>
        <w:t>万元，占</w:t>
      </w:r>
      <w:r>
        <w:rPr>
          <w:rFonts w:hint="eastAsia" w:ascii="仿宋_GB2312" w:eastAsia="仿宋_GB2312"/>
          <w:kern w:val="2"/>
          <w:sz w:val="32"/>
          <w:szCs w:val="32"/>
          <w:lang w:val="zh-CN"/>
        </w:rPr>
        <w:t>94.26%</w:t>
      </w:r>
      <w:r>
        <w:rPr>
          <w:rFonts w:ascii="仿宋_GB2312" w:eastAsia="仿宋_GB2312"/>
          <w:kern w:val="2"/>
          <w:sz w:val="32"/>
          <w:szCs w:val="32"/>
          <w:lang w:val="zh-CN"/>
        </w:rPr>
        <w:t>；</w:t>
      </w:r>
    </w:p>
    <w:p w14:paraId="5360FBA5">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21.56</w:t>
      </w:r>
      <w:r>
        <w:rPr>
          <w:rFonts w:ascii="仿宋_GB2312" w:eastAsia="仿宋_GB2312"/>
          <w:kern w:val="2"/>
          <w:sz w:val="32"/>
          <w:szCs w:val="32"/>
          <w:lang w:val="zh-CN"/>
        </w:rPr>
        <w:t>万元，占</w:t>
      </w:r>
      <w:r>
        <w:rPr>
          <w:rFonts w:hint="eastAsia" w:ascii="仿宋_GB2312" w:eastAsia="仿宋_GB2312"/>
          <w:kern w:val="2"/>
          <w:sz w:val="32"/>
          <w:szCs w:val="32"/>
          <w:lang w:val="zh-CN"/>
        </w:rPr>
        <w:t>5.74%。</w:t>
      </w:r>
    </w:p>
    <w:p w14:paraId="6A33308C">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48DA4AC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1.一般公共服务支出（类）政府办公厅（室）及相关机构事务（款）机关服务（项）:支出决算数为353.89万元，比上年决算增加7.29万元，增长2.10%，主要原因是：</w:t>
      </w:r>
      <w:r>
        <w:rPr>
          <w:rFonts w:hint="eastAsia" w:ascii="仿宋_GB2312" w:hAnsi="仿宋_GB2312" w:eastAsia="仿宋_GB2312" w:cs="仿宋_GB2312"/>
          <w:sz w:val="32"/>
          <w:szCs w:val="32"/>
          <w:lang w:val="zh-CN"/>
        </w:rPr>
        <w:t>单位本年补发以前年度基础绩效奖金、艰苦边远地区津贴补贴等。</w:t>
      </w:r>
    </w:p>
    <w:p w14:paraId="79732E38">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2.社会保障和就业支出（类）行政事业单位养老支出（款）机关事业单位基本养老保险缴费支出（项）:支出决算数为21.56万元，比上年决算增加7.77万元，增长56.35%，主要原因是：</w:t>
      </w:r>
      <w:r>
        <w:rPr>
          <w:rFonts w:hint="eastAsia" w:ascii="仿宋_GB2312" w:hAnsi="仿宋_GB2312" w:eastAsia="仿宋_GB2312" w:cs="仿宋_GB2312"/>
          <w:sz w:val="32"/>
          <w:szCs w:val="32"/>
          <w:lang w:val="zh-CN"/>
        </w:rPr>
        <w:t>单位本年社保缴费基数上调，相应人员养老保险缴费增加。</w:t>
      </w:r>
    </w:p>
    <w:p w14:paraId="52C1258F">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56CACBAB">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375.46万元，其中：人员经费202.02万元，包括：基本工资、津贴补贴、奖金、绩效工资、机关事业单位基本养老保险缴费、职工基本医疗保险缴费、公务员医疗补助缴费、其他社会保障缴费、住房公积金、生活补助。</w:t>
      </w:r>
    </w:p>
    <w:p w14:paraId="037301ED">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公用经费173.44万元，包括：办公费、水费、电费、培训费、劳务费、工会经费、</w:t>
      </w:r>
      <w:r>
        <w:rPr>
          <w:rFonts w:hint="eastAsia" w:ascii="仿宋_GB2312" w:eastAsia="仿宋_GB2312"/>
          <w:sz w:val="32"/>
          <w:szCs w:val="32"/>
          <w:lang w:val="zh-CN"/>
        </w:rPr>
        <w:t>福利费、其他商品和服务支出。</w:t>
      </w:r>
    </w:p>
    <w:p w14:paraId="6E1D9AA4">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00C2729A">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14:paraId="3EB33C83">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7D253AC4">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14:paraId="184C59F5">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0辆，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原因是：本单位固定资产车辆与公务用车保有量一致无差异。</w:t>
      </w:r>
    </w:p>
    <w:p w14:paraId="4423BD15">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14:paraId="2A19A77F">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14:paraId="353B76F3">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14:paraId="04533350">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75AB7516">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1E5C1385">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7D65CCF7">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14:paraId="4575125F">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14:paraId="5DEBF40E">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乌鲁木齐市米东区政务服务管理局（行政单位和参照公务员法管理事业单位）机关运行经费支出173.44万元，</w:t>
      </w:r>
      <w:r>
        <w:rPr>
          <w:rFonts w:hint="eastAsia" w:ascii="仿宋_GB2312" w:hAnsi="仿宋_GB2312" w:eastAsia="仿宋_GB2312" w:cs="仿宋_GB2312"/>
          <w:sz w:val="32"/>
          <w:szCs w:val="32"/>
          <w:lang w:val="zh-CN"/>
        </w:rPr>
        <w:t>比上年减少1.95万元，下降1.11%，主要原因是：单位本年</w:t>
      </w:r>
      <w:r>
        <w:rPr>
          <w:rFonts w:hint="eastAsia" w:ascii="仿宋_GB2312" w:eastAsia="仿宋_GB2312"/>
          <w:sz w:val="32"/>
          <w:szCs w:val="32"/>
        </w:rPr>
        <w:t>办公费、培训费、劳务费较上年减少</w:t>
      </w:r>
      <w:r>
        <w:rPr>
          <w:rFonts w:hint="eastAsia" w:ascii="仿宋_GB2312" w:hAnsi="仿宋_GB2312" w:eastAsia="仿宋_GB2312" w:cs="仿宋_GB2312"/>
          <w:sz w:val="32"/>
          <w:szCs w:val="32"/>
          <w:lang w:val="zh-CN"/>
        </w:rPr>
        <w:t>。</w:t>
      </w:r>
    </w:p>
    <w:p w14:paraId="3FFEB259">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290CE470">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14:paraId="6EA469F0">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14:paraId="34810071">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14:paraId="53FACA63">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253.27</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屋0.00平方米，价值0.00万元。车辆0辆，价值0.00万元，其中：副部（省）级及以上领导用车0辆、主要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用车0辆、其他用车0辆，其他用车主要是：单位无其他车辆；单价100万元（含）以上设备（不含车辆）0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573321EA">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14:paraId="3CFE13E2">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387.95</w:t>
      </w:r>
      <w:r>
        <w:rPr>
          <w:rFonts w:hint="eastAsia" w:ascii="仿宋_GB2312" w:eastAsia="仿宋_GB2312"/>
          <w:sz w:val="32"/>
          <w:szCs w:val="32"/>
        </w:rPr>
        <w:t>万元，实际执行总额</w:t>
      </w:r>
      <w:r>
        <w:rPr>
          <w:rFonts w:ascii="仿宋_GB2312" w:eastAsia="仿宋_GB2312"/>
          <w:sz w:val="32"/>
          <w:szCs w:val="32"/>
        </w:rPr>
        <w:t>375.46</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0个，全年预算数0.00万元，全年执行数0.00万元。预算绩效管理取得的成效：一是明确阐述完成的重点项目和任务，强调资金使用效率的提升；二是项目的实施推动发展服务带动型规模经营，促进提高技术到位率、服务覆盖率和补贴精准性，推动节本增效。发现的问题及原因：一是部分项目预算执行进度不配平衡，主要原因是项目实施过程中的困难估计不足；二是预算项目绩效目标设定不够明确和具体，难以衡量项目的实施效果，原因是对项目的预期成果缺乏清晰的认识，导致目标缺乏可操作性和可衡量性。下一步改进措施：一是加强预算编制的前期调研和论证，提高预算的准确性和科学性；二是在设定目标时，充分参考过往类似项目的经验和数据。具体项目自评情况附绩效自评表及自评报告。</w:t>
      </w:r>
      <w:bookmarkStart w:id="30" w:name="_Hlk174962300"/>
    </w:p>
    <w:p w14:paraId="7A4D993E">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0DFCDF0E">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51"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tblGrid>
      <w:tr w14:paraId="58FBD9A2">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905D58F">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2FDE8EA4">
            <w:pPr>
              <w:jc w:val="center"/>
            </w:pPr>
            <w:r>
              <w:rPr>
                <w:rFonts w:ascii="宋体" w:hAnsi="宋体"/>
                <w:sz w:val="18"/>
              </w:rPr>
              <w:t>米东区政务服务管理局</w:t>
            </w:r>
          </w:p>
        </w:tc>
      </w:tr>
      <w:tr w14:paraId="643EE0BE">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0D900C7">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2FFFC5D5">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025559AB">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14:paraId="1F5DAE12">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14:paraId="67EB9DD0">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14:paraId="55122B06">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14:paraId="350965B0">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448EE8FA">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14:paraId="63A42F42">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B40C49E">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5EC3DB4E">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14:paraId="1AC12D7C">
            <w:pPr>
              <w:jc w:val="center"/>
            </w:pPr>
            <w:r>
              <w:rPr>
                <w:rFonts w:ascii="宋体" w:hAnsi="宋体"/>
                <w:sz w:val="18"/>
              </w:rPr>
              <w:t>449.68</w:t>
            </w:r>
          </w:p>
        </w:tc>
        <w:tc>
          <w:tcPr>
            <w:tcW w:w="1134" w:type="dxa"/>
            <w:tcBorders>
              <w:top w:val="nil"/>
              <w:left w:val="nil"/>
              <w:bottom w:val="single" w:color="auto" w:sz="4" w:space="0"/>
              <w:right w:val="single" w:color="auto" w:sz="4" w:space="0"/>
            </w:tcBorders>
            <w:shd w:val="clear" w:color="auto" w:fill="auto"/>
            <w:vAlign w:val="center"/>
          </w:tcPr>
          <w:p w14:paraId="7FFAA1F8">
            <w:pPr>
              <w:jc w:val="center"/>
            </w:pPr>
            <w:r>
              <w:rPr>
                <w:rFonts w:ascii="宋体" w:hAnsi="宋体"/>
                <w:sz w:val="18"/>
              </w:rPr>
              <w:t>387.95</w:t>
            </w:r>
          </w:p>
        </w:tc>
        <w:tc>
          <w:tcPr>
            <w:tcW w:w="2126" w:type="dxa"/>
            <w:tcBorders>
              <w:top w:val="nil"/>
              <w:left w:val="nil"/>
              <w:bottom w:val="single" w:color="auto" w:sz="4" w:space="0"/>
              <w:right w:val="single" w:color="auto" w:sz="4" w:space="0"/>
            </w:tcBorders>
            <w:shd w:val="clear" w:color="auto" w:fill="auto"/>
            <w:vAlign w:val="center"/>
          </w:tcPr>
          <w:p w14:paraId="4D24A293">
            <w:pPr>
              <w:jc w:val="center"/>
            </w:pPr>
            <w:r>
              <w:rPr>
                <w:rFonts w:ascii="宋体" w:hAnsi="宋体"/>
                <w:sz w:val="18"/>
              </w:rPr>
              <w:t>375.46</w:t>
            </w:r>
          </w:p>
        </w:tc>
        <w:tc>
          <w:tcPr>
            <w:tcW w:w="1004" w:type="dxa"/>
            <w:tcBorders>
              <w:top w:val="nil"/>
              <w:left w:val="nil"/>
              <w:bottom w:val="single" w:color="auto" w:sz="4" w:space="0"/>
              <w:right w:val="single" w:color="auto" w:sz="4" w:space="0"/>
            </w:tcBorders>
            <w:shd w:val="clear" w:color="auto" w:fill="auto"/>
            <w:vAlign w:val="center"/>
          </w:tcPr>
          <w:p w14:paraId="117DC86F">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14:paraId="217EF470">
            <w:pPr>
              <w:jc w:val="center"/>
            </w:pPr>
            <w:r>
              <w:rPr>
                <w:rFonts w:ascii="宋体" w:hAnsi="宋体"/>
                <w:sz w:val="18"/>
              </w:rPr>
              <w:t>96.78%</w:t>
            </w:r>
          </w:p>
        </w:tc>
        <w:tc>
          <w:tcPr>
            <w:tcW w:w="720" w:type="dxa"/>
            <w:tcBorders>
              <w:top w:val="nil"/>
              <w:left w:val="nil"/>
              <w:bottom w:val="single" w:color="auto" w:sz="4" w:space="0"/>
              <w:right w:val="single" w:color="auto" w:sz="4" w:space="0"/>
            </w:tcBorders>
            <w:shd w:val="clear" w:color="auto" w:fill="auto"/>
            <w:vAlign w:val="center"/>
          </w:tcPr>
          <w:p w14:paraId="1E742350">
            <w:pPr>
              <w:jc w:val="center"/>
            </w:pPr>
            <w:r>
              <w:rPr>
                <w:rFonts w:ascii="宋体" w:hAnsi="宋体"/>
                <w:sz w:val="18"/>
              </w:rPr>
              <w:t>9.68</w:t>
            </w:r>
          </w:p>
        </w:tc>
      </w:tr>
      <w:tr w14:paraId="49D550E0">
        <w:tblPrEx>
          <w:tblCellMar>
            <w:top w:w="0" w:type="dxa"/>
            <w:left w:w="108" w:type="dxa"/>
            <w:bottom w:w="0" w:type="dxa"/>
            <w:right w:w="108" w:type="dxa"/>
          </w:tblCellMar>
        </w:tblPrEx>
        <w:trPr>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CB5D4F0">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6B6CC7C">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14:paraId="3DCF8DF5">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5E85D2D5">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4EF6259F">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540E2259">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3D488527">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228F453">
            <w:pPr>
              <w:widowControl/>
              <w:jc w:val="center"/>
              <w:rPr>
                <w:rFonts w:hint="eastAsia" w:ascii="宋体" w:hAnsi="宋体" w:cs="宋体"/>
                <w:kern w:val="0"/>
                <w:sz w:val="18"/>
                <w:szCs w:val="18"/>
              </w:rPr>
            </w:pPr>
            <w:r>
              <w:rPr>
                <w:rFonts w:hint="eastAsia" w:ascii="宋体" w:hAnsi="宋体"/>
                <w:sz w:val="18"/>
                <w:szCs w:val="18"/>
              </w:rPr>
              <w:t>-</w:t>
            </w:r>
          </w:p>
        </w:tc>
      </w:tr>
      <w:tr w14:paraId="50D0BA1D">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78C72E6">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220AD03">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14:paraId="3A99FC32">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406CD52C">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2A3ABCA5">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2A63E09B">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54AC6BE8">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75B475B3">
            <w:pPr>
              <w:widowControl/>
              <w:jc w:val="center"/>
              <w:rPr>
                <w:rFonts w:hint="eastAsia" w:ascii="宋体" w:hAnsi="宋体" w:cs="宋体"/>
                <w:kern w:val="0"/>
                <w:sz w:val="18"/>
                <w:szCs w:val="18"/>
              </w:rPr>
            </w:pPr>
            <w:r>
              <w:rPr>
                <w:rFonts w:hint="eastAsia" w:ascii="宋体" w:hAnsi="宋体"/>
                <w:sz w:val="18"/>
                <w:szCs w:val="18"/>
              </w:rPr>
              <w:t>-</w:t>
            </w:r>
          </w:p>
        </w:tc>
      </w:tr>
      <w:tr w14:paraId="27C4CA74">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280C100">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0790E5E">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14:paraId="4F28FF3E">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72D4D838">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6A77CF5B">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115ACF5F">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63D225E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1005308B">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6E921DA8">
        <w:tblPrEx>
          <w:tblCellMar>
            <w:top w:w="0" w:type="dxa"/>
            <w:left w:w="108" w:type="dxa"/>
            <w:bottom w:w="0" w:type="dxa"/>
            <w:right w:w="108" w:type="dxa"/>
          </w:tblCellMar>
        </w:tblPrEx>
        <w:trPr>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39779A4">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5225695">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14:paraId="316048FA">
            <w:pPr>
              <w:jc w:val="center"/>
            </w:pPr>
            <w:r>
              <w:rPr>
                <w:rFonts w:ascii="宋体" w:hAnsi="宋体"/>
                <w:sz w:val="18"/>
              </w:rPr>
              <w:t>449.68</w:t>
            </w:r>
          </w:p>
        </w:tc>
        <w:tc>
          <w:tcPr>
            <w:tcW w:w="1134" w:type="dxa"/>
            <w:tcBorders>
              <w:top w:val="nil"/>
              <w:left w:val="nil"/>
              <w:bottom w:val="single" w:color="auto" w:sz="4" w:space="0"/>
              <w:right w:val="single" w:color="auto" w:sz="4" w:space="0"/>
            </w:tcBorders>
            <w:shd w:val="clear" w:color="auto" w:fill="auto"/>
            <w:vAlign w:val="center"/>
          </w:tcPr>
          <w:p w14:paraId="55DC7729">
            <w:pPr>
              <w:jc w:val="center"/>
            </w:pPr>
            <w:r>
              <w:rPr>
                <w:rFonts w:ascii="宋体" w:hAnsi="宋体"/>
                <w:sz w:val="18"/>
              </w:rPr>
              <w:t>387.95</w:t>
            </w:r>
          </w:p>
        </w:tc>
        <w:tc>
          <w:tcPr>
            <w:tcW w:w="2126" w:type="dxa"/>
            <w:tcBorders>
              <w:top w:val="nil"/>
              <w:left w:val="nil"/>
              <w:bottom w:val="single" w:color="auto" w:sz="4" w:space="0"/>
              <w:right w:val="single" w:color="auto" w:sz="4" w:space="0"/>
            </w:tcBorders>
            <w:shd w:val="clear" w:color="auto" w:fill="auto"/>
            <w:vAlign w:val="center"/>
          </w:tcPr>
          <w:p w14:paraId="05D43FA8">
            <w:pPr>
              <w:jc w:val="center"/>
            </w:pPr>
            <w:r>
              <w:rPr>
                <w:rFonts w:ascii="宋体" w:hAnsi="宋体"/>
                <w:sz w:val="18"/>
              </w:rPr>
              <w:t>375.46</w:t>
            </w:r>
          </w:p>
        </w:tc>
        <w:tc>
          <w:tcPr>
            <w:tcW w:w="1004" w:type="dxa"/>
            <w:tcBorders>
              <w:top w:val="nil"/>
              <w:left w:val="nil"/>
              <w:bottom w:val="single" w:color="auto" w:sz="4" w:space="0"/>
              <w:right w:val="single" w:color="auto" w:sz="4" w:space="0"/>
            </w:tcBorders>
            <w:shd w:val="clear" w:color="auto" w:fill="auto"/>
            <w:vAlign w:val="center"/>
          </w:tcPr>
          <w:p w14:paraId="3A9AC8C1">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5F145AD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AEDFC4B">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4FD602FB">
        <w:tblPrEx>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688B7CE">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76004AC0">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14:paraId="04409DC4">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3DF11EFA">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663E2E31">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7A7EF1AD">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730A7EEB">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74B3EDFC">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1332DA99">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03D270E">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14:paraId="2510360E">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14:paraId="79F67520">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r>
      <w:tr w14:paraId="64B2B3A6">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0F8DCF3">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14:paraId="0641270E">
            <w:pPr>
              <w:jc w:val="left"/>
            </w:pPr>
            <w:r>
              <w:rPr>
                <w:rFonts w:ascii="宋体" w:hAnsi="宋体"/>
                <w:sz w:val="18"/>
              </w:rPr>
              <w:t>贯彻执行国家、自治区和我市有关优化政务服务管理的方针、政策和法律、法规，起草有关政策措施，并组织实施；参与推进政务服务改革工作，推动全区政务服务体系建设；组织、协调、指导和监督区级政府各部门的行政审批管理工作；组织制定有关行政审批的管理规则和行政审批事项的办理流程；负责对进驻部门开展政务服务工作情况进行监督、协调和考核；受理和核实违反政务服务相关规定的投诉举报；推进“互联网+政务服务”改革工作；负责政务服务的信息化建设工作；负责政务服务和公共资源交易信息的统计、整理和分析工作；指导监督乡镇（片区）政务服务工作；承办区委、区人民政府交办的其他事项。</w:t>
            </w:r>
          </w:p>
        </w:tc>
        <w:tc>
          <w:tcPr>
            <w:tcW w:w="4689" w:type="dxa"/>
            <w:gridSpan w:val="4"/>
            <w:tcBorders>
              <w:top w:val="single" w:color="auto" w:sz="4" w:space="0"/>
              <w:left w:val="nil"/>
              <w:bottom w:val="single" w:color="auto" w:sz="4" w:space="0"/>
              <w:right w:val="single" w:color="auto" w:sz="4" w:space="0"/>
            </w:tcBorders>
            <w:shd w:val="clear" w:color="auto" w:fill="auto"/>
          </w:tcPr>
          <w:p w14:paraId="0C83F039">
            <w:pPr>
              <w:jc w:val="left"/>
            </w:pPr>
            <w:r>
              <w:rPr>
                <w:rFonts w:ascii="宋体" w:hAnsi="宋体"/>
                <w:sz w:val="18"/>
              </w:rPr>
              <w:t>1.领导高度重视。始终坚持党对政务服务工作的全面领导，研究解决米东区政务服务工作推进中存在的各类问题，在人员、资金等方面提供支持和指导，推动政务服务压实工作，党建先锋行动与业务工作相结合，教育引导党员干部立足本职、干在实处、发挥先锋模范作用，营造民族团结浓厚氛围。深入开展主题教育活动，</w:t>
            </w:r>
            <w:r>
              <w:rPr>
                <w:rFonts w:hint="eastAsia" w:ascii="宋体" w:hAnsi="宋体"/>
                <w:sz w:val="18"/>
                <w:lang w:eastAsia="zh-CN"/>
              </w:rPr>
              <w:t>铸</w:t>
            </w:r>
            <w:bookmarkStart w:id="49" w:name="_GoBack"/>
            <w:bookmarkEnd w:id="49"/>
            <w:r>
              <w:rPr>
                <w:rFonts w:ascii="宋体" w:hAnsi="宋体"/>
                <w:sz w:val="18"/>
              </w:rPr>
              <w:t>牢中华民族共同体意识。2.、提升为民服务质量，不断优化营商环境。深化提升政务服务规范化建设，推进“互联网+政务服务”，简化办证程序，设立工程改革“综合窗口”，做好政务服务“一事快办”专项整治工作。3、加强隐患排查治理，落实安全生产责任制，注重应急处置培训和安保演练，力求提高安保人员的应急处置能力。严格落实24小时值班制，强化单位各项安保措施。组织安全生产大检查。通过LED电子屏和条屏拓展宣传渠道，强化宣传教育，增强安全生产的意识。</w:t>
            </w:r>
          </w:p>
        </w:tc>
      </w:tr>
      <w:tr w14:paraId="426996D4">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36A2DD8B">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2119E91A">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7A10487C">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14:paraId="5DB9A62B">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14:paraId="3628B9D4">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14:paraId="536DDDAB">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14:paraId="38DDD94A">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14:paraId="31E5C280">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14:paraId="274B64EF">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67CC277E">
            <w:pPr>
              <w:jc w:val="center"/>
            </w:pPr>
            <w:r>
              <w:rPr>
                <w:rFonts w:ascii="宋体" w:hAnsi="宋体"/>
                <w:sz w:val="18"/>
              </w:rPr>
              <w:t>履职效能</w:t>
            </w:r>
          </w:p>
        </w:tc>
        <w:tc>
          <w:tcPr>
            <w:tcW w:w="1417" w:type="dxa"/>
            <w:tcBorders>
              <w:top w:val="nil"/>
              <w:left w:val="nil"/>
              <w:bottom w:val="single" w:color="auto" w:sz="4" w:space="0"/>
              <w:right w:val="single" w:color="auto" w:sz="4" w:space="0"/>
            </w:tcBorders>
            <w:shd w:val="clear" w:color="auto" w:fill="auto"/>
            <w:noWrap/>
            <w:vAlign w:val="center"/>
          </w:tcPr>
          <w:p w14:paraId="1E13FCDE">
            <w:pPr>
              <w:jc w:val="center"/>
            </w:pPr>
            <w:r>
              <w:rPr>
                <w:rFonts w:ascii="宋体" w:hAnsi="宋体"/>
                <w:sz w:val="18"/>
              </w:rPr>
              <w:t>时效指标</w:t>
            </w:r>
          </w:p>
        </w:tc>
        <w:tc>
          <w:tcPr>
            <w:tcW w:w="1418" w:type="dxa"/>
            <w:tcBorders>
              <w:top w:val="nil"/>
              <w:left w:val="nil"/>
              <w:bottom w:val="single" w:color="auto" w:sz="4" w:space="0"/>
              <w:right w:val="single" w:color="auto" w:sz="4" w:space="0"/>
            </w:tcBorders>
            <w:shd w:val="clear" w:color="auto" w:fill="auto"/>
            <w:noWrap/>
            <w:vAlign w:val="center"/>
          </w:tcPr>
          <w:p w14:paraId="7FD8A04B">
            <w:pPr>
              <w:jc w:val="center"/>
            </w:pPr>
            <w:r>
              <w:rPr>
                <w:rFonts w:ascii="宋体" w:hAnsi="宋体"/>
                <w:sz w:val="18"/>
              </w:rPr>
              <w:t>本市居民身份证窗口办理时限天数</w:t>
            </w:r>
          </w:p>
        </w:tc>
        <w:tc>
          <w:tcPr>
            <w:tcW w:w="1134" w:type="dxa"/>
            <w:tcBorders>
              <w:top w:val="nil"/>
              <w:left w:val="nil"/>
              <w:bottom w:val="single" w:color="auto" w:sz="4" w:space="0"/>
              <w:right w:val="single" w:color="auto" w:sz="4" w:space="0"/>
            </w:tcBorders>
            <w:shd w:val="clear" w:color="auto" w:fill="auto"/>
            <w:noWrap/>
            <w:vAlign w:val="center"/>
          </w:tcPr>
          <w:p w14:paraId="348A60AC">
            <w:pPr>
              <w:jc w:val="center"/>
            </w:pPr>
            <w:r>
              <w:rPr>
                <w:rFonts w:ascii="宋体" w:hAnsi="宋体"/>
                <w:sz w:val="18"/>
              </w:rPr>
              <w:t>&lt;=10日</w:t>
            </w:r>
          </w:p>
        </w:tc>
        <w:tc>
          <w:tcPr>
            <w:tcW w:w="2126" w:type="dxa"/>
            <w:tcBorders>
              <w:top w:val="nil"/>
              <w:left w:val="nil"/>
              <w:bottom w:val="single" w:color="auto" w:sz="4" w:space="0"/>
              <w:right w:val="single" w:color="auto" w:sz="4" w:space="0"/>
            </w:tcBorders>
            <w:shd w:val="clear" w:color="auto" w:fill="auto"/>
            <w:noWrap/>
            <w:vAlign w:val="center"/>
          </w:tcPr>
          <w:p w14:paraId="3BAB710A">
            <w:pPr>
              <w:jc w:val="center"/>
            </w:pPr>
            <w:r>
              <w:rPr>
                <w:rFonts w:ascii="宋体" w:hAnsi="宋体"/>
                <w:sz w:val="18"/>
              </w:rPr>
              <w:t>政务服务大厅积极推进便民利企举措，为群众提供优质服务</w:t>
            </w:r>
          </w:p>
        </w:tc>
        <w:tc>
          <w:tcPr>
            <w:tcW w:w="1004" w:type="dxa"/>
            <w:tcBorders>
              <w:top w:val="nil"/>
              <w:left w:val="nil"/>
              <w:bottom w:val="single" w:color="auto" w:sz="4" w:space="0"/>
              <w:right w:val="single" w:color="auto" w:sz="4" w:space="0"/>
            </w:tcBorders>
            <w:shd w:val="clear" w:color="auto" w:fill="auto"/>
            <w:noWrap/>
            <w:vAlign w:val="center"/>
          </w:tcPr>
          <w:p w14:paraId="3B1C5C35">
            <w:pPr>
              <w:jc w:val="center"/>
            </w:pPr>
            <w:r>
              <w:rPr>
                <w:rFonts w:ascii="宋体" w:hAnsi="宋体"/>
                <w:sz w:val="18"/>
              </w:rPr>
              <w:t>10日</w:t>
            </w:r>
          </w:p>
        </w:tc>
        <w:tc>
          <w:tcPr>
            <w:tcW w:w="839" w:type="dxa"/>
            <w:tcBorders>
              <w:top w:val="nil"/>
              <w:left w:val="nil"/>
              <w:bottom w:val="single" w:color="auto" w:sz="4" w:space="0"/>
              <w:right w:val="single" w:color="auto" w:sz="4" w:space="0"/>
            </w:tcBorders>
            <w:shd w:val="clear" w:color="auto" w:fill="auto"/>
            <w:noWrap/>
            <w:vAlign w:val="center"/>
          </w:tcPr>
          <w:p w14:paraId="4A0A3359">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0460ABDC">
            <w:pPr>
              <w:jc w:val="center"/>
            </w:pPr>
            <w:r>
              <w:rPr>
                <w:rFonts w:ascii="宋体" w:hAnsi="宋体"/>
                <w:sz w:val="18"/>
              </w:rPr>
              <w:t>30</w:t>
            </w:r>
          </w:p>
        </w:tc>
      </w:tr>
      <w:tr w14:paraId="456B225C">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26BE0D8">
            <w:pPr>
              <w:widowControl/>
              <w:jc w:val="center"/>
              <w:rPr>
                <w:rFonts w:hint="eastAsia" w:ascii="宋体" w:hAnsi="宋体" w:cs="宋体"/>
                <w:kern w:val="0"/>
                <w:sz w:val="18"/>
                <w:szCs w:val="18"/>
              </w:rPr>
            </w:pPr>
          </w:p>
        </w:tc>
        <w:tc>
          <w:tcPr>
            <w:tcW w:w="1417" w:type="dxa"/>
            <w:vMerge w:val="restart"/>
            <w:tcBorders>
              <w:top w:val="nil"/>
              <w:left w:val="nil"/>
              <w:bottom w:val="single" w:color="auto" w:sz="4" w:space="0"/>
              <w:right w:val="single" w:color="auto" w:sz="4" w:space="0"/>
            </w:tcBorders>
            <w:shd w:val="clear" w:color="auto" w:fill="auto"/>
            <w:noWrap/>
            <w:vAlign w:val="center"/>
          </w:tcPr>
          <w:p w14:paraId="4F9D84E7">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690061DD">
            <w:pPr>
              <w:jc w:val="center"/>
            </w:pPr>
            <w:r>
              <w:rPr>
                <w:rFonts w:ascii="宋体" w:hAnsi="宋体"/>
                <w:sz w:val="18"/>
              </w:rPr>
              <w:t>基层政务服务乡镇片区承接事项个数</w:t>
            </w:r>
          </w:p>
        </w:tc>
        <w:tc>
          <w:tcPr>
            <w:tcW w:w="1134" w:type="dxa"/>
            <w:tcBorders>
              <w:top w:val="nil"/>
              <w:left w:val="nil"/>
              <w:bottom w:val="single" w:color="auto" w:sz="4" w:space="0"/>
              <w:right w:val="single" w:color="auto" w:sz="4" w:space="0"/>
            </w:tcBorders>
            <w:shd w:val="clear" w:color="auto" w:fill="auto"/>
            <w:noWrap/>
            <w:vAlign w:val="center"/>
          </w:tcPr>
          <w:p w14:paraId="4EB75438">
            <w:pPr>
              <w:jc w:val="center"/>
            </w:pPr>
            <w:r>
              <w:rPr>
                <w:rFonts w:ascii="宋体" w:hAnsi="宋体"/>
                <w:sz w:val="18"/>
              </w:rPr>
              <w:t>&gt;=89个</w:t>
            </w:r>
          </w:p>
        </w:tc>
        <w:tc>
          <w:tcPr>
            <w:tcW w:w="2126" w:type="dxa"/>
            <w:tcBorders>
              <w:top w:val="nil"/>
              <w:left w:val="nil"/>
              <w:bottom w:val="single" w:color="auto" w:sz="4" w:space="0"/>
              <w:right w:val="single" w:color="auto" w:sz="4" w:space="0"/>
            </w:tcBorders>
            <w:shd w:val="clear" w:color="auto" w:fill="auto"/>
            <w:noWrap/>
            <w:vAlign w:val="center"/>
          </w:tcPr>
          <w:p w14:paraId="6A26C8A0">
            <w:pPr>
              <w:jc w:val="center"/>
            </w:pPr>
            <w:r>
              <w:rPr>
                <w:rFonts w:ascii="宋体" w:hAnsi="宋体"/>
                <w:sz w:val="18"/>
              </w:rPr>
              <w:t>米东区政务服务管理局2023年工作要点</w:t>
            </w:r>
          </w:p>
        </w:tc>
        <w:tc>
          <w:tcPr>
            <w:tcW w:w="1004" w:type="dxa"/>
            <w:tcBorders>
              <w:top w:val="nil"/>
              <w:left w:val="nil"/>
              <w:bottom w:val="single" w:color="auto" w:sz="4" w:space="0"/>
              <w:right w:val="single" w:color="auto" w:sz="4" w:space="0"/>
            </w:tcBorders>
            <w:shd w:val="clear" w:color="auto" w:fill="auto"/>
            <w:noWrap/>
            <w:vAlign w:val="center"/>
          </w:tcPr>
          <w:p w14:paraId="6CEB8B9F">
            <w:pPr>
              <w:jc w:val="center"/>
            </w:pPr>
            <w:r>
              <w:rPr>
                <w:rFonts w:ascii="宋体" w:hAnsi="宋体"/>
                <w:sz w:val="18"/>
              </w:rPr>
              <w:t>89个</w:t>
            </w:r>
          </w:p>
        </w:tc>
        <w:tc>
          <w:tcPr>
            <w:tcW w:w="839" w:type="dxa"/>
            <w:tcBorders>
              <w:top w:val="nil"/>
              <w:left w:val="nil"/>
              <w:bottom w:val="single" w:color="auto" w:sz="4" w:space="0"/>
              <w:right w:val="single" w:color="auto" w:sz="4" w:space="0"/>
            </w:tcBorders>
            <w:shd w:val="clear" w:color="auto" w:fill="auto"/>
            <w:noWrap/>
            <w:vAlign w:val="center"/>
          </w:tcPr>
          <w:p w14:paraId="23584960">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0D03B009">
            <w:pPr>
              <w:jc w:val="center"/>
            </w:pPr>
            <w:r>
              <w:rPr>
                <w:rFonts w:ascii="宋体" w:hAnsi="宋体"/>
                <w:sz w:val="18"/>
              </w:rPr>
              <w:t>30</w:t>
            </w:r>
          </w:p>
        </w:tc>
      </w:tr>
      <w:tr w14:paraId="1DFB51F3">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A120C52">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616F8B04">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0F350182">
            <w:pPr>
              <w:jc w:val="center"/>
            </w:pPr>
            <w:r>
              <w:rPr>
                <w:rFonts w:ascii="宋体" w:hAnsi="宋体"/>
                <w:sz w:val="18"/>
              </w:rPr>
              <w:t>重点改革试点项目涉及部门个数</w:t>
            </w:r>
          </w:p>
        </w:tc>
        <w:tc>
          <w:tcPr>
            <w:tcW w:w="1134" w:type="dxa"/>
            <w:tcBorders>
              <w:top w:val="nil"/>
              <w:left w:val="nil"/>
              <w:bottom w:val="single" w:color="auto" w:sz="4" w:space="0"/>
              <w:right w:val="single" w:color="auto" w:sz="4" w:space="0"/>
            </w:tcBorders>
            <w:shd w:val="clear" w:color="auto" w:fill="auto"/>
            <w:noWrap/>
            <w:vAlign w:val="center"/>
          </w:tcPr>
          <w:p w14:paraId="7F877EA9">
            <w:pPr>
              <w:jc w:val="center"/>
            </w:pPr>
            <w:r>
              <w:rPr>
                <w:rFonts w:ascii="宋体" w:hAnsi="宋体"/>
                <w:sz w:val="18"/>
              </w:rPr>
              <w:t>&gt;=6个</w:t>
            </w:r>
          </w:p>
        </w:tc>
        <w:tc>
          <w:tcPr>
            <w:tcW w:w="2126" w:type="dxa"/>
            <w:tcBorders>
              <w:top w:val="nil"/>
              <w:left w:val="nil"/>
              <w:bottom w:val="single" w:color="auto" w:sz="4" w:space="0"/>
              <w:right w:val="single" w:color="auto" w:sz="4" w:space="0"/>
            </w:tcBorders>
            <w:shd w:val="clear" w:color="auto" w:fill="auto"/>
            <w:noWrap/>
            <w:vAlign w:val="center"/>
          </w:tcPr>
          <w:p w14:paraId="0C132092">
            <w:pPr>
              <w:jc w:val="center"/>
            </w:pPr>
            <w:r>
              <w:rPr>
                <w:rFonts w:ascii="宋体" w:hAnsi="宋体"/>
                <w:sz w:val="18"/>
              </w:rPr>
              <w:t>重点改革试点项目材料</w:t>
            </w:r>
          </w:p>
        </w:tc>
        <w:tc>
          <w:tcPr>
            <w:tcW w:w="1004" w:type="dxa"/>
            <w:tcBorders>
              <w:top w:val="nil"/>
              <w:left w:val="nil"/>
              <w:bottom w:val="single" w:color="auto" w:sz="4" w:space="0"/>
              <w:right w:val="single" w:color="auto" w:sz="4" w:space="0"/>
            </w:tcBorders>
            <w:shd w:val="clear" w:color="auto" w:fill="auto"/>
            <w:noWrap/>
            <w:vAlign w:val="center"/>
          </w:tcPr>
          <w:p w14:paraId="54D5283A">
            <w:pPr>
              <w:jc w:val="center"/>
            </w:pPr>
            <w:r>
              <w:rPr>
                <w:rFonts w:ascii="宋体" w:hAnsi="宋体"/>
                <w:sz w:val="18"/>
              </w:rPr>
              <w:t>6个</w:t>
            </w:r>
          </w:p>
        </w:tc>
        <w:tc>
          <w:tcPr>
            <w:tcW w:w="839" w:type="dxa"/>
            <w:tcBorders>
              <w:top w:val="nil"/>
              <w:left w:val="nil"/>
              <w:bottom w:val="single" w:color="auto" w:sz="4" w:space="0"/>
              <w:right w:val="single" w:color="auto" w:sz="4" w:space="0"/>
            </w:tcBorders>
            <w:shd w:val="clear" w:color="auto" w:fill="auto"/>
            <w:noWrap/>
            <w:vAlign w:val="center"/>
          </w:tcPr>
          <w:p w14:paraId="107512D6">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76606671">
            <w:pPr>
              <w:jc w:val="center"/>
            </w:pPr>
            <w:r>
              <w:rPr>
                <w:rFonts w:ascii="宋体" w:hAnsi="宋体"/>
                <w:sz w:val="18"/>
              </w:rPr>
              <w:t>30</w:t>
            </w:r>
          </w:p>
        </w:tc>
      </w:tr>
      <w:tr w14:paraId="47E53288">
        <w:tblPrEx>
          <w:tblCellMar>
            <w:top w:w="0" w:type="dxa"/>
            <w:left w:w="108" w:type="dxa"/>
            <w:bottom w:w="0" w:type="dxa"/>
            <w:right w:w="108" w:type="dxa"/>
          </w:tblCellMar>
        </w:tblPrEx>
        <w:trPr>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4D83A6A0">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14:paraId="4E9C2FAD">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58DDDABC">
            <w:pPr>
              <w:jc w:val="center"/>
            </w:pPr>
            <w:r>
              <w:rPr>
                <w:rFonts w:ascii="宋体" w:hAnsi="宋体"/>
                <w:sz w:val="18"/>
              </w:rPr>
              <w:t>99.68分</w:t>
            </w:r>
          </w:p>
        </w:tc>
      </w:tr>
      <w:bookmarkEnd w:id="30"/>
    </w:tbl>
    <w:p w14:paraId="5CC1DDBC">
      <w:pPr>
        <w:jc w:val="left"/>
        <w:rPr>
          <w:rFonts w:ascii="仿宋_GB2312" w:eastAsia="仿宋_GB2312"/>
          <w:sz w:val="32"/>
          <w:szCs w:val="32"/>
        </w:rPr>
      </w:pPr>
    </w:p>
    <w:p w14:paraId="09F6E039">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5F049A49">
      <w:pPr>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我单位本年资金紧张未购买办公用品及设备。因此政府采购金额支出为0.00万元。其中授予中小企业合同金额、授予小微企业合同金额为0.00万元。</w:t>
      </w:r>
    </w:p>
    <w:p w14:paraId="6300F076">
      <w:pPr>
        <w:jc w:val="center"/>
        <w:outlineLvl w:val="0"/>
        <w:rPr>
          <w:rFonts w:hint="eastAsia" w:ascii="黑体" w:hAnsi="黑体" w:eastAsia="黑体"/>
          <w:sz w:val="32"/>
          <w:szCs w:val="32"/>
        </w:rPr>
      </w:pPr>
      <w:bookmarkStart w:id="31" w:name="_Toc3250"/>
      <w:bookmarkStart w:id="32"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14:paraId="3615BFF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7B729CE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76F9536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5600A2F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7178481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2E71EE2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63C9FB5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56BC737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6A6E99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1C5CDAC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31425E69">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5A2CB29E">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7FCD3462">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E5F7D66">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305A9E2D">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1F730263">
      <w:pPr>
        <w:ind w:firstLine="640" w:firstLineChars="200"/>
        <w:outlineLvl w:val="1"/>
        <w:rPr>
          <w:rFonts w:hint="eastAsia" w:ascii="黑体" w:hAnsi="黑体" w:eastAsia="仿宋_GB2312" w:cs="宋体"/>
          <w:bCs/>
          <w:kern w:val="0"/>
          <w:sz w:val="32"/>
          <w:szCs w:val="32"/>
        </w:rPr>
      </w:pPr>
      <w:bookmarkStart w:id="33" w:name="_Toc6062"/>
      <w:bookmarkStart w:id="34" w:name="_Toc2183"/>
      <w:r>
        <w:rPr>
          <w:rFonts w:hint="eastAsia" w:ascii="黑体" w:hAnsi="黑体" w:eastAsia="仿宋_GB2312" w:cs="宋体"/>
          <w:bCs/>
          <w:kern w:val="0"/>
          <w:sz w:val="32"/>
          <w:szCs w:val="32"/>
        </w:rPr>
        <w:t>一、《收入支出决算总表》</w:t>
      </w:r>
      <w:bookmarkEnd w:id="33"/>
      <w:bookmarkEnd w:id="34"/>
    </w:p>
    <w:p w14:paraId="1A2F41DF">
      <w:pPr>
        <w:ind w:firstLine="640" w:firstLineChars="200"/>
        <w:outlineLvl w:val="1"/>
        <w:rPr>
          <w:rFonts w:hint="eastAsia" w:ascii="黑体" w:hAnsi="黑体" w:eastAsia="仿宋_GB2312" w:cs="宋体"/>
          <w:bCs/>
          <w:kern w:val="0"/>
          <w:sz w:val="32"/>
          <w:szCs w:val="32"/>
        </w:rPr>
      </w:pPr>
      <w:bookmarkStart w:id="35" w:name="_Toc24532"/>
      <w:bookmarkStart w:id="36" w:name="_Toc30364"/>
      <w:r>
        <w:rPr>
          <w:rFonts w:hint="eastAsia" w:ascii="黑体" w:hAnsi="黑体" w:eastAsia="仿宋_GB2312" w:cs="宋体"/>
          <w:bCs/>
          <w:kern w:val="0"/>
          <w:sz w:val="32"/>
          <w:szCs w:val="32"/>
        </w:rPr>
        <w:t>二、《收入决算表》</w:t>
      </w:r>
      <w:bookmarkEnd w:id="35"/>
      <w:bookmarkEnd w:id="36"/>
    </w:p>
    <w:p w14:paraId="21FEBA71">
      <w:pPr>
        <w:ind w:firstLine="640" w:firstLineChars="200"/>
        <w:outlineLvl w:val="1"/>
        <w:rPr>
          <w:rFonts w:hint="eastAsia" w:ascii="黑体" w:hAnsi="黑体" w:eastAsia="仿宋_GB2312" w:cs="宋体"/>
          <w:bCs/>
          <w:kern w:val="0"/>
          <w:sz w:val="32"/>
          <w:szCs w:val="32"/>
        </w:rPr>
      </w:pPr>
      <w:bookmarkStart w:id="37" w:name="_Toc32434"/>
      <w:bookmarkStart w:id="38" w:name="_Toc21304"/>
      <w:r>
        <w:rPr>
          <w:rFonts w:hint="eastAsia" w:ascii="黑体" w:hAnsi="黑体" w:eastAsia="仿宋_GB2312" w:cs="宋体"/>
          <w:bCs/>
          <w:kern w:val="0"/>
          <w:sz w:val="32"/>
          <w:szCs w:val="32"/>
        </w:rPr>
        <w:t>三、《支出决算表》</w:t>
      </w:r>
      <w:bookmarkEnd w:id="37"/>
      <w:bookmarkEnd w:id="38"/>
    </w:p>
    <w:p w14:paraId="44433DE5">
      <w:pPr>
        <w:ind w:firstLine="640" w:firstLineChars="200"/>
        <w:outlineLvl w:val="1"/>
        <w:rPr>
          <w:rFonts w:hint="eastAsia" w:ascii="黑体" w:hAnsi="黑体" w:eastAsia="仿宋_GB2312" w:cs="宋体"/>
          <w:bCs/>
          <w:kern w:val="0"/>
          <w:sz w:val="32"/>
          <w:szCs w:val="32"/>
        </w:rPr>
      </w:pPr>
      <w:bookmarkStart w:id="39" w:name="_Toc14238"/>
      <w:bookmarkStart w:id="40" w:name="_Toc28786"/>
      <w:r>
        <w:rPr>
          <w:rFonts w:hint="eastAsia" w:ascii="黑体" w:hAnsi="黑体" w:eastAsia="仿宋_GB2312" w:cs="宋体"/>
          <w:bCs/>
          <w:kern w:val="0"/>
          <w:sz w:val="32"/>
          <w:szCs w:val="32"/>
        </w:rPr>
        <w:t>四、《财政拨款收入支出决算总表》</w:t>
      </w:r>
      <w:bookmarkEnd w:id="39"/>
      <w:bookmarkEnd w:id="40"/>
    </w:p>
    <w:p w14:paraId="62AA408C">
      <w:pPr>
        <w:ind w:firstLine="640" w:firstLineChars="200"/>
        <w:outlineLvl w:val="1"/>
        <w:rPr>
          <w:rFonts w:hint="eastAsia" w:ascii="黑体" w:hAnsi="黑体" w:eastAsia="仿宋_GB2312" w:cs="宋体"/>
          <w:bCs/>
          <w:kern w:val="0"/>
          <w:sz w:val="32"/>
          <w:szCs w:val="32"/>
        </w:rPr>
      </w:pPr>
      <w:bookmarkStart w:id="41" w:name="_Toc10347"/>
      <w:bookmarkStart w:id="42" w:name="_Toc14869"/>
      <w:r>
        <w:rPr>
          <w:rFonts w:hint="eastAsia" w:ascii="黑体" w:hAnsi="黑体" w:eastAsia="仿宋_GB2312" w:cs="宋体"/>
          <w:bCs/>
          <w:kern w:val="0"/>
          <w:sz w:val="32"/>
          <w:szCs w:val="32"/>
        </w:rPr>
        <w:t>五、《一般公共预算财政拨款支出决算表》</w:t>
      </w:r>
      <w:bookmarkEnd w:id="41"/>
      <w:bookmarkEnd w:id="42"/>
    </w:p>
    <w:p w14:paraId="387B2A34">
      <w:pPr>
        <w:ind w:firstLine="640" w:firstLineChars="200"/>
        <w:outlineLvl w:val="1"/>
        <w:rPr>
          <w:rFonts w:hint="eastAsia" w:ascii="黑体" w:hAnsi="黑体" w:eastAsia="仿宋_GB2312" w:cs="宋体"/>
          <w:bCs/>
          <w:kern w:val="0"/>
          <w:sz w:val="32"/>
          <w:szCs w:val="32"/>
        </w:rPr>
      </w:pPr>
      <w:bookmarkStart w:id="43" w:name="_Toc5626"/>
      <w:bookmarkStart w:id="44" w:name="_Toc8884"/>
      <w:r>
        <w:rPr>
          <w:rFonts w:hint="eastAsia" w:ascii="黑体" w:hAnsi="黑体" w:eastAsia="仿宋_GB2312" w:cs="宋体"/>
          <w:bCs/>
          <w:kern w:val="0"/>
          <w:sz w:val="32"/>
          <w:szCs w:val="32"/>
        </w:rPr>
        <w:t>六、《一般公共预算财政拨款基本支出决算表》</w:t>
      </w:r>
      <w:bookmarkEnd w:id="43"/>
      <w:bookmarkEnd w:id="44"/>
    </w:p>
    <w:p w14:paraId="680EE395">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32663"/>
      <w:bookmarkStart w:id="46" w:name="_Toc29106"/>
      <w:r>
        <w:rPr>
          <w:rFonts w:hint="eastAsia" w:ascii="黑体" w:hAnsi="黑体" w:eastAsia="仿宋_GB2312" w:cs="宋体"/>
          <w:bCs/>
          <w:kern w:val="0"/>
          <w:sz w:val="32"/>
          <w:szCs w:val="32"/>
        </w:rPr>
        <w:t>《财政拨款“三公”经费支出决算表》</w:t>
      </w:r>
      <w:bookmarkEnd w:id="45"/>
      <w:bookmarkEnd w:id="46"/>
    </w:p>
    <w:p w14:paraId="1E3DAB0A">
      <w:pPr>
        <w:ind w:firstLine="640" w:firstLineChars="200"/>
        <w:outlineLvl w:val="1"/>
        <w:rPr>
          <w:rFonts w:hint="eastAsia" w:ascii="黑体" w:hAnsi="黑体" w:eastAsia="仿宋_GB2312" w:cs="宋体"/>
          <w:bCs/>
          <w:kern w:val="0"/>
          <w:sz w:val="32"/>
          <w:szCs w:val="32"/>
        </w:rPr>
      </w:pPr>
      <w:bookmarkStart w:id="47" w:name="_Toc5453"/>
      <w:bookmarkStart w:id="48" w:name="_Toc7643"/>
      <w:r>
        <w:rPr>
          <w:rFonts w:hint="eastAsia" w:ascii="黑体" w:hAnsi="黑体" w:eastAsia="仿宋_GB2312" w:cs="宋体"/>
          <w:bCs/>
          <w:kern w:val="0"/>
          <w:sz w:val="32"/>
          <w:szCs w:val="32"/>
        </w:rPr>
        <w:t>八、《政府性基金预算财政拨款收入支出决算表》</w:t>
      </w:r>
      <w:bookmarkEnd w:id="47"/>
      <w:bookmarkEnd w:id="48"/>
    </w:p>
    <w:p w14:paraId="3ED7654A">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6855ACBC">
      <w:pPr>
        <w:ind w:firstLine="640" w:firstLineChars="200"/>
        <w:rPr>
          <w:rFonts w:ascii="仿宋_GB2312" w:eastAsia="仿宋_GB2312"/>
          <w:sz w:val="32"/>
          <w:szCs w:val="32"/>
        </w:rPr>
      </w:pPr>
    </w:p>
    <w:p w14:paraId="39D094DE">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497C87">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C1DAEC3">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6C1DAEC3">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9B5BD5"/>
    <w:rsid w:val="000161A2"/>
    <w:rsid w:val="0020383B"/>
    <w:rsid w:val="00213C59"/>
    <w:rsid w:val="003210CE"/>
    <w:rsid w:val="00456EB3"/>
    <w:rsid w:val="005C38B9"/>
    <w:rsid w:val="009B5BD5"/>
    <w:rsid w:val="00B70D59"/>
    <w:rsid w:val="00BC0D49"/>
    <w:rsid w:val="00CC004A"/>
    <w:rsid w:val="00DE3A9F"/>
    <w:rsid w:val="00E018EA"/>
    <w:rsid w:val="00F52A8D"/>
    <w:rsid w:val="00F72EE7"/>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1155C"/>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1123</Words>
  <Characters>6402</Characters>
  <Lines>53</Lines>
  <Paragraphs>15</Paragraphs>
  <TotalTime>23</TotalTime>
  <ScaleCrop>false</ScaleCrop>
  <LinksUpToDate>false</LinksUpToDate>
  <CharactersWithSpaces>7510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2024-11-19T09:25:13Z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D624B15633CD43C8BF9435464A96BF70</vt:lpwstr>
  </property>
</Properties>
</file>