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乌鲁木齐市米东区文化体育广播电视和</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旅游局2023年度部门决算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（一）贯彻执行国家、自治区和我市有关文化、体育、广播、电视和旅游工作方针、政策和法规、法律，起草有关政策措施，并组织实施；把握正确的舆论导向和创作导向，实施旅游兴疆战略。</w:t>
      </w:r>
    </w:p>
    <w:p>
      <w:pPr>
        <w:ind w:firstLine="640" w:firstLineChars="200"/>
        <w:rPr>
          <w:rFonts w:ascii="仿宋_GB2312" w:eastAsia="仿宋_GB2312"/>
          <w:sz w:val="32"/>
          <w:szCs w:val="32"/>
        </w:rPr>
      </w:pPr>
      <w:r>
        <w:rPr>
          <w:rFonts w:hint="eastAsia" w:ascii="仿宋_GB2312" w:eastAsia="仿宋_GB2312"/>
          <w:sz w:val="32"/>
          <w:szCs w:val="32"/>
        </w:rPr>
        <w:t>（二）统筹文化事业、文化产业和旅游业振兴发展，拟定文化和旅游发展中长期规划、年度计划，并组织实施和监督检查；推进文化和旅游创作新绿色融合发展，实施“文化和旅游+”；推进文化和旅游体制机制改革。</w:t>
      </w:r>
    </w:p>
    <w:p>
      <w:pPr>
        <w:ind w:firstLine="640" w:firstLineChars="200"/>
        <w:rPr>
          <w:rFonts w:ascii="仿宋_GB2312" w:eastAsia="仿宋_GB2312"/>
          <w:sz w:val="32"/>
          <w:szCs w:val="32"/>
        </w:rPr>
      </w:pPr>
      <w:r>
        <w:rPr>
          <w:rFonts w:hint="eastAsia" w:ascii="仿宋_GB2312" w:eastAsia="仿宋_GB2312"/>
          <w:sz w:val="32"/>
          <w:szCs w:val="32"/>
        </w:rPr>
        <w:t>（三）管理全区重大文化和旅游活动；指导重点文化和旅游设施建设，组织文化和旅游整体形象推广；拟定旅游市场开发战略并组织实施；统筹文化和旅游景区管理，指导重要文化旅游产品的开发及推广。</w:t>
      </w:r>
    </w:p>
    <w:p>
      <w:pPr>
        <w:ind w:firstLine="640" w:firstLineChars="200"/>
        <w:rPr>
          <w:rFonts w:ascii="仿宋_GB2312" w:eastAsia="仿宋_GB2312"/>
          <w:sz w:val="32"/>
          <w:szCs w:val="32"/>
        </w:rPr>
      </w:pPr>
      <w:r>
        <w:rPr>
          <w:rFonts w:hint="eastAsia" w:ascii="仿宋_GB2312" w:eastAsia="仿宋_GB2312"/>
          <w:sz w:val="32"/>
          <w:szCs w:val="32"/>
        </w:rPr>
        <w:t>（四）指导管理文艺事业；指导文艺作品的创作、生产、评论和研究，扶持坚守中华文化立场、体现社会主义核心价值观、具有导向性代表性示范的文艺作品，推动各门类艺术、各艺术品种发展。</w:t>
      </w:r>
    </w:p>
    <w:p>
      <w:pPr>
        <w:ind w:firstLine="640" w:firstLineChars="200"/>
        <w:rPr>
          <w:rFonts w:ascii="仿宋_GB2312" w:eastAsia="仿宋_GB2312"/>
          <w:sz w:val="32"/>
          <w:szCs w:val="32"/>
        </w:rPr>
      </w:pPr>
      <w:r>
        <w:rPr>
          <w:rFonts w:hint="eastAsia" w:ascii="仿宋_GB2312" w:eastAsia="仿宋_GB2312"/>
          <w:sz w:val="32"/>
          <w:szCs w:val="32"/>
        </w:rPr>
        <w:t>（五）负责公共文化事业发展，推进我区公共文化服务体系建设和旅游公共服务建设，深入实施文化惠民工程，指导基层文化建设，统筹推进基本公共文化服务标准化、均等化。</w:t>
      </w:r>
    </w:p>
    <w:p>
      <w:pPr>
        <w:ind w:firstLine="640" w:firstLineChars="200"/>
        <w:rPr>
          <w:rFonts w:ascii="仿宋_GB2312" w:eastAsia="仿宋_GB2312"/>
          <w:sz w:val="32"/>
          <w:szCs w:val="32"/>
        </w:rPr>
      </w:pPr>
      <w:r>
        <w:rPr>
          <w:rFonts w:hint="eastAsia" w:ascii="仿宋_GB2312" w:eastAsia="仿宋_GB2312"/>
          <w:sz w:val="32"/>
          <w:szCs w:val="32"/>
        </w:rPr>
        <w:t>（六）指导、推进文化和旅游科技创新应用研究，推广文化和旅游科技成果，推进文化和旅游信息化建设。</w:t>
      </w:r>
    </w:p>
    <w:p>
      <w:pPr>
        <w:ind w:firstLine="640" w:firstLineChars="200"/>
        <w:rPr>
          <w:rFonts w:ascii="仿宋_GB2312" w:eastAsia="仿宋_GB2312"/>
          <w:sz w:val="32"/>
          <w:szCs w:val="32"/>
        </w:rPr>
      </w:pPr>
      <w:r>
        <w:rPr>
          <w:rFonts w:hint="eastAsia" w:ascii="仿宋_GB2312" w:eastAsia="仿宋_GB2312"/>
          <w:sz w:val="32"/>
          <w:szCs w:val="32"/>
        </w:rPr>
        <w:t>（七）负责非物质文化遗产保护和研究，推动非物质文化遗产的保护、传承、普及、弘扬和振兴。</w:t>
      </w:r>
    </w:p>
    <w:p>
      <w:pPr>
        <w:ind w:firstLine="640" w:firstLineChars="200"/>
        <w:rPr>
          <w:rFonts w:ascii="仿宋_GB2312" w:eastAsia="仿宋_GB2312"/>
          <w:sz w:val="32"/>
          <w:szCs w:val="32"/>
        </w:rPr>
      </w:pPr>
      <w:r>
        <w:rPr>
          <w:rFonts w:hint="eastAsia" w:ascii="仿宋_GB2312" w:eastAsia="仿宋_GB2312"/>
          <w:sz w:val="32"/>
          <w:szCs w:val="32"/>
        </w:rPr>
        <w:t>（八）统筹规划文化和旅游产业，组织实施我区文化和旅游资源普查、挖掘、保护与利用工作，引导文化和旅游产业的社会投资和利用外资工作，推动文化产业和旅游产业投融资体系建设；承担特种旅游、红色旅游、特色旅游等旅游项目的规划及相关管理工作；监督旅游产业经济运行，负责旅游统计分析和信息发布工作，结合乡村振兴战略，推进文化和旅游扶贫。</w:t>
      </w:r>
    </w:p>
    <w:p>
      <w:pPr>
        <w:ind w:firstLine="640" w:firstLineChars="200"/>
        <w:rPr>
          <w:rFonts w:ascii="仿宋_GB2312" w:eastAsia="仿宋_GB2312"/>
          <w:sz w:val="32"/>
          <w:szCs w:val="32"/>
        </w:rPr>
      </w:pPr>
      <w:r>
        <w:rPr>
          <w:rFonts w:hint="eastAsia" w:ascii="仿宋_GB2312" w:eastAsia="仿宋_GB2312"/>
          <w:sz w:val="32"/>
          <w:szCs w:val="32"/>
        </w:rPr>
        <w:t>（九）指导文化和旅游市场发展，对文化和旅游市场经营进行行业监管；在权限范围内，开展A级旅游景点、星级旅游饭店、星级农家乐，S级滑雪场的评定工作；推进文化和旅游行业信用体系建设，依法规范文化和旅游市场，研究文化和旅游市场发展态势，引导文化和旅游市场经营方向。</w:t>
      </w:r>
    </w:p>
    <w:p>
      <w:pPr>
        <w:ind w:firstLine="640" w:firstLineChars="200"/>
        <w:rPr>
          <w:rFonts w:ascii="仿宋_GB2312" w:eastAsia="仿宋_GB2312"/>
          <w:sz w:val="32"/>
          <w:szCs w:val="32"/>
        </w:rPr>
      </w:pPr>
      <w:r>
        <w:rPr>
          <w:rFonts w:hint="eastAsia" w:ascii="仿宋_GB2312" w:eastAsia="仿宋_GB2312"/>
          <w:sz w:val="32"/>
          <w:szCs w:val="32"/>
        </w:rPr>
        <w:t>（十）负责文化和旅游安全的综合协调与监督管理，指导文化和旅游应急救援工作；负责文化和旅游行业安全生产监督管理工作。</w:t>
      </w:r>
    </w:p>
    <w:p>
      <w:pPr>
        <w:ind w:firstLine="640" w:firstLineChars="200"/>
        <w:rPr>
          <w:rFonts w:ascii="仿宋_GB2312" w:eastAsia="仿宋_GB2312"/>
          <w:sz w:val="32"/>
          <w:szCs w:val="32"/>
        </w:rPr>
      </w:pPr>
      <w:r>
        <w:rPr>
          <w:rFonts w:hint="eastAsia" w:ascii="仿宋_GB2312" w:eastAsia="仿宋_GB2312"/>
          <w:sz w:val="32"/>
          <w:szCs w:val="32"/>
        </w:rPr>
        <w:t>（十一）指导统筹文物工作；负责文物保护管理、抢救发掘、研究宣传等工作。</w:t>
      </w:r>
    </w:p>
    <w:p>
      <w:pPr>
        <w:ind w:firstLine="640" w:firstLineChars="200"/>
        <w:rPr>
          <w:rFonts w:ascii="仿宋_GB2312" w:eastAsia="仿宋_GB2312"/>
          <w:sz w:val="32"/>
          <w:szCs w:val="32"/>
        </w:rPr>
      </w:pPr>
      <w:r>
        <w:rPr>
          <w:rFonts w:hint="eastAsia" w:ascii="仿宋_GB2312" w:eastAsia="仿宋_GB2312"/>
          <w:sz w:val="32"/>
          <w:szCs w:val="32"/>
        </w:rPr>
        <w:t>（十二）负责多元化体育服务体系建设，推进体育公共服务和体育</w:t>
      </w:r>
      <w:bookmarkStart w:id="48" w:name="_GoBack"/>
      <w:bookmarkEnd w:id="48"/>
      <w:r>
        <w:rPr>
          <w:rFonts w:hint="eastAsia" w:ascii="仿宋_GB2312" w:eastAsia="仿宋_GB2312"/>
          <w:sz w:val="32"/>
          <w:szCs w:val="32"/>
          <w:lang w:eastAsia="zh-CN"/>
        </w:rPr>
        <w:t>体制改革</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（十三）负责组织实施全民健身计划，监督实施国家体育锻炼标准，开展全民体质监测；负责组织开展和指导我区安全群众体育活动，推动体育社会化；负责社会体育指导员队伍建设工作。</w:t>
      </w:r>
    </w:p>
    <w:p>
      <w:pPr>
        <w:ind w:firstLine="640" w:firstLineChars="200"/>
        <w:rPr>
          <w:rFonts w:ascii="仿宋_GB2312" w:eastAsia="仿宋_GB2312"/>
          <w:sz w:val="32"/>
          <w:szCs w:val="32"/>
        </w:rPr>
      </w:pPr>
      <w:r>
        <w:rPr>
          <w:rFonts w:hint="eastAsia" w:ascii="仿宋_GB2312" w:eastAsia="仿宋_GB2312"/>
          <w:sz w:val="32"/>
          <w:szCs w:val="32"/>
        </w:rPr>
        <w:t>（十四）负责组织参加和承办全国、自治区和我市体育竞赛活动；指导体育运动队伍建设，协调运动员社会保障工作。</w:t>
      </w:r>
    </w:p>
    <w:p>
      <w:pPr>
        <w:ind w:firstLine="640" w:firstLineChars="200"/>
        <w:rPr>
          <w:rFonts w:ascii="仿宋_GB2312" w:eastAsia="仿宋_GB2312"/>
          <w:sz w:val="32"/>
          <w:szCs w:val="32"/>
        </w:rPr>
      </w:pPr>
      <w:r>
        <w:rPr>
          <w:rFonts w:hint="eastAsia" w:ascii="仿宋_GB2312" w:eastAsia="仿宋_GB2312"/>
          <w:sz w:val="32"/>
          <w:szCs w:val="32"/>
        </w:rPr>
        <w:t>（十五）开展对外体育合作与交流，指导民间体育交流活动，指导体育科技研究及其成果的推广应用。</w:t>
      </w:r>
    </w:p>
    <w:p>
      <w:pPr>
        <w:ind w:firstLine="640" w:firstLineChars="200"/>
        <w:rPr>
          <w:rFonts w:ascii="仿宋_GB2312" w:eastAsia="仿宋_GB2312"/>
          <w:sz w:val="32"/>
          <w:szCs w:val="32"/>
        </w:rPr>
      </w:pPr>
      <w:r>
        <w:rPr>
          <w:rFonts w:hint="eastAsia" w:ascii="仿宋_GB2312" w:eastAsia="仿宋_GB2312"/>
          <w:sz w:val="32"/>
          <w:szCs w:val="32"/>
        </w:rPr>
        <w:t>（十六）负责培育和发展体育市场，规范体育经营活动，参与拟订体育设施布局规划，指导全区体育产业发展和公共体育设施建设管理工作；负责体育行业安全生产监督管理工作。</w:t>
      </w:r>
    </w:p>
    <w:p>
      <w:pPr>
        <w:ind w:firstLine="640" w:firstLineChars="200"/>
        <w:rPr>
          <w:rFonts w:ascii="仿宋_GB2312" w:eastAsia="仿宋_GB2312"/>
          <w:sz w:val="32"/>
          <w:szCs w:val="32"/>
        </w:rPr>
      </w:pPr>
      <w:r>
        <w:rPr>
          <w:rFonts w:hint="eastAsia" w:ascii="仿宋_GB2312" w:eastAsia="仿宋_GB2312"/>
          <w:sz w:val="32"/>
          <w:szCs w:val="32"/>
        </w:rPr>
        <w:t>（十七）指导推进青少年体育工作；指导体育社会团体有关工作。</w:t>
      </w:r>
    </w:p>
    <w:p>
      <w:pPr>
        <w:ind w:firstLine="640" w:firstLineChars="200"/>
        <w:rPr>
          <w:rFonts w:ascii="仿宋_GB2312" w:eastAsia="仿宋_GB2312"/>
          <w:sz w:val="32"/>
          <w:szCs w:val="32"/>
        </w:rPr>
      </w:pPr>
      <w:r>
        <w:rPr>
          <w:rFonts w:hint="eastAsia" w:ascii="仿宋_GB2312" w:eastAsia="仿宋_GB2312"/>
          <w:sz w:val="32"/>
          <w:szCs w:val="32"/>
        </w:rPr>
        <w:t>（十八）负责落实广播电视、网络视听节目行业标准并组织实施和监督检查。</w:t>
      </w:r>
    </w:p>
    <w:p>
      <w:pPr>
        <w:ind w:firstLine="640" w:firstLineChars="200"/>
        <w:rPr>
          <w:rFonts w:ascii="仿宋_GB2312" w:eastAsia="仿宋_GB2312"/>
          <w:sz w:val="32"/>
          <w:szCs w:val="32"/>
        </w:rPr>
      </w:pPr>
      <w:r>
        <w:rPr>
          <w:rFonts w:hint="eastAsia" w:ascii="仿宋_GB2312" w:eastAsia="仿宋_GB2312"/>
          <w:sz w:val="32"/>
          <w:szCs w:val="32"/>
        </w:rPr>
        <w:t>（十九）编制广播电视领域事业发展规划，组织实施公共服务重大公益工程和公益活动，指导、监督广播电视重点基础设施建设。</w:t>
      </w:r>
    </w:p>
    <w:p>
      <w:pPr>
        <w:ind w:firstLine="640" w:firstLineChars="200"/>
        <w:rPr>
          <w:rFonts w:ascii="仿宋_GB2312" w:eastAsia="仿宋_GB2312"/>
          <w:sz w:val="32"/>
          <w:szCs w:val="32"/>
        </w:rPr>
      </w:pPr>
      <w:r>
        <w:rPr>
          <w:rFonts w:hint="eastAsia" w:ascii="仿宋_GB2312" w:eastAsia="仿宋_GB2312"/>
          <w:sz w:val="32"/>
          <w:szCs w:val="32"/>
        </w:rPr>
        <w:t>（二十）指导、协调、推动广播电视领域产业发展，制定发展规划、产业政策并组织实施。</w:t>
      </w:r>
    </w:p>
    <w:p>
      <w:pPr>
        <w:ind w:firstLine="640" w:firstLineChars="200"/>
        <w:rPr>
          <w:rFonts w:ascii="仿宋_GB2312" w:eastAsia="仿宋_GB2312"/>
          <w:sz w:val="32"/>
          <w:szCs w:val="32"/>
        </w:rPr>
      </w:pPr>
      <w:r>
        <w:rPr>
          <w:rFonts w:hint="eastAsia" w:ascii="仿宋_GB2312" w:eastAsia="仿宋_GB2312"/>
          <w:sz w:val="32"/>
          <w:szCs w:val="32"/>
        </w:rPr>
        <w:t>（二十一）负责对各类广播电视机构进行业务指导和行业监管，会同有关部门对网络视听节目服务机构进行管理，实施依法设定的行政许可，组织查处重大违法违规行为。</w:t>
      </w:r>
    </w:p>
    <w:p>
      <w:pPr>
        <w:ind w:firstLine="640" w:firstLineChars="200"/>
        <w:rPr>
          <w:rFonts w:ascii="仿宋_GB2312" w:eastAsia="仿宋_GB2312"/>
          <w:sz w:val="32"/>
          <w:szCs w:val="32"/>
        </w:rPr>
      </w:pPr>
      <w:r>
        <w:rPr>
          <w:rFonts w:hint="eastAsia" w:ascii="仿宋_GB2312" w:eastAsia="仿宋_GB2312"/>
          <w:sz w:val="32"/>
          <w:szCs w:val="32"/>
        </w:rPr>
        <w:t>（二十二）监督管理、审查广播电视节目、网络视听节目的内容和质量，协调和推动少数民族广播电视精品创作生产；指导监督广播电视广告播放；负责对境外卫星电视节目接收的监管。</w:t>
      </w:r>
    </w:p>
    <w:p>
      <w:pPr>
        <w:ind w:firstLine="640" w:firstLineChars="200"/>
        <w:rPr>
          <w:rFonts w:ascii="仿宋_GB2312" w:eastAsia="仿宋_GB2312"/>
          <w:sz w:val="32"/>
          <w:szCs w:val="32"/>
        </w:rPr>
      </w:pPr>
      <w:r>
        <w:rPr>
          <w:rFonts w:hint="eastAsia" w:ascii="仿宋_GB2312" w:eastAsia="仿宋_GB2312"/>
          <w:sz w:val="32"/>
          <w:szCs w:val="32"/>
        </w:rPr>
        <w:t>（二十三）指导、协调广播电视全区性重大宣传活动，指导实施广播电视节目评价工作。</w:t>
      </w:r>
    </w:p>
    <w:p>
      <w:pPr>
        <w:ind w:firstLine="640" w:firstLineChars="200"/>
        <w:rPr>
          <w:rFonts w:ascii="仿宋_GB2312" w:eastAsia="仿宋_GB2312"/>
          <w:sz w:val="32"/>
          <w:szCs w:val="32"/>
        </w:rPr>
      </w:pPr>
      <w:r>
        <w:rPr>
          <w:rFonts w:hint="eastAsia" w:ascii="仿宋_GB2312" w:eastAsia="仿宋_GB2312"/>
          <w:sz w:val="32"/>
          <w:szCs w:val="32"/>
        </w:rPr>
        <w:t>（二十四）协调、推进广播电视与新媒体新技术新业态融合发展，推进广播电视网与电信、互联网三网融合。</w:t>
      </w:r>
    </w:p>
    <w:p>
      <w:pPr>
        <w:ind w:firstLine="640" w:firstLineChars="200"/>
        <w:rPr>
          <w:rFonts w:ascii="仿宋_GB2312" w:eastAsia="仿宋_GB2312"/>
          <w:sz w:val="32"/>
          <w:szCs w:val="32"/>
        </w:rPr>
      </w:pPr>
      <w:r>
        <w:rPr>
          <w:rFonts w:hint="eastAsia" w:ascii="仿宋_GB2312" w:eastAsia="仿宋_GB2312"/>
          <w:sz w:val="32"/>
          <w:szCs w:val="32"/>
        </w:rPr>
        <w:t>（二十五）组织定制广播电视科技发展规划，落实相关政策和行业技术标准并组织实施和监督检查；负责对广播电视节目传输覆盖、监测和安全播出进行监督；指导、推进应急广播体系建设；指导、协调广播电视系统安全和保卫工作。</w:t>
      </w:r>
    </w:p>
    <w:p>
      <w:pPr>
        <w:ind w:firstLine="640" w:firstLineChars="200"/>
        <w:rPr>
          <w:rFonts w:ascii="仿宋_GB2312" w:eastAsia="仿宋_GB2312"/>
          <w:sz w:val="32"/>
          <w:szCs w:val="32"/>
        </w:rPr>
      </w:pPr>
      <w:r>
        <w:rPr>
          <w:rFonts w:hint="eastAsia" w:ascii="仿宋_GB2312" w:eastAsia="仿宋_GB2312"/>
          <w:sz w:val="32"/>
          <w:szCs w:val="32"/>
        </w:rPr>
        <w:t>（二十六）负责组织实施和推进城乡广播电视公共服务体系建设，指导、推进广播电视公共服务标准化、均等化发展；负责广播电视“村村通、户户通”覆盖、维护和管理工作。</w:t>
      </w:r>
    </w:p>
    <w:p>
      <w:pPr>
        <w:ind w:firstLine="640" w:firstLineChars="200"/>
        <w:rPr>
          <w:rFonts w:ascii="仿宋_GB2312" w:eastAsia="仿宋_GB2312"/>
          <w:sz w:val="32"/>
          <w:szCs w:val="32"/>
        </w:rPr>
      </w:pPr>
      <w:r>
        <w:rPr>
          <w:rFonts w:hint="eastAsia" w:ascii="仿宋_GB2312" w:eastAsia="仿宋_GB2312"/>
          <w:sz w:val="32"/>
          <w:szCs w:val="32"/>
        </w:rPr>
        <w:t>（二十七）指导广播电视、网络视听行业人才队伍建设。</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乌鲁木齐市米东区文化体育广播电视和旅游局2023年度，实有人数</w:t>
      </w:r>
      <w:r>
        <w:rPr>
          <w:rFonts w:hint="eastAsia" w:ascii="仿宋_GB2312" w:eastAsia="仿宋_GB2312"/>
          <w:sz w:val="32"/>
          <w:szCs w:val="32"/>
          <w:lang w:val="zh-CN"/>
        </w:rPr>
        <w:t>44</w:t>
      </w:r>
      <w:r>
        <w:rPr>
          <w:rFonts w:hint="eastAsia" w:ascii="仿宋_GB2312" w:eastAsia="仿宋_GB2312"/>
          <w:sz w:val="32"/>
          <w:szCs w:val="32"/>
        </w:rPr>
        <w:t>人，其中：在职人员</w:t>
      </w:r>
      <w:r>
        <w:rPr>
          <w:rFonts w:hint="eastAsia" w:ascii="仿宋_GB2312" w:eastAsia="仿宋_GB2312"/>
          <w:sz w:val="32"/>
          <w:szCs w:val="32"/>
          <w:lang w:val="zh-CN"/>
        </w:rPr>
        <w:t>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37</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rPr>
        <w:t>党政办、文化办、旅游办、体育办、综合办、财务室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2023年度收入总计878.32万元，其中：本年收入合计807.84万元，使用非财政拨款结余0.00万元，年初结转和结余70.48万元。</w:t>
      </w:r>
    </w:p>
    <w:p>
      <w:pPr>
        <w:ind w:firstLine="640" w:firstLineChars="200"/>
        <w:rPr>
          <w:rFonts w:ascii="仿宋_GB2312" w:eastAsia="仿宋_GB2312"/>
          <w:sz w:val="32"/>
          <w:szCs w:val="32"/>
        </w:rPr>
      </w:pPr>
      <w:r>
        <w:rPr>
          <w:rFonts w:hint="eastAsia" w:ascii="仿宋_GB2312" w:eastAsia="仿宋_GB2312"/>
          <w:sz w:val="32"/>
          <w:szCs w:val="32"/>
        </w:rPr>
        <w:t>2023年度支出总计878.32万元，其中：本年支出合计807.84万元，结余分配0.00万元，年末结转和结余70.48万元。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增加427.11万元</w:t>
      </w:r>
      <w:r>
        <w:rPr>
          <w:rFonts w:hint="eastAsia" w:ascii="仿宋_GB2312" w:eastAsia="仿宋_GB2312"/>
          <w:sz w:val="32"/>
          <w:szCs w:val="32"/>
        </w:rPr>
        <w:t>，增长94.66%，主要原因是：单位本年旅游厕所建设项目经费增加，红光山灯光秀及冰雪雕项目经费增加。</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本年收入807.84万元，其中：财政拨款收入</w:t>
      </w:r>
      <w:r>
        <w:rPr>
          <w:rFonts w:hint="eastAsia" w:ascii="仿宋_GB2312" w:eastAsia="仿宋_GB2312"/>
          <w:sz w:val="32"/>
          <w:szCs w:val="32"/>
          <w:lang w:val="zh-CN"/>
        </w:rPr>
        <w:t>807.84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本年支出807.84万元，其中：基本支出538.13万元，占66.61%；项目支出269.71万元，占33.39%；上缴上级支出0.00万元，占0.00%；经营支出0.00万元，占0.00%；对附属单位补助支出0.00万元，占0.00%。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878.32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70.48</w:t>
      </w:r>
      <w:r>
        <w:rPr>
          <w:rFonts w:hint="eastAsia" w:ascii="仿宋_GB2312" w:eastAsia="仿宋_GB2312"/>
          <w:sz w:val="32"/>
          <w:szCs w:val="32"/>
        </w:rPr>
        <w:t>万元，本年财政拨款收入</w:t>
      </w:r>
      <w:r>
        <w:rPr>
          <w:rFonts w:hint="eastAsia" w:ascii="仿宋_GB2312" w:eastAsia="仿宋_GB2312"/>
          <w:sz w:val="32"/>
          <w:szCs w:val="32"/>
          <w:lang w:val="zh-CN"/>
        </w:rPr>
        <w:t>807.84</w:t>
      </w:r>
      <w:r>
        <w:rPr>
          <w:rFonts w:hint="eastAsia" w:ascii="仿宋_GB2312" w:eastAsia="仿宋_GB2312"/>
          <w:sz w:val="32"/>
          <w:szCs w:val="32"/>
        </w:rPr>
        <w:t>万元。财政拨款支出总计</w:t>
      </w:r>
      <w:r>
        <w:rPr>
          <w:rFonts w:hint="eastAsia" w:ascii="仿宋_GB2312" w:eastAsia="仿宋_GB2312"/>
          <w:sz w:val="32"/>
          <w:szCs w:val="32"/>
          <w:lang w:val="zh-CN"/>
        </w:rPr>
        <w:t>878.32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70.48</w:t>
      </w:r>
      <w:r>
        <w:rPr>
          <w:rFonts w:hint="eastAsia" w:ascii="仿宋_GB2312" w:eastAsia="仿宋_GB2312"/>
          <w:sz w:val="32"/>
          <w:szCs w:val="32"/>
        </w:rPr>
        <w:t>万元，本年财政拨款支出</w:t>
      </w:r>
      <w:r>
        <w:rPr>
          <w:rFonts w:hint="eastAsia" w:ascii="仿宋_GB2312" w:eastAsia="仿宋_GB2312"/>
          <w:sz w:val="32"/>
          <w:szCs w:val="32"/>
          <w:lang w:val="zh-CN"/>
        </w:rPr>
        <w:t>807.84</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增加427.11万元</w:t>
      </w:r>
      <w:r>
        <w:rPr>
          <w:rFonts w:hint="eastAsia" w:ascii="仿宋_GB2312" w:eastAsia="仿宋_GB2312"/>
          <w:sz w:val="32"/>
          <w:szCs w:val="32"/>
        </w:rPr>
        <w:t>，增长94.66%,主要原因是：单位本年旅游厕所建设项目经费增加，红光山灯光秀及冰雪雕项目经费增加。与年初预算相比，年初预算数</w:t>
      </w:r>
      <w:r>
        <w:rPr>
          <w:rFonts w:hint="eastAsia" w:ascii="仿宋_GB2312" w:eastAsia="仿宋_GB2312"/>
          <w:sz w:val="32"/>
          <w:szCs w:val="32"/>
          <w:lang w:val="zh-CN"/>
        </w:rPr>
        <w:t>571.61</w:t>
      </w:r>
      <w:r>
        <w:rPr>
          <w:rFonts w:hint="eastAsia" w:ascii="仿宋_GB2312" w:eastAsia="仿宋_GB2312"/>
          <w:sz w:val="32"/>
          <w:szCs w:val="32"/>
        </w:rPr>
        <w:t>万元，决算数</w:t>
      </w:r>
      <w:r>
        <w:rPr>
          <w:rFonts w:hint="eastAsia" w:ascii="仿宋_GB2312" w:eastAsia="仿宋_GB2312"/>
          <w:sz w:val="32"/>
          <w:szCs w:val="32"/>
          <w:lang w:val="zh-CN"/>
        </w:rPr>
        <w:t>878.32</w:t>
      </w:r>
      <w:r>
        <w:rPr>
          <w:rFonts w:hint="eastAsia" w:ascii="仿宋_GB2312" w:eastAsia="仿宋_GB2312"/>
          <w:sz w:val="32"/>
          <w:szCs w:val="32"/>
        </w:rPr>
        <w:t>万元，预决算差异率53.66%，主要原因是：年中追加中央补助地方美术馆公共图书馆文化馆（站）免费开放专项项目资金，赴青海、甘肃、宁夏外出考察项目经费。</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2023年度一般公共预算财政拨款支出783.12万元，占本年支出合计的</w:t>
      </w:r>
      <w:r>
        <w:rPr>
          <w:rFonts w:hint="eastAsia" w:ascii="仿宋_GB2312" w:eastAsia="仿宋_GB2312"/>
          <w:sz w:val="32"/>
          <w:szCs w:val="32"/>
          <w:lang w:val="zh-CN"/>
        </w:rPr>
        <w:t>96.94%</w:t>
      </w:r>
      <w:r>
        <w:rPr>
          <w:rFonts w:hint="eastAsia" w:ascii="仿宋_GB2312" w:eastAsia="仿宋_GB2312"/>
          <w:sz w:val="32"/>
          <w:szCs w:val="32"/>
        </w:rPr>
        <w:t>。与上年相比，</w:t>
      </w:r>
      <w:r>
        <w:rPr>
          <w:rFonts w:hint="eastAsia" w:ascii="仿宋_GB2312" w:eastAsia="仿宋_GB2312"/>
          <w:sz w:val="32"/>
          <w:szCs w:val="32"/>
          <w:lang w:val="zh-CN"/>
        </w:rPr>
        <w:t>增加402.39万元</w:t>
      </w:r>
      <w:r>
        <w:rPr>
          <w:rFonts w:hint="eastAsia" w:ascii="仿宋_GB2312" w:eastAsia="仿宋_GB2312"/>
          <w:sz w:val="32"/>
          <w:szCs w:val="32"/>
        </w:rPr>
        <w:t>，增长105.69%,主要原因是：单位本年旅游厕所建设项目经费增加，红光山灯光秀及冰雪雕项目经费增加。与年初预算相比，年初预算数</w:t>
      </w:r>
      <w:r>
        <w:rPr>
          <w:rFonts w:hint="eastAsia" w:ascii="仿宋_GB2312" w:eastAsia="仿宋_GB2312"/>
          <w:sz w:val="32"/>
          <w:szCs w:val="32"/>
          <w:lang w:val="zh-CN"/>
        </w:rPr>
        <w:t>571.61</w:t>
      </w:r>
      <w:r>
        <w:rPr>
          <w:rFonts w:hint="eastAsia" w:ascii="仿宋_GB2312" w:eastAsia="仿宋_GB2312"/>
          <w:sz w:val="32"/>
          <w:szCs w:val="32"/>
        </w:rPr>
        <w:t>万元，决算数</w:t>
      </w:r>
      <w:r>
        <w:rPr>
          <w:rFonts w:hint="eastAsia" w:ascii="仿宋_GB2312" w:eastAsia="仿宋_GB2312"/>
          <w:sz w:val="32"/>
          <w:szCs w:val="32"/>
          <w:lang w:val="zh-CN"/>
        </w:rPr>
        <w:t>783.12</w:t>
      </w:r>
      <w:r>
        <w:rPr>
          <w:rFonts w:hint="eastAsia" w:ascii="仿宋_GB2312" w:eastAsia="仿宋_GB2312"/>
          <w:sz w:val="32"/>
          <w:szCs w:val="32"/>
        </w:rPr>
        <w:t>万元，预决算差异率</w:t>
      </w:r>
      <w:r>
        <w:rPr>
          <w:rFonts w:hint="eastAsia" w:ascii="仿宋_GB2312" w:eastAsia="仿宋_GB2312"/>
          <w:sz w:val="32"/>
          <w:szCs w:val="32"/>
          <w:lang w:val="zh-CN"/>
        </w:rPr>
        <w:t>37.00%</w:t>
      </w:r>
      <w:r>
        <w:rPr>
          <w:rFonts w:hint="eastAsia" w:ascii="仿宋_GB2312" w:eastAsia="仿宋_GB2312"/>
          <w:sz w:val="32"/>
          <w:szCs w:val="32"/>
        </w:rPr>
        <w:t>，主要原因是：年中追加中央补助地方美术馆公共图书馆文化馆（站）免费开放专项项目资金，赴青海、甘肃、宁夏外出考察项目经费。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721.16</w:t>
      </w:r>
      <w:r>
        <w:rPr>
          <w:rFonts w:ascii="仿宋_GB2312" w:eastAsia="仿宋_GB2312"/>
          <w:kern w:val="2"/>
          <w:sz w:val="32"/>
          <w:szCs w:val="32"/>
          <w:lang w:val="zh-CN"/>
        </w:rPr>
        <w:t>万元，占</w:t>
      </w:r>
      <w:r>
        <w:rPr>
          <w:rFonts w:hint="eastAsia" w:ascii="仿宋_GB2312" w:eastAsia="仿宋_GB2312"/>
          <w:kern w:val="2"/>
          <w:sz w:val="32"/>
          <w:szCs w:val="32"/>
          <w:lang w:val="zh-CN"/>
        </w:rPr>
        <w:t>92.09%</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61.96</w:t>
      </w:r>
      <w:r>
        <w:rPr>
          <w:rFonts w:ascii="仿宋_GB2312" w:eastAsia="仿宋_GB2312"/>
          <w:kern w:val="2"/>
          <w:sz w:val="32"/>
          <w:szCs w:val="32"/>
          <w:lang w:val="zh-CN"/>
        </w:rPr>
        <w:t>万元，占</w:t>
      </w:r>
      <w:r>
        <w:rPr>
          <w:rFonts w:hint="eastAsia" w:ascii="仿宋_GB2312" w:eastAsia="仿宋_GB2312"/>
          <w:kern w:val="2"/>
          <w:sz w:val="32"/>
          <w:szCs w:val="32"/>
          <w:lang w:val="zh-CN"/>
        </w:rPr>
        <w:t>7.91%。</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1.文化旅游体育与传媒支出（类）文化和旅游（款）行政运行（项）:支出决算数为460.68万元，比上年决算增加201.63万元，增长77.83%，主要原因是：</w:t>
      </w:r>
      <w:r>
        <w:rPr>
          <w:rFonts w:hint="eastAsia" w:ascii="仿宋_GB2312" w:hAnsi="仿宋_GB2312" w:eastAsia="仿宋_GB2312" w:cs="仿宋_GB2312"/>
          <w:sz w:val="32"/>
          <w:szCs w:val="32"/>
          <w:lang w:val="zh-CN"/>
        </w:rPr>
        <w:t>单位本年人员正常晋升，相应人员工资、津贴补贴、奖金等人员经费增加。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2.文化旅游体育与传媒支出（类）文化和旅游（款）其他文化和旅游支出（项）:支出决算数为97.76万元，比上年决算增加97.76万元，增长100%，主要原因是：</w:t>
      </w:r>
      <w:r>
        <w:rPr>
          <w:rFonts w:hint="eastAsia" w:ascii="仿宋_GB2312" w:hAnsi="仿宋_GB2312" w:eastAsia="仿宋_GB2312" w:cs="仿宋_GB2312"/>
          <w:sz w:val="32"/>
          <w:szCs w:val="32"/>
          <w:lang w:val="zh-CN"/>
        </w:rPr>
        <w:t>单位本年中央补助地方美术馆公共图书馆文化馆（站）免费开放专项项目资金增加，赴青海、甘肃、宁夏外出考察项目经费增加。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文化旅游体育与传媒支出（类）其他文化旅游体育与传媒支出（款）其他文化旅游体育与传媒支出（项）:支出决算数为147.23万元，比上年决算增加43.16万元，增长41.47%，主要原因是：单位本年旅游厕所建设项目经费增加，</w:t>
      </w:r>
      <w:r>
        <w:rPr>
          <w:rFonts w:hint="eastAsia" w:ascii="仿宋_GB2312" w:hAnsi="仿宋_GB2312" w:eastAsia="仿宋_GB2312" w:cs="仿宋_GB2312"/>
          <w:sz w:val="32"/>
          <w:szCs w:val="32"/>
          <w:lang w:val="zh-CN"/>
        </w:rPr>
        <w:t>红光山灯光秀及冰雪雕项目经费增加。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4.文化旅游体育与传媒支出（类）文化和旅游（款）艺术表演团体（项）:支出决算数为15.49万元，比上年决算增加15.49万元，增长100%，主要原因是：</w:t>
      </w:r>
      <w:r>
        <w:rPr>
          <w:rFonts w:hint="eastAsia" w:ascii="仿宋_GB2312" w:hAnsi="仿宋_GB2312" w:eastAsia="仿宋_GB2312" w:cs="仿宋_GB2312"/>
          <w:sz w:val="32"/>
          <w:szCs w:val="32"/>
          <w:lang w:val="zh-CN"/>
        </w:rPr>
        <w:t>本年单位新增对文旅局团体艺术表演委托业务经费。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5.社会保障和就业支出（类）行政事业单位养老支出（款）机关事业单位职业年金缴费支出（项）:支出决算数为24.03万元，比上年决算增加24.03万元，增长100%，主要原因是：</w:t>
      </w:r>
      <w:r>
        <w:rPr>
          <w:rFonts w:hint="eastAsia" w:ascii="仿宋_GB2312" w:hAnsi="仿宋_GB2312" w:eastAsia="仿宋_GB2312" w:cs="仿宋_GB2312"/>
          <w:sz w:val="32"/>
          <w:szCs w:val="32"/>
          <w:lang w:val="zh-CN"/>
        </w:rPr>
        <w:t>单位退休人员增加，退休人员职业年金缴费增加。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6.社会保障和就业支出（类）民政管理事务（款）基层政权建设和社区治理（项）:支出决算数为16.49万元，比上年决算增加16.49万元，增长100%，主要原因是：</w:t>
      </w:r>
      <w:r>
        <w:rPr>
          <w:rFonts w:hint="eastAsia" w:ascii="仿宋_GB2312" w:hAnsi="仿宋_GB2312" w:eastAsia="仿宋_GB2312" w:cs="仿宋_GB2312"/>
          <w:sz w:val="32"/>
          <w:szCs w:val="32"/>
          <w:lang w:val="zh-CN"/>
        </w:rPr>
        <w:t>本年单位增加为民办实事、办好事社区工作专项项目经费。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7.社会保障和就业支出（类）行政事业单位养老支出（款）机关事业单位基本养老保险缴费支出（项）:支出决算数为21.43万元，比上年决算增加3.83万元，增长21.76%，主要原因是：</w:t>
      </w:r>
      <w:r>
        <w:rPr>
          <w:rFonts w:hint="eastAsia" w:ascii="仿宋_GB2312" w:hAnsi="仿宋_GB2312" w:eastAsia="仿宋_GB2312" w:cs="仿宋_GB2312"/>
          <w:sz w:val="32"/>
          <w:szCs w:val="32"/>
          <w:lang w:val="zh-CN"/>
        </w:rPr>
        <w:t>本年单位社保缴费基数调增，人员养老保险缴费增加。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538.13万元，其中：人员经费265.53万元，包括：基本工资、津贴补贴、奖金、绩效工资、机关事业单位基本养老保险缴费、职业年金缴费、职工基本医疗保险缴费、公务员医疗补助缴费、其他社会保障缴费、住房公积金、抚恤金、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公用经费272.60万元，包括：办公费、水费、电费、邮电费、取暖费、差旅费、委托业务费、工会经费、福利费、公务用车运行维护费、其他商品和服务支出</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“三公”经费支出12.62万元，</w:t>
      </w:r>
      <w:r>
        <w:rPr>
          <w:rFonts w:hint="eastAsia" w:ascii="仿宋_GB2312" w:eastAsia="仿宋_GB2312"/>
          <w:sz w:val="32"/>
          <w:szCs w:val="32"/>
        </w:rPr>
        <w:t>比上年</w:t>
      </w:r>
      <w:r>
        <w:rPr>
          <w:rFonts w:hint="eastAsia" w:ascii="仿宋_GB2312" w:eastAsia="仿宋_GB2312"/>
          <w:sz w:val="32"/>
          <w:szCs w:val="32"/>
          <w:lang w:val="zh-CN"/>
        </w:rPr>
        <w:t>增加8.21万元，</w:t>
      </w:r>
      <w:r>
        <w:rPr>
          <w:rFonts w:hint="eastAsia" w:ascii="仿宋_GB2312" w:eastAsia="仿宋_GB2312"/>
          <w:sz w:val="32"/>
          <w:szCs w:val="32"/>
        </w:rPr>
        <w:t>增长186.17%,</w:t>
      </w:r>
      <w:r>
        <w:rPr>
          <w:rFonts w:hint="eastAsia" w:ascii="仿宋_GB2312" w:eastAsia="仿宋_GB2312"/>
          <w:sz w:val="32"/>
          <w:szCs w:val="32"/>
          <w:lang w:val="zh-CN"/>
        </w:rPr>
        <w:t>主要原因是：车辆老化，增加车辆维护维修费、燃油费等。其中：因公出国（境）费支出0.00万元，占0.00%，比上年增加0.00万元，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主要原因是：单位本年无此项经费；公务用车购置及运行维护费支出12.62万元，占100.00%，比上年增加8.21万元，</w:t>
      </w:r>
      <w:r>
        <w:rPr>
          <w:rFonts w:hint="eastAsia" w:ascii="仿宋_GB2312" w:eastAsia="仿宋_GB2312"/>
          <w:sz w:val="32"/>
          <w:szCs w:val="32"/>
        </w:rPr>
        <w:t>增长186.17%,</w:t>
      </w:r>
      <w:r>
        <w:rPr>
          <w:rFonts w:hint="eastAsia" w:ascii="仿宋_GB2312" w:eastAsia="仿宋_GB2312"/>
          <w:sz w:val="32"/>
          <w:szCs w:val="32"/>
          <w:lang w:val="zh-CN"/>
        </w:rPr>
        <w:t>主要原因是：车辆老化，增加车辆维护维修费、燃油费等；公务接待费支出0.00万元，占0.00%，比上年增加0.00万元，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12.62万元，其中：公务用车购置费0.00万元，公务用车运行维护费12.62万元。公务用车运行维护费开支内容包括公务用车燃油费、车辆维修维护费、保险费、过路费等。公务用车购置数0辆，公务用车保有量7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预算数12.62万元，决算数12.62万元，预决算差异率0.00%，主要原因是：严格按照预算执行，预决算对比无差异。其中：因公出国（境）费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预算数12.62万元，决算数12.62万元，预决算差异率0.00%，主要原因是：严格按照预算执行，预决算对比无差异；公务接待费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总计24.72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本年收入24.72</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总计24.72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本年支出24.72</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与上年相比，增加24.72万元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主要原因是：本年单位新增即开型体育彩票公益金返还项目资金。与年初预算相比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24.72</w:t>
      </w:r>
      <w:r>
        <w:rPr>
          <w:rFonts w:hint="eastAsia" w:ascii="仿宋_GB2312" w:hAnsi="仿宋_GB2312" w:eastAsia="仿宋_GB2312" w:cs="仿宋_GB2312"/>
          <w:sz w:val="32"/>
          <w:szCs w:val="32"/>
          <w:lang w:val="zh-CN"/>
        </w:rPr>
        <w:t>万元，预决算差异率100.00%，主要原因是：年中追加即开型体育彩票公益金返还项目资金。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政府性基金预算财政拨款支出24.72万元。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1.其他支出（类）彩票公益金安排的支出（款）用于体育事业的彩票公益金支出（项）:支出决算数为24.72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24.72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100%，主要原因是：本年单位新增即开型体育彩票公益金返还项目资金。</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乌鲁木齐市米东区文化体育广播电视和旅游局（行政单位和参照公务员法管理事业单位）机关运行经费支出272.60万元，</w:t>
      </w:r>
      <w:r>
        <w:rPr>
          <w:rFonts w:hint="eastAsia" w:ascii="仿宋_GB2312" w:hAnsi="仿宋_GB2312" w:eastAsia="仿宋_GB2312" w:cs="仿宋_GB2312"/>
          <w:sz w:val="32"/>
          <w:szCs w:val="32"/>
          <w:lang w:val="zh-CN"/>
        </w:rPr>
        <w:t>比上年增加266.19万元，增长4,152.73%，主要原因是：单位本年</w:t>
      </w:r>
      <w:r>
        <w:rPr>
          <w:rFonts w:hint="eastAsia" w:ascii="仿宋_GB2312" w:eastAsia="仿宋_GB2312"/>
          <w:sz w:val="32"/>
          <w:szCs w:val="32"/>
        </w:rPr>
        <w:t>办公费、水费、电费、邮电费、取暖费、委托业务费增加</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2023年度政府采购支出总额64.71万元，其中：政府采购货物支出6.28万元、政府采购工程支出4.73万元、政府采购服务支出53.70万元。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授予中小企业合同金额46.99万元，占政府采购支出总额的72.62%，其中：授予小微企业合同金额46.66万元，占政府采购支出总额的72.11%</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9,028.50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屋13,802.35平方米，价值4,585.30万元。车辆7辆，价值151.34万元，其中：副部（省）级及以上领导用车0辆、主要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用车1辆、机要通信用车0辆、应急保障用车0辆、执法执勤用车0辆、特种专业技术用车0辆、离退休干部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用车0辆、其他用车6辆，其他用车主要是：单位业务用车；单价100万元（含）以上设备（不含车辆）4</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878.32</w:t>
      </w:r>
      <w:r>
        <w:rPr>
          <w:rFonts w:hint="eastAsia" w:ascii="仿宋_GB2312" w:eastAsia="仿宋_GB2312"/>
          <w:sz w:val="32"/>
          <w:szCs w:val="32"/>
        </w:rPr>
        <w:t>万元，实际执行总额</w:t>
      </w:r>
      <w:r>
        <w:rPr>
          <w:rFonts w:ascii="仿宋_GB2312" w:eastAsia="仿宋_GB2312"/>
          <w:sz w:val="32"/>
          <w:szCs w:val="32"/>
        </w:rPr>
        <w:t>807.84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预算绩效评价项目7个，全年预算数</w:t>
      </w:r>
      <w:r>
        <w:rPr>
          <w:rFonts w:ascii="仿宋_GB2312" w:eastAsia="仿宋_GB2312"/>
          <w:sz w:val="32"/>
          <w:szCs w:val="32"/>
        </w:rPr>
        <w:t>655.72</w:t>
      </w:r>
      <w:r>
        <w:rPr>
          <w:rFonts w:hint="eastAsia" w:ascii="仿宋_GB2312" w:eastAsia="仿宋_GB2312"/>
          <w:sz w:val="32"/>
          <w:szCs w:val="32"/>
        </w:rPr>
        <w:t>万元，全年执行数</w:t>
      </w:r>
      <w:r>
        <w:rPr>
          <w:rFonts w:ascii="仿宋_GB2312" w:eastAsia="仿宋_GB2312"/>
          <w:sz w:val="32"/>
          <w:szCs w:val="32"/>
        </w:rPr>
        <w:t>269.71</w:t>
      </w:r>
      <w:r>
        <w:rPr>
          <w:rFonts w:hint="eastAsia" w:ascii="仿宋_GB2312" w:eastAsia="仿宋_GB2312"/>
          <w:sz w:val="32"/>
          <w:szCs w:val="32"/>
        </w:rPr>
        <w:t>万元。预算绩效管理取得的成效：一是</w:t>
      </w:r>
      <w:r>
        <w:rPr>
          <w:rFonts w:hint="eastAsia" w:ascii="仿宋_GB2312" w:hAnsi="仿宋_GB2312" w:eastAsia="仿宋_GB2312"/>
          <w:kern w:val="0"/>
          <w:sz w:val="32"/>
        </w:rPr>
        <w:t>预算绩效管理制度逐步健全，绩效工作有序开展</w:t>
      </w:r>
      <w:r>
        <w:rPr>
          <w:rFonts w:hint="eastAsia" w:ascii="仿宋_GB2312" w:eastAsia="仿宋_GB2312"/>
          <w:sz w:val="32"/>
          <w:szCs w:val="32"/>
        </w:rPr>
        <w:t>；二是绩效目标管理日益加强，促进了财政资金使用效率。发现的问题及原因：一是</w:t>
      </w:r>
      <w:r>
        <w:rPr>
          <w:rFonts w:hint="eastAsia" w:ascii="仿宋_GB2312" w:eastAsia="仿宋_GB2312"/>
          <w:kern w:val="0"/>
          <w:sz w:val="32"/>
        </w:rPr>
        <w:t>财政要优化项目绩效工作，减轻基层工作人员负担；</w:t>
      </w:r>
      <w:r>
        <w:rPr>
          <w:rFonts w:hint="eastAsia" w:ascii="仿宋_GB2312" w:eastAsia="仿宋_GB2312"/>
          <w:sz w:val="32"/>
          <w:szCs w:val="32"/>
        </w:rPr>
        <w:t>二是预算绩效目标设置尽可能明确，目标过于模糊，导致整个计划缺乏可执行性和评估性。下一步改进措施：一是加强预算绩效监控管理及监督工作，使之发挥可行性效率；二是加强预算绩效目标设置的科学性及全面性，以满足事后绩效监控和绩效自评的可执行性和评估性。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米东区文化体育广播电视和旅游局</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798.65</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878.32</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807.84</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91.98%</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9.19</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34.23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34.23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24.72</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24.72</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556.61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819.37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748.89</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227.04</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文化工作：保障人民群众基本公共文化需求，进一步提升公共文化服务水平，缩小城乡间、区域间公共文化发展差距，争取基层文化惠民工程全覆；深入开展“文化润疆”工程和“十个一百”行动计划；实施文化大院示范点建设；广泛开展群众性文化活动，建设乡村百姓大舞台；加强文化遗产保护利用工作。2、体育工作：加快推进公共体育健身场地设施建设；完善全民健身组织网络；统筹规划全民健身活动；推动线下各类群众性体育活动；3、旅游工作：推进实施创建自治区级全域旅游示范区工作；着力打造文化旅游社区和特色街区；推动乡村旅游发展，持续实施乡村振兴战略；推动旅游业与农业融合发展。</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2023年，米东区文化体育广播电视和旅游局在区委、区政府正确领导下，紧紧围绕学习贯彻党的二十大精神，完整准确贯彻“文化润疆”工程和“旅游兴疆”战略，牢固树立“以文促旅、以旅彰文、以体兴旅、和合共生”的文旅融合发展理念，全力推进文旅重点项目建设，提升全域旅游发展水平，加强公共文化服务体系建设，促进文化旅游产业融合发展，使米东区文化、体育、广播电视和旅游事业快速、协调、健康发展。1、加强党的全面领导，全力保障文旅事业健康发展。a、夯实党建基础，加强党的领导。文旅局党组（理论学习）中心组集中学习24次；党支部落实“三会一课”制度召开支委会13次、党员大会13次、开展主题党日活动11次；充分发挥局机关支部和17名党员的积极作用，开展党员干部谈心谈话11次，思想汇报11次，建言献策11次；指导民办非联合党支部党建业务工作11次；加强干部职工理论学习，开展周五政治学习31次，干部职工二十大精神知识测试4期，撰写学习二十大精神心得51篇；在发展党员方面，共递交入党申请书2份，培养入党积极分子3名，预备党员1名，不断加强党员队伍的发展和壮大；严格执行党费收缴八项具体措施，健全规范党费收缴“两表一册一报告”制度，今年共收缴党费6425.4元。b.坚持高位谋划，有力推进主题教育.c.强化主体责任，落实党风廉政建设。d.铸牢中华民族共同体意识，扎实开展“民族团结一家亲”工作。e.建强群众基础，深入开展“访惠聚”工作。f.加强精神文明建设，推进文明城市创建。2、推进“文化润疆”工程，提升公共文化服务水平。a.文化阵地建设稳步提升。东区共有文化馆1个（国家一级）；公共图书馆1个（国家三级）；片区（乡镇）文化站15个、覆盖率100%；81个行政村均建有标准化且资源共享的村级活动室，75个社区均有文化活动阵地，其中27个社区文化活动中心面积达到200平米以上，内部均能按要求设置图书阅览室、文体活动室。b.文化惠民工程有序推进。2023年策划组织了新年音乐会、春节晚会、“新年七天乐”乡村村晚、元宵社火展演、“筝舞蓝天·放飞梦想”首届风筝文化节、“国风古韵粽情端午”文化节、“庆丰收促和美”丰收节等文化品牌活动；引进“奥体制燥”音乐节、“郎朗和他的朋友们”钢琴音乐盛典、“这里是新疆”演唱会、“平行时空音乐嘉年华”等大型演唱会4场，马戏表演、儿童剧、木偶剧5部惠及群众7万余人；积极开展“我们的中国梦—文化进万家”“魅力米东”百日文化广场等文化惠民演出活动103场，惠及群众26.5万余人.c.非遗传承保护稳步落实。全年举办非遗展3场次；线上线下举办“新疆花儿”“回族刺绣”培训班共计12期。d.持续开展全民阅读活动。今年图书馆共办证3916个，接待读者1.6万人次，借阅流通册次达2.9万；开展送春联、猜灯谜、读书分享、书法培训等全民阅读推广活动25次；利用4.23世界读书日走入基层，发动社会力量为图书馆捐赠图书238本；积极培养阅读爱好者，采取“图书馆+”形式，与新华书店、社会力量、乡镇建立线上阅读分享群4个，开启新时代乡村阅读季。举办基层农家书屋培训班2期，业务辅导12次；组织读书分享活动6次，乡镇集市宣传1次，全面推进基本阅读服务的均等化、平等化、便利化，助力乡村文化振兴。3、坚持因地制宜，持续推进文化大院建设.以充满民族特色、非遗传承、具有浓郁乡村文化气息和特点为抓手，打造一批具有全方位服务各族人民群众文化需求的文化大院。现已打造米东区三道坝镇十二户西村乾盛“小曲子”文化大院示范点、米东区柏洋河乡阿合阿德尔村“阿肯弹唱”文化大院示范点、米东区古牧地镇团结村盛世花儿“回族刺绣”文化大院示范点、米东区长山子镇马场湖村王秀芳“新疆花儿”文化大院示范点四个文化大院。e.持续做好文物推广保护。米东区现有市级不可移动文物5处，尚未核定公布的不可移动文物的11处，均与属地乡镇、片区签订了“文物安全责任书责任状”；开展文物安全隐患排查整治工作全覆盖10次，完善文物安全各项制度；指导和督促村（社区）文物专干加大对文物日常安全监督巡查；“5.18”博物馆日组织干部群众参观新疆博物馆，结合百场文化惠民工程，进行基层文物保护宣传活动3场；开展线上流动博物馆巡展活动15场次，惠及群众3000余人，让各族群众更多地感知历史、热爱文物，增强群众文物保护意识。f.弘扬中华优秀传统文化。g.深化广电播出安全保障工作。3.贯彻“旅游兴疆”战略，全面助力乡村振兴.a.“一核三区”全域旅游布局愈加清晰。b.坚持“大抓项目、抓大项目”。c.打造精品旅游线路。d.推进旅游厕所建设工作。e.创建示范工作提高旅游知名度。f.哈熊沟经营体制改革进行顺利。4.落实“全民健身”实事，广泛开展体育赛事.a.丰富全民健身场地设施服务供给。b.构建多层次多样化的赛事活动体系。c.提升科学健身指导服务水平。d.强化全民健身资金保障。5.稳步推进安全生产各项工作及重大事故隐患排查.</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文化大院示范点建设数量</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&gt;=4个</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4个</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全年组织各类群众体育活动</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&gt;=6场次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167场次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打造特色文旅街区数量</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&gt;=2个</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2个</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99.19分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乌财科教[2022]84号-关于提前下达2023年中央补助地方美术馆公共图书馆、文化馆（站）免费开放专项资金</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米东区文化体育广播电视和旅游局</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207.00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15.46%</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1.55分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115.00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米东区免费开放图书馆1个预算安排资金16万元、免费开放文化馆1个预算安排资金16万元，各乡镇街道管免费开放文化站（文化中心）15个，每个预算安排资金4万元。通过实施此项目后，不断完善基层公共图书馆、文化馆（文化站）基础设施，保障免费开放活动经费，满足人民群众日益增长的精神文化需求，提高人民群众享受文化的幸福指数。</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米东区免费开放图书馆数量1个，免费开放文化馆数量1个，乡镇（街道）免费开放文化站（中心）数量15个。2023年财政资金实际使用情况，免费开放图书馆、文化馆各使用资金16万元，共计32万元，15个乡镇（街道）免费开放文化站（中心）使用资金0万元，因财政资金紧张，未及时拨款，导致部分绩效目标值未达到预期指标。</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免费开放公共图书馆、文化馆数量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各乡镇街道管委会文化站（文化中心）数量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财政资金紧张未拨付</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2馆免费开放补助资金</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=72万元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财政资金紧张未拨付</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15个乡镇（街道）补助资金</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=135万元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财政资金紧张未拨付</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保障人民群众精神文化需求</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未达到预期效果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财政资金紧张未拨付</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社会公众对“两馆免费开放”公共文化服务满意度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48.95分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乌财科教【2023】19号-关于提前下达2023年中央补助地方公共文化服务体系建设补助资金预算</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米东区文化体育广播电视和旅游局</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101.91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207.20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1.08%</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0.11分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101.91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101.91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105.29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0.56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力争在年末按照计划完成各项指标，早日让人民群众收益，感受到文化的魅力，丰富群众业余文化生活，提高群众的文化鉴赏能力。</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2023年开展各类文化惠民演出103场次，惠及群众26.5万人，组织基层志愿者队伍开展各类文艺演出、书画展、全民阅读等群众性文化活动2422场，惠及群众18.5万余人，该项目2023年实际支出2.23万元，其中使用上年结余资金0.56万元，使用本年预算资金1.67万元，部分费用因财政资金未拨付到位未支付，导致预算完成率较差。</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组织开展各类文化体育活动场次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&gt;=50场次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103场次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部分活动开展了，未完成支付，原因是财政资金紧张未拨款。</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已支付资金严格按照项目资金合法合规列支。</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财政未及时保障资金。</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项目预算完成率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财政资金紧张未拨款</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改善基层体育设施条件，积极推进15钟体育健身圈构建。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积极推进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财政资金紧张未拨款</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逐步提高基层公共文化服务水平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逐步提高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财政资金紧张未拨款</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群众对基层公共文化服务的满意度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财政未及时保障资金</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52.31分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乌财综【2022】20号-关于拨付2021年度即开型体育彩票公益金返还资金的通知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米东区文化体育广播电视和旅游局</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29.75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83.09%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8.31分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29.75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通过购买124件健身器材，持续完善“15分钟健身圈”目标，满足人民群众健身需求</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2023年按照年初计划顺利完成健身器材采购及安装工作，采购安装健身器材共计124件，实际支付24.72万元，达到预期指标且完成及时。</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购置健身器材数量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&gt;=124件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124件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器材验收合格率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持续完善“15分钟健身圈”目标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有效完善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满足人民群众健身需求</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有效满足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98.31分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冰雪雕制作项目</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米东区文化体育广播电视和旅游局</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83.33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83.33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83.33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83.33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83.33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83.33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此项目通过制造14座冰雕，可有效繁荣夜间经济，带动夜间消费水平，复苏经济。</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2021年项目，为了促进我区夜间经济高速发展，在元旦来临之际，营造节日氛围，经区政府安排部署开展节前冰雪雕制作项目，计划投入资金134.4万元，制作14座冰雕作品，元旦前完工并验收通过，2021年12月支付首批费用共计51.07万元，剩余83.33万元于2023年1月、3月分两次支付完毕，2023年因财政拨付资金及时到位，项目按照年初计划顺利完成。</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制作冰雪雕数量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项目竣工率（%）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逐步繁荣经济，复苏消费活力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逐步复苏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提升夜间消费水平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人民群众满意度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哈熊沟旅游厕所建设项目</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米东区文化体育广播电视和旅游局</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此项目通过建设9座旅游厕所，可有效改善景区基础设施条件，持续提升城市形象。</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为2020年项目，计划投资540万元在米东区哈熊沟旅游景区建设9座A级旅游厕所，中标价为519.75万元，2021年8月竣工验收合格，因配套服务未配备齐全，故2022年5月1日才正式投入使用。2021年1月支付50%工程款259.87万元，因财政资金紧张分批付款，2022年支付工程款80万元，2023年计划支付90万元，实际支付90万元，因财政及时拨款，2023年按照计划完成预期工程款结算，结算金额为90万元，完全达到预期指标且完成效果较好。</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建设旅游厕所数量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项目验收合格率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改善景区基础设施条件，提升景区服务水平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持续改善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持续提升城市形象，大力发展绿色经济1</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持续提升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旅游顾客满意度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红光山、贡米巷灯光秀项目</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米东区文化体育广播电视和旅游局</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35.00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35.00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通过开展灯光秀活动，提升城市形象，营造节日氛围，丰富人民群众精神文化生活。</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为了庆祝中国共产党成立100周年，根据市委要求，我区计划总投资78万元在米东区红光山景区及贡米巷开展灯光秀活动，所需费用由区财政安排列支，后经区财政核定最终费用为71.9万元，其中红光山灯光秀费用总计39万元（区财政承担部分）；贡米巷灯光秀费用总计32.9万元。以上两项费用2021至2022年已支付3.64万元，2023年已支付35万元，剩余33.26万元未支付，因财政资金紧张，剩余未支付款项下年度分批次支付，2023年计划目标值基本达到预期指标。</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开展灯光秀活动场次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&gt;=2场次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红光山蓝湖灯光秀投入资金数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&lt;=20万元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贡米巷灯光秀投入资金数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&lt;=15万元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提升城市形象，营造节日气氛。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显著提升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赴青海、甘肃、宁夏外出考察费</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米东区文化体育广播电视和旅游局</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3.44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70.64%</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7.06分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3.44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加快招商引资力度，结合文化传承活动，繁荣我区夜间经济，为米东区经济提速助力。</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根据考察方案，由米东区区长吴承凯带队一行8人赴青海、甘肃、宁夏三地招商考察，计划申请经费共计3.44万元，实际报销费用是2.43万元，因财政资金拨付到位，完全达到预期指标。</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外出考察人数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项目已完成，预算资金超额，未使用</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繁荣夜间经济，弘扬优秀传统文化</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加速繁荣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加快招商引资步伐，为我区经济助力。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逐步加快</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97.06分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D807BF"/>
    <w:rsid w:val="000964EA"/>
    <w:rsid w:val="001F4A6F"/>
    <w:rsid w:val="00213C59"/>
    <w:rsid w:val="00220E77"/>
    <w:rsid w:val="00224883"/>
    <w:rsid w:val="00305E30"/>
    <w:rsid w:val="003210CE"/>
    <w:rsid w:val="003E2B72"/>
    <w:rsid w:val="00471AAB"/>
    <w:rsid w:val="004C0B70"/>
    <w:rsid w:val="0059706A"/>
    <w:rsid w:val="005B75BA"/>
    <w:rsid w:val="00794195"/>
    <w:rsid w:val="00A87587"/>
    <w:rsid w:val="00AD7D7C"/>
    <w:rsid w:val="00B70D59"/>
    <w:rsid w:val="00C01D43"/>
    <w:rsid w:val="00D07BEE"/>
    <w:rsid w:val="00D427D5"/>
    <w:rsid w:val="00D807BF"/>
    <w:rsid w:val="00F52A8D"/>
    <w:rsid w:val="00FD1DF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7975EA1"/>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2664</Words>
  <Characters>15191</Characters>
  <Lines>126</Lines>
  <Paragraphs>35</Paragraphs>
  <TotalTime>42</TotalTime>
  <ScaleCrop>false</ScaleCrop>
  <LinksUpToDate>false</LinksUpToDate>
  <CharactersWithSpaces>17820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2025-12-16T10:08:42Z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