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C4D9E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44"/>
          <w:szCs w:val="44"/>
        </w:rPr>
        <w:t>米东柏杨河华电米东区50万千瓦光伏项目220千伏升压汇集站“10·26”一般触电事故</w:t>
      </w:r>
    </w:p>
    <w:p w14:paraId="71006F3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bCs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Cs/>
          <w:sz w:val="44"/>
          <w:szCs w:val="44"/>
        </w:rPr>
        <w:t>防范整改措施和责任追究</w:t>
      </w:r>
    </w:p>
    <w:p w14:paraId="4CE8A75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Cs/>
          <w:sz w:val="44"/>
          <w:szCs w:val="44"/>
        </w:rPr>
        <w:t>落实情况评估报告</w:t>
      </w:r>
    </w:p>
    <w:bookmarkEnd w:id="0"/>
    <w:p w14:paraId="1468C3C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 w14:paraId="122C210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2024年10月26日晚上22时12分许，位于米东区柏杨河乡华电米东区50万千瓦光伏项目220千伏升压汇集站，发生一起触电事故，造成1人重伤。</w:t>
      </w:r>
    </w:p>
    <w:p w14:paraId="41FB108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根据《生产安全事故防范和整改措施落实情况评估办法》规定要求，区安减委办组织对米东柏杨河华电米东区50万千瓦光伏项目220千伏升压汇集站“10·26”一般触电事故开展评估工作，现将事故防范整改措施和责任追究落实情况的评估工作报告如下：</w:t>
      </w:r>
    </w:p>
    <w:p w14:paraId="57B6243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一、评估工作组织及开展情况</w:t>
      </w:r>
    </w:p>
    <w:p w14:paraId="0197767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区安减委办成立了</w:t>
      </w:r>
      <w:r>
        <w:rPr>
          <w:rFonts w:hint="default" w:ascii="Times New Roman" w:hAnsi="Times New Roman" w:eastAsia="方正仿宋_GBK" w:cs="Times New Roman"/>
          <w:sz w:val="32"/>
        </w:rPr>
        <w:t>由</w:t>
      </w:r>
      <w:r>
        <w:rPr>
          <w:rFonts w:hint="eastAsia" w:ascii="Times New Roman" w:hAnsi="Times New Roman" w:eastAsia="方正仿宋_GBK" w:cs="Times New Roman"/>
          <w:sz w:val="32"/>
          <w:lang w:val="en-US" w:eastAsia="zh-CN"/>
        </w:rPr>
        <w:t>区纪委监委、</w:t>
      </w:r>
      <w:r>
        <w:rPr>
          <w:rFonts w:hint="default" w:ascii="Times New Roman" w:hAnsi="Times New Roman" w:eastAsia="方正仿宋_GBK" w:cs="Times New Roman"/>
          <w:sz w:val="32"/>
        </w:rPr>
        <w:t>区发改委、区建设局、区应急管理局、米东公安分局、区总工会、区人社局、区司法局、柏杨河乡人民政府、区北部沙漠光伏项目前线指挥部等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单位组成的评估组。评估组依据《米东柏杨河华电米东区50万千瓦光伏项目220千伏升压汇集站“10·26”一般触电事故调查报告》，采取调阅事故档案和查阅相关文件材料、现场检查等方式，对事故责任追究落实情况、整改措施落实情况开展了评估工作，形成了事故防范整改措施和责任追究落实情况的评估报告。</w:t>
      </w:r>
    </w:p>
    <w:p w14:paraId="2AA9A1E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二、责任追究落实情况</w:t>
      </w:r>
    </w:p>
    <w:p w14:paraId="48B5FF5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楷体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山东泰开电力电子有限公司售后服务人员，华电米东区50万千瓦光伏项目220千伏升压汇集站触电事故伤者、直接责任人</w:t>
      </w:r>
    </w:p>
    <w:p w14:paraId="0912078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处理建议：依据《中华人民共和国安全生产法》第一百零七条的规定，建议由山东泰开电力电子有限公司给予批评教育，依照有关规章制度给予处分。</w:t>
      </w:r>
    </w:p>
    <w:p w14:paraId="13B6E64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落实情况：山东泰开电力电子有限公司已对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该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公司售后服务人员进行了严肃批评教育，并作出罚款人民币 2000 元（贰仟元整）的处理。</w:t>
      </w:r>
    </w:p>
    <w:p w14:paraId="6AAD531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三、事故整改防范措施落实情况</w:t>
      </w:r>
    </w:p>
    <w:p w14:paraId="165A5C2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楷体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（一）山东泰开电力电子有限公司</w:t>
      </w:r>
    </w:p>
    <w:p w14:paraId="238DE4C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事故调查报告批复文件要求：</w:t>
      </w:r>
      <w:r>
        <w:rPr>
          <w:rFonts w:hint="default" w:ascii="Times New Roman" w:hAnsi="Times New Roman" w:eastAsia="仿宋" w:cs="Times New Roman"/>
          <w:sz w:val="32"/>
          <w:szCs w:val="32"/>
        </w:rPr>
        <w:t>山东泰开电力电子有限公司认真开展触电事故警示教育，加强员工的安全管理制度、操作规程教育和培训，提高全员的安全意识，自觉遵守安全管理制度和操作规程。</w:t>
      </w:r>
    </w:p>
    <w:p w14:paraId="7EDF5E1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落实情况：截止2026年6月, 山东泰开电力电子有限公司一是深化警示教育，强化技能培训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组织观看安全生产事故专题警示教育片18场次，累计参与人员700余人次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组织开展各类安全专题培训30场，7000余人次参加。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是做实应急演练，组织开展应急演练11次，200余人次参与。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是常态化开展隐患排查治理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工作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累计排查各类安全隐患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269项，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已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全部完成整改。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是完善安全操作规程，修订企业触电防范专项操作规程，进一步规范现场作业安全标准。</w:t>
      </w:r>
    </w:p>
    <w:p w14:paraId="7FEB91F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楷体_GBK" w:cs="Times New Roman"/>
          <w:sz w:val="32"/>
          <w:szCs w:val="32"/>
        </w:rPr>
      </w:pPr>
      <w:r>
        <w:rPr>
          <w:rFonts w:hint="default" w:ascii="Times New Roman" w:hAnsi="Times New Roman" w:eastAsia="方正楷体_GBK" w:cs="Times New Roman"/>
          <w:sz w:val="32"/>
          <w:szCs w:val="32"/>
        </w:rPr>
        <w:t>（二）华电绿能乌鲁木齐发电有限公司</w:t>
      </w:r>
    </w:p>
    <w:p w14:paraId="0B4C06B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事故调查报告批复文件要求：</w:t>
      </w:r>
      <w:r>
        <w:rPr>
          <w:rFonts w:hint="default" w:ascii="Times New Roman" w:hAnsi="Times New Roman" w:eastAsia="仿宋" w:cs="Times New Roman"/>
          <w:sz w:val="32"/>
          <w:szCs w:val="32"/>
        </w:rPr>
        <w:t>华电绿能乌鲁木齐发电有限公司进一步做好“两外”人员相关安全管理制度的教育和培训，结合实际开展触电事故警示教育，提高遵守安全管理制度的自觉性。</w:t>
      </w:r>
    </w:p>
    <w:p w14:paraId="7EAADE6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落实情况：截止2026年6月, </w:t>
      </w:r>
      <w:r>
        <w:rPr>
          <w:rFonts w:hint="default" w:ascii="Times New Roman" w:hAnsi="Times New Roman" w:eastAsia="仿宋" w:cs="Times New Roman"/>
          <w:sz w:val="32"/>
          <w:szCs w:val="32"/>
        </w:rPr>
        <w:t>华电绿能乌鲁木齐发电有限公司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一是健全安全制度管控体系，编制外委工程及外协用工安全管理制度，配套制定“两外”人员入场指引手册，完善人身触电事故防范专项措施。二是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常态化开展隐患排查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治理工作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，累计排查各类安全隐患275项，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已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全部完成整改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三是强化事故警示教育与实操培训，组织召开“10·26”触电事故现场复盘分析会，面向项目部全体人员开展触电应急实操演练及SVG专业专项培训。四是从严外来人员准入安全教育，组织全体外来人员开展安全准入培训，确保所有外来作业人员掌握现场安全管理要求。五是优化项目部现场安全防护设施，对全厂设备防护围栏、带电作业区域开展排查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更新现场安全警示标识，完成重点风险区域视频监控设备加装、布设工作，提升现场技防管控水平。</w:t>
      </w:r>
    </w:p>
    <w:p w14:paraId="7C23885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bCs/>
          <w:kern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Cs/>
          <w:kern w:val="0"/>
          <w:sz w:val="32"/>
          <w:szCs w:val="32"/>
        </w:rPr>
        <w:t>四、总体评估意见</w:t>
      </w:r>
    </w:p>
    <w:p w14:paraId="7A32209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评估组对米东柏杨河华电米东区50万千瓦光伏项目220千伏升压汇集站“10·26”一般触电事故防范与整改措施落实情况进行评估。评估组查阅了相关资料，检查整改落实情况。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山东泰开电力电子有限公司、华电绿能乌鲁木齐发电有限公司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能够按照事故批复通知要求，对照事故调查报告指出的主要问题和措施建议整改落实到位。</w:t>
      </w:r>
    </w:p>
    <w:p w14:paraId="7018F02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方正黑体_GBK" w:cs="Times New Roman"/>
          <w:bCs/>
          <w:kern w:val="0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bCs/>
          <w:kern w:val="0"/>
          <w:sz w:val="32"/>
          <w:szCs w:val="32"/>
        </w:rPr>
        <w:t>五、工作建议</w:t>
      </w:r>
    </w:p>
    <w:p w14:paraId="4CAC59C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建议</w:t>
      </w:r>
      <w:r>
        <w:rPr>
          <w:rFonts w:hint="default" w:ascii="Times New Roman" w:hAnsi="Times New Roman" w:eastAsia="仿宋_GB2312" w:cs="Times New Roman"/>
          <w:bCs/>
          <w:sz w:val="32"/>
          <w:szCs w:val="32"/>
        </w:rPr>
        <w:t>华电绿能乌鲁木齐发电有限公司</w:t>
      </w:r>
      <w:r>
        <w:rPr>
          <w:rFonts w:hint="default" w:ascii="Times New Roman" w:hAnsi="Times New Roman" w:eastAsia="仿宋" w:cs="Times New Roman"/>
          <w:sz w:val="32"/>
          <w:szCs w:val="32"/>
        </w:rPr>
        <w:t>进一步压实各级管理人员、岗位人员及外委单位的安全生产责任，细化各岗位安全职责清单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严格</w:t>
      </w:r>
      <w:r>
        <w:rPr>
          <w:rFonts w:hint="default" w:ascii="Times New Roman" w:hAnsi="Times New Roman" w:eastAsia="仿宋" w:cs="Times New Roman"/>
          <w:sz w:val="32"/>
          <w:szCs w:val="32"/>
        </w:rPr>
        <w:t>落实双重预防工作机制运行实效，全面深入开展隐患排查治理，坚决防范生产安全事故发生。</w:t>
      </w:r>
    </w:p>
    <w:p w14:paraId="5D8F5A0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 w14:paraId="193327A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sz w:val="32"/>
          <w:szCs w:val="32"/>
        </w:rPr>
        <w:t xml:space="preserve">       </w:t>
      </w:r>
    </w:p>
    <w:p w14:paraId="7C9D022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 w14:paraId="736E062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32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 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米东柏杨河华电米东区50万千瓦光伏项目220千伏</w:t>
      </w:r>
    </w:p>
    <w:p w14:paraId="4AFF047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320" w:firstLine="640"/>
        <w:jc w:val="center"/>
        <w:textAlignment w:val="auto"/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升压汇集站“10·26”一般触电事故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</w:rPr>
        <w:t>防范整改措施</w:t>
      </w:r>
    </w:p>
    <w:p w14:paraId="2A434E6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320" w:firstLine="640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</w:rPr>
        <w:t>和责任追究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落实情况评估组</w:t>
      </w:r>
    </w:p>
    <w:p w14:paraId="7324B204">
      <w:pPr>
        <w:pageBreakBefore w:val="0"/>
        <w:widowControl w:val="0"/>
        <w:tabs>
          <w:tab w:val="left" w:pos="3485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0" w:firstLineChars="1000"/>
        <w:textAlignment w:val="auto"/>
        <w:rPr>
          <w:rFonts w:hint="default" w:ascii="Times New Roman" w:hAnsi="Times New Roman" w:eastAsia="方正仿宋_GBK" w:cs="Times New Roman"/>
          <w:bCs/>
          <w:kern w:val="0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</w:rPr>
        <w:t>2026年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</w:rPr>
        <w:t>月2日</w:t>
      </w:r>
    </w:p>
    <w:p w14:paraId="03D49F4F">
      <w:pPr>
        <w:spacing w:line="560" w:lineRule="exact"/>
        <w:rPr>
          <w:rFonts w:ascii="Times New Roman" w:hAnsi="Times New Roman" w:eastAsia="方正仿宋_GBK" w:cs="Times New Roman"/>
          <w:bCs/>
          <w:kern w:val="0"/>
          <w:sz w:val="32"/>
          <w:szCs w:val="32"/>
        </w:rPr>
      </w:pPr>
    </w:p>
    <w:p w14:paraId="1317C8B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320"/>
        <w:jc w:val="left"/>
        <w:textAlignment w:val="auto"/>
        <w:rPr>
          <w:rFonts w:ascii="Times New Roman" w:hAnsi="Times New Roman" w:eastAsia="方正仿宋_GBK" w:cs="Times New Roman"/>
          <w:bCs/>
          <w:kern w:val="0"/>
          <w:sz w:val="32"/>
          <w:szCs w:val="32"/>
        </w:rPr>
      </w:pPr>
    </w:p>
    <w:p w14:paraId="303EFE7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320"/>
        <w:jc w:val="left"/>
        <w:textAlignment w:val="auto"/>
        <w:rPr>
          <w:rFonts w:ascii="Times New Roman" w:hAnsi="Times New Roman" w:eastAsia="方正仿宋_GBK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kern w:val="0"/>
          <w:sz w:val="32"/>
          <w:szCs w:val="32"/>
        </w:rPr>
        <w:t>附件：1、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</w:rPr>
        <w:t>米东柏杨河华电米东区50万千瓦光伏项目22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</w:rPr>
        <w:t>千伏升压汇集站“10·26”一般触电事故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</w:rPr>
        <w:t>防范整改措施和责任追究</w:t>
      </w:r>
      <w:r>
        <w:rPr>
          <w:rFonts w:ascii="Times New Roman" w:hAnsi="Times New Roman" w:eastAsia="方正仿宋_GBK" w:cs="Times New Roman"/>
          <w:bCs/>
          <w:kern w:val="0"/>
          <w:sz w:val="32"/>
          <w:szCs w:val="32"/>
        </w:rPr>
        <w:t>落实情况评估问题清单</w:t>
      </w:r>
    </w:p>
    <w:p w14:paraId="7BB44D3A">
      <w:pPr>
        <w:spacing w:line="560" w:lineRule="exact"/>
        <w:ind w:firstLine="960" w:firstLineChars="300"/>
        <w:rPr>
          <w:rFonts w:ascii="Times New Roman" w:hAnsi="Times New Roman" w:eastAsia="方正仿宋_GBK" w:cs="Times New Roman"/>
          <w:bCs/>
          <w:kern w:val="0"/>
          <w:sz w:val="32"/>
          <w:szCs w:val="32"/>
        </w:rPr>
      </w:pPr>
      <w:r>
        <w:rPr>
          <w:rFonts w:ascii="Times New Roman" w:hAnsi="Times New Roman" w:eastAsia="方正仿宋_GBK" w:cs="Times New Roman"/>
          <w:bCs/>
          <w:kern w:val="0"/>
          <w:sz w:val="32"/>
          <w:szCs w:val="32"/>
        </w:rPr>
        <w:t>2、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</w:rPr>
        <w:t>米东柏杨河华电米东区50万千瓦光伏项目22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</w:rPr>
        <w:t>千伏升压汇集站“10·26”一般触电事故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</w:rPr>
        <w:t>防范整改措施和责任追究</w:t>
      </w:r>
      <w:r>
        <w:rPr>
          <w:rFonts w:ascii="Times New Roman" w:hAnsi="Times New Roman" w:eastAsia="方正仿宋_GBK" w:cs="Times New Roman"/>
          <w:sz w:val="32"/>
          <w:szCs w:val="32"/>
        </w:rPr>
        <w:t>落实情况</w:t>
      </w:r>
      <w:r>
        <w:rPr>
          <w:rFonts w:ascii="Times New Roman" w:hAnsi="Times New Roman" w:eastAsia="方正仿宋_GBK" w:cs="Times New Roman"/>
          <w:bCs/>
          <w:kern w:val="0"/>
          <w:sz w:val="32"/>
          <w:szCs w:val="32"/>
        </w:rPr>
        <w:t>评估工作建议清单</w:t>
      </w:r>
    </w:p>
    <w:p w14:paraId="4F03A6E6">
      <w:pPr>
        <w:spacing w:line="560" w:lineRule="exact"/>
        <w:ind w:firstLine="960" w:firstLineChars="300"/>
        <w:rPr>
          <w:rFonts w:ascii="Times New Roman" w:hAnsi="Times New Roman" w:eastAsia="方正仿宋_GBK" w:cs="Times New Roman"/>
          <w:bCs/>
          <w:kern w:val="0"/>
          <w:sz w:val="32"/>
          <w:szCs w:val="32"/>
          <w:highlight w:val="yellow"/>
        </w:rPr>
      </w:pPr>
      <w:r>
        <w:rPr>
          <w:rFonts w:ascii="Times New Roman" w:hAnsi="Times New Roman" w:eastAsia="方正仿宋_GBK" w:cs="Times New Roman"/>
          <w:bCs/>
          <w:kern w:val="0"/>
          <w:sz w:val="32"/>
          <w:szCs w:val="32"/>
        </w:rPr>
        <w:t>3、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</w:rPr>
        <w:t>米东柏杨河华电米东区50万千瓦光伏项目22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方正仿宋_GBK" w:cs="Times New Roman"/>
          <w:bCs/>
          <w:kern w:val="0"/>
          <w:sz w:val="32"/>
          <w:szCs w:val="32"/>
        </w:rPr>
        <w:t>千伏升压汇集站“10·26”一般触电事故</w:t>
      </w:r>
      <w:r>
        <w:rPr>
          <w:rFonts w:hint="eastAsia" w:ascii="Times New Roman" w:hAnsi="Times New Roman" w:eastAsia="方正仿宋_GBK" w:cs="Times New Roman"/>
          <w:bCs/>
          <w:kern w:val="0"/>
          <w:sz w:val="32"/>
          <w:szCs w:val="32"/>
        </w:rPr>
        <w:t>防范整改措施和责任追究</w:t>
      </w:r>
      <w:r>
        <w:rPr>
          <w:rFonts w:ascii="Times New Roman" w:hAnsi="Times New Roman" w:eastAsia="方正仿宋_GBK" w:cs="Times New Roman"/>
          <w:sz w:val="32"/>
          <w:szCs w:val="32"/>
        </w:rPr>
        <w:t>落实情况</w:t>
      </w:r>
      <w:r>
        <w:rPr>
          <w:rFonts w:ascii="Times New Roman" w:hAnsi="Times New Roman" w:eastAsia="方正仿宋_GBK" w:cs="Times New Roman"/>
          <w:bCs/>
          <w:kern w:val="0"/>
          <w:sz w:val="32"/>
          <w:szCs w:val="32"/>
        </w:rPr>
        <w:t>评估经验做法清单</w:t>
      </w:r>
    </w:p>
    <w:p w14:paraId="0A0C4806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eastAsia" w:ascii="Times New Roman" w:hAnsi="Times New Roman" w:eastAsia="仿宋" w:cs="仿宋"/>
          <w:sz w:val="32"/>
          <w:szCs w:val="32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1433B9CA">
      <w:pPr>
        <w:pStyle w:val="9"/>
      </w:pPr>
    </w:p>
    <w:p w14:paraId="60A83B90">
      <w:pPr>
        <w:spacing w:line="560" w:lineRule="exact"/>
        <w:jc w:val="center"/>
        <w:rPr>
          <w:rFonts w:hint="default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米东柏杨河华电米东区50万千瓦光伏项目22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0</w:t>
      </w: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千伏升压汇集站“10·26”一般触电</w:t>
      </w:r>
    </w:p>
    <w:p w14:paraId="4FEA2BFD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事故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防范整改措施和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责任追究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落实情况</w:t>
      </w:r>
    </w:p>
    <w:p w14:paraId="71E73342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评估问题清单</w:t>
      </w:r>
    </w:p>
    <w:p w14:paraId="4DA65E97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"/>
        <w:gridCol w:w="1931"/>
        <w:gridCol w:w="2270"/>
        <w:gridCol w:w="2127"/>
        <w:gridCol w:w="1283"/>
      </w:tblGrid>
      <w:tr w14:paraId="104805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1" w:type="dxa"/>
          </w:tcPr>
          <w:p w14:paraId="0287AB30">
            <w:pPr>
              <w:spacing w:line="560" w:lineRule="exact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931" w:type="dxa"/>
          </w:tcPr>
          <w:p w14:paraId="29BF0C3B">
            <w:pPr>
              <w:spacing w:line="560" w:lineRule="exact"/>
              <w:ind w:firstLine="643" w:firstLineChars="20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位置</w:t>
            </w:r>
          </w:p>
        </w:tc>
        <w:tc>
          <w:tcPr>
            <w:tcW w:w="2270" w:type="dxa"/>
          </w:tcPr>
          <w:p w14:paraId="21450B54">
            <w:pPr>
              <w:spacing w:line="560" w:lineRule="exact"/>
              <w:ind w:firstLine="643" w:firstLineChars="20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问题描述</w:t>
            </w:r>
          </w:p>
        </w:tc>
        <w:tc>
          <w:tcPr>
            <w:tcW w:w="2127" w:type="dxa"/>
          </w:tcPr>
          <w:p w14:paraId="70D06277">
            <w:pPr>
              <w:spacing w:line="560" w:lineRule="exact"/>
              <w:ind w:firstLine="643" w:firstLineChars="20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照片</w:t>
            </w:r>
          </w:p>
        </w:tc>
        <w:tc>
          <w:tcPr>
            <w:tcW w:w="1283" w:type="dxa"/>
          </w:tcPr>
          <w:p w14:paraId="055E5DFA">
            <w:pPr>
              <w:spacing w:line="560" w:lineRule="exact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备注</w:t>
            </w:r>
          </w:p>
        </w:tc>
      </w:tr>
      <w:tr w14:paraId="1277A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1" w:type="dxa"/>
          </w:tcPr>
          <w:p w14:paraId="35FF5D3E">
            <w:pPr>
              <w:spacing w:line="560" w:lineRule="exact"/>
              <w:ind w:firstLine="640" w:firstLineChars="20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仿宋"/>
                <w:sz w:val="32"/>
                <w:szCs w:val="32"/>
              </w:rPr>
              <w:t>1</w:t>
            </w:r>
          </w:p>
        </w:tc>
        <w:tc>
          <w:tcPr>
            <w:tcW w:w="1931" w:type="dxa"/>
          </w:tcPr>
          <w:p w14:paraId="20A8F54F">
            <w:pPr>
              <w:spacing w:line="560" w:lineRule="exact"/>
              <w:ind w:firstLine="640" w:firstLineChars="20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无</w:t>
            </w:r>
          </w:p>
        </w:tc>
        <w:tc>
          <w:tcPr>
            <w:tcW w:w="2270" w:type="dxa"/>
          </w:tcPr>
          <w:p w14:paraId="0CD78CC0">
            <w:pPr>
              <w:spacing w:line="560" w:lineRule="exact"/>
              <w:ind w:firstLine="640" w:firstLineChars="20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无</w:t>
            </w:r>
          </w:p>
        </w:tc>
        <w:tc>
          <w:tcPr>
            <w:tcW w:w="2127" w:type="dxa"/>
          </w:tcPr>
          <w:p w14:paraId="443F6C4E">
            <w:pPr>
              <w:spacing w:line="560" w:lineRule="exact"/>
              <w:ind w:firstLine="640" w:firstLineChars="20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无</w:t>
            </w:r>
          </w:p>
        </w:tc>
        <w:tc>
          <w:tcPr>
            <w:tcW w:w="1283" w:type="dxa"/>
          </w:tcPr>
          <w:p w14:paraId="502ABBE9">
            <w:pPr>
              <w:spacing w:line="560" w:lineRule="exact"/>
              <w:ind w:firstLine="640" w:firstLineChars="20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</w:tbl>
    <w:p w14:paraId="149DB430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011656B4">
      <w:pPr>
        <w:pStyle w:val="9"/>
        <w:ind w:firstLine="640"/>
        <w:rPr>
          <w:rFonts w:hint="eastAsia" w:ascii="仿宋" w:hAnsi="仿宋" w:eastAsia="仿宋" w:cs="仿宋"/>
          <w:sz w:val="32"/>
          <w:szCs w:val="32"/>
        </w:rPr>
      </w:pPr>
    </w:p>
    <w:p w14:paraId="5108F2E2">
      <w:pPr>
        <w:rPr>
          <w:rFonts w:hint="eastAsia" w:ascii="仿宋" w:hAnsi="仿宋" w:eastAsia="仿宋" w:cs="仿宋"/>
          <w:sz w:val="32"/>
          <w:szCs w:val="32"/>
        </w:rPr>
      </w:pPr>
    </w:p>
    <w:p w14:paraId="5F5AAA7B">
      <w:pPr>
        <w:pStyle w:val="9"/>
        <w:ind w:firstLine="640"/>
        <w:rPr>
          <w:rFonts w:hint="eastAsia" w:ascii="仿宋" w:hAnsi="仿宋" w:eastAsia="仿宋" w:cs="仿宋"/>
          <w:sz w:val="32"/>
          <w:szCs w:val="32"/>
        </w:rPr>
      </w:pPr>
    </w:p>
    <w:p w14:paraId="344B28F2">
      <w:pPr>
        <w:rPr>
          <w:rFonts w:hint="eastAsia" w:ascii="仿宋" w:hAnsi="仿宋" w:eastAsia="仿宋" w:cs="仿宋"/>
          <w:sz w:val="32"/>
          <w:szCs w:val="32"/>
        </w:rPr>
      </w:pPr>
    </w:p>
    <w:p w14:paraId="426E93D8">
      <w:pPr>
        <w:pStyle w:val="9"/>
        <w:ind w:firstLine="640"/>
        <w:rPr>
          <w:rFonts w:hint="eastAsia" w:ascii="仿宋" w:hAnsi="仿宋" w:eastAsia="仿宋" w:cs="仿宋"/>
          <w:sz w:val="32"/>
          <w:szCs w:val="32"/>
        </w:rPr>
      </w:pPr>
    </w:p>
    <w:p w14:paraId="272AADB2">
      <w:pPr>
        <w:rPr>
          <w:rFonts w:hint="eastAsia" w:ascii="仿宋" w:hAnsi="仿宋" w:eastAsia="仿宋" w:cs="仿宋"/>
          <w:sz w:val="32"/>
          <w:szCs w:val="32"/>
        </w:rPr>
      </w:pPr>
    </w:p>
    <w:p w14:paraId="2B56528B">
      <w:pPr>
        <w:pStyle w:val="9"/>
        <w:ind w:firstLine="640"/>
        <w:rPr>
          <w:rFonts w:hint="eastAsia" w:ascii="仿宋" w:hAnsi="仿宋" w:eastAsia="仿宋" w:cs="仿宋"/>
          <w:sz w:val="32"/>
          <w:szCs w:val="32"/>
        </w:rPr>
      </w:pPr>
    </w:p>
    <w:p w14:paraId="29A95FE9">
      <w:pPr>
        <w:rPr>
          <w:rFonts w:hint="eastAsia" w:ascii="仿宋" w:hAnsi="仿宋" w:eastAsia="仿宋" w:cs="仿宋"/>
          <w:sz w:val="32"/>
          <w:szCs w:val="32"/>
        </w:rPr>
      </w:pPr>
    </w:p>
    <w:p w14:paraId="61D13713">
      <w:pPr>
        <w:pStyle w:val="9"/>
        <w:ind w:firstLine="640"/>
        <w:rPr>
          <w:rFonts w:hint="eastAsia" w:ascii="仿宋" w:hAnsi="仿宋" w:eastAsia="仿宋" w:cs="仿宋"/>
          <w:sz w:val="32"/>
          <w:szCs w:val="32"/>
        </w:rPr>
      </w:pPr>
    </w:p>
    <w:p w14:paraId="323AAE0B">
      <w:pPr>
        <w:rPr>
          <w:rFonts w:hint="eastAsia" w:ascii="仿宋" w:hAnsi="仿宋" w:eastAsia="仿宋" w:cs="仿宋"/>
          <w:sz w:val="32"/>
          <w:szCs w:val="32"/>
        </w:rPr>
      </w:pPr>
    </w:p>
    <w:p w14:paraId="1033A32E">
      <w:pPr>
        <w:pStyle w:val="9"/>
        <w:ind w:firstLine="640"/>
        <w:rPr>
          <w:rFonts w:hint="eastAsia" w:ascii="仿宋" w:hAnsi="仿宋" w:eastAsia="仿宋" w:cs="仿宋"/>
          <w:sz w:val="32"/>
          <w:szCs w:val="32"/>
        </w:rPr>
      </w:pPr>
    </w:p>
    <w:p w14:paraId="51DA511F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</w:p>
    <w:p w14:paraId="3F66F64B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eastAsia" w:ascii="Times New Roman" w:hAnsi="Times New Roman" w:eastAsia="仿宋" w:cs="仿宋"/>
          <w:sz w:val="32"/>
          <w:szCs w:val="32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6C036187">
      <w:pPr>
        <w:pStyle w:val="9"/>
      </w:pPr>
    </w:p>
    <w:p w14:paraId="0E15D39B">
      <w:pPr>
        <w:spacing w:line="560" w:lineRule="exact"/>
        <w:jc w:val="center"/>
        <w:rPr>
          <w:rFonts w:hint="default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米东柏杨河华电米东区50万千瓦光伏项目22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0</w:t>
      </w: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千伏升压汇集站“10·26”一般触电</w:t>
      </w:r>
    </w:p>
    <w:p w14:paraId="37D3A4B4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事故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防范整改措施和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责任追究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落实情况</w:t>
      </w:r>
    </w:p>
    <w:p w14:paraId="0D9CC3C3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评估工作建议清单</w:t>
      </w:r>
    </w:p>
    <w:p w14:paraId="520ECFFA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4"/>
        <w:gridCol w:w="6383"/>
        <w:gridCol w:w="1085"/>
      </w:tblGrid>
      <w:tr w14:paraId="19C58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</w:tcPr>
          <w:p w14:paraId="1D4D963E">
            <w:pPr>
              <w:spacing w:line="560" w:lineRule="exact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6383" w:type="dxa"/>
          </w:tcPr>
          <w:p w14:paraId="44899BFE">
            <w:pPr>
              <w:spacing w:line="560" w:lineRule="exact"/>
              <w:ind w:firstLine="643" w:firstLineChars="20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建议内容</w:t>
            </w:r>
          </w:p>
        </w:tc>
        <w:tc>
          <w:tcPr>
            <w:tcW w:w="1085" w:type="dxa"/>
          </w:tcPr>
          <w:p w14:paraId="6E324672">
            <w:pPr>
              <w:spacing w:line="560" w:lineRule="exact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备注</w:t>
            </w:r>
          </w:p>
        </w:tc>
      </w:tr>
      <w:tr w14:paraId="499CA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4" w:type="dxa"/>
            <w:vAlign w:val="center"/>
          </w:tcPr>
          <w:p w14:paraId="4A066E2E">
            <w:pPr>
              <w:spacing w:line="560" w:lineRule="exact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仿宋"/>
                <w:sz w:val="32"/>
                <w:szCs w:val="32"/>
              </w:rPr>
              <w:t>1</w:t>
            </w:r>
          </w:p>
        </w:tc>
        <w:tc>
          <w:tcPr>
            <w:tcW w:w="6383" w:type="dxa"/>
          </w:tcPr>
          <w:p w14:paraId="73BDC542">
            <w:pPr>
              <w:spacing w:line="560" w:lineRule="exact"/>
              <w:ind w:firstLine="640" w:firstLineChars="200"/>
              <w:jc w:val="left"/>
              <w:rPr>
                <w:rFonts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建议</w:t>
            </w:r>
            <w:r>
              <w:rPr>
                <w:rFonts w:hint="default" w:ascii="Times New Roman" w:hAnsi="Times New Roman" w:eastAsia="仿宋_GB2312" w:cs="Times New Roman"/>
                <w:bCs/>
                <w:sz w:val="32"/>
                <w:szCs w:val="32"/>
              </w:rPr>
              <w:t>华电绿能乌鲁木齐发电有限公司</w:t>
            </w:r>
            <w:r>
              <w:rPr>
                <w:rFonts w:hint="default" w:ascii="Times New Roman" w:hAnsi="Times New Roman" w:eastAsia="仿宋" w:cs="Times New Roman"/>
                <w:sz w:val="32"/>
                <w:szCs w:val="32"/>
              </w:rPr>
              <w:t>进一步压实各级管理人员、岗位人员及外委单位的安全生产责任，细化各岗位安全职责清单</w:t>
            </w: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eastAsia="zh-CN"/>
              </w:rPr>
              <w:t>；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严格</w:t>
            </w:r>
            <w:r>
              <w:rPr>
                <w:rFonts w:hint="default" w:ascii="Times New Roman" w:hAnsi="Times New Roman" w:eastAsia="仿宋" w:cs="Times New Roman"/>
                <w:sz w:val="32"/>
                <w:szCs w:val="32"/>
              </w:rPr>
              <w:t>落实双重预防工作机制运行实效，全面深入开展隐患排查治理，坚决防范生产安全事故发生</w:t>
            </w:r>
            <w:r>
              <w:rPr>
                <w:rFonts w:hint="eastAsia" w:ascii="Times New Roman" w:hAnsi="Times New Roman" w:eastAsia="仿宋" w:cs="Times New Roman"/>
                <w:sz w:val="32"/>
                <w:szCs w:val="32"/>
              </w:rPr>
              <w:t>。</w:t>
            </w:r>
          </w:p>
        </w:tc>
        <w:tc>
          <w:tcPr>
            <w:tcW w:w="1085" w:type="dxa"/>
          </w:tcPr>
          <w:p w14:paraId="52455A0E">
            <w:pPr>
              <w:spacing w:line="560" w:lineRule="exact"/>
              <w:ind w:firstLine="640" w:firstLineChars="200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</w:tbl>
    <w:p w14:paraId="19A3A772"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365B75FD">
      <w:pPr>
        <w:pStyle w:val="9"/>
        <w:ind w:firstLine="640"/>
        <w:rPr>
          <w:rFonts w:hint="eastAsia" w:ascii="仿宋" w:hAnsi="仿宋" w:eastAsia="仿宋" w:cs="仿宋"/>
          <w:sz w:val="32"/>
          <w:szCs w:val="32"/>
        </w:rPr>
      </w:pPr>
    </w:p>
    <w:p w14:paraId="6DCA3FE0">
      <w:pPr>
        <w:rPr>
          <w:rFonts w:hint="eastAsia" w:ascii="仿宋" w:hAnsi="仿宋" w:eastAsia="仿宋" w:cs="仿宋"/>
          <w:sz w:val="32"/>
          <w:szCs w:val="32"/>
        </w:rPr>
      </w:pPr>
    </w:p>
    <w:p w14:paraId="030173D5">
      <w:pPr>
        <w:pStyle w:val="9"/>
        <w:ind w:firstLine="640"/>
        <w:rPr>
          <w:rFonts w:hint="eastAsia" w:ascii="仿宋" w:hAnsi="仿宋" w:eastAsia="仿宋" w:cs="仿宋"/>
          <w:sz w:val="32"/>
          <w:szCs w:val="32"/>
        </w:rPr>
      </w:pPr>
    </w:p>
    <w:p w14:paraId="69C564CE"/>
    <w:p w14:paraId="54B9160B">
      <w:pPr>
        <w:pStyle w:val="9"/>
      </w:pPr>
    </w:p>
    <w:p w14:paraId="5B8F815B"/>
    <w:p w14:paraId="2B626656">
      <w:pPr>
        <w:pStyle w:val="9"/>
      </w:pPr>
    </w:p>
    <w:p w14:paraId="78FCC8C1">
      <w:pPr>
        <w:pStyle w:val="9"/>
      </w:pPr>
    </w:p>
    <w:p w14:paraId="14AE9A50">
      <w:pPr>
        <w:pStyle w:val="5"/>
      </w:pPr>
    </w:p>
    <w:p w14:paraId="0962AED5">
      <w:pPr>
        <w:pStyle w:val="3"/>
      </w:pPr>
    </w:p>
    <w:p w14:paraId="7D82210D">
      <w:pPr>
        <w:pStyle w:val="9"/>
        <w:ind w:left="0" w:leftChars="0" w:firstLine="0" w:firstLineChars="0"/>
      </w:pPr>
    </w:p>
    <w:p w14:paraId="043AE01E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附件</w:t>
      </w:r>
      <w:r>
        <w:rPr>
          <w:rFonts w:hint="eastAsia" w:ascii="Times New Roman" w:hAnsi="Times New Roman" w:eastAsia="仿宋" w:cs="仿宋"/>
          <w:sz w:val="32"/>
          <w:szCs w:val="32"/>
        </w:rPr>
        <w:t>3</w:t>
      </w:r>
      <w:r>
        <w:rPr>
          <w:rFonts w:hint="eastAsia" w:ascii="仿宋" w:hAnsi="仿宋" w:eastAsia="仿宋" w:cs="仿宋"/>
          <w:sz w:val="32"/>
          <w:szCs w:val="32"/>
        </w:rPr>
        <w:t>：</w:t>
      </w:r>
    </w:p>
    <w:p w14:paraId="61B4A40E">
      <w:pPr>
        <w:pStyle w:val="9"/>
      </w:pPr>
    </w:p>
    <w:p w14:paraId="5E957BE7">
      <w:pPr>
        <w:spacing w:line="560" w:lineRule="exact"/>
        <w:jc w:val="center"/>
        <w:rPr>
          <w:rFonts w:hint="default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米东柏杨河华电米东区50万千瓦光伏项目22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0</w:t>
      </w: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千伏升压汇集站“10·26”一般触电</w:t>
      </w:r>
    </w:p>
    <w:p w14:paraId="60F421FF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default" w:ascii="方正小标宋_GBK" w:hAnsi="方正小标宋_GBK" w:eastAsia="方正小标宋_GBK" w:cs="方正小标宋_GBK"/>
          <w:sz w:val="44"/>
          <w:szCs w:val="44"/>
        </w:rPr>
        <w:t>事故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防范整改措施和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责任追究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落实情况</w:t>
      </w:r>
    </w:p>
    <w:p w14:paraId="1B35F873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评估经验做法清单</w:t>
      </w:r>
    </w:p>
    <w:p w14:paraId="00890755">
      <w:pPr>
        <w:pStyle w:val="9"/>
      </w:pPr>
    </w:p>
    <w:tbl>
      <w:tblPr>
        <w:tblStyle w:val="11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6"/>
        <w:gridCol w:w="2450"/>
        <w:gridCol w:w="3981"/>
        <w:gridCol w:w="1045"/>
      </w:tblGrid>
      <w:tr w14:paraId="54582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6" w:type="dxa"/>
          </w:tcPr>
          <w:p w14:paraId="23EAFA28">
            <w:pPr>
              <w:spacing w:line="560" w:lineRule="exact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2450" w:type="dxa"/>
          </w:tcPr>
          <w:p w14:paraId="088BA5CE">
            <w:pPr>
              <w:spacing w:line="560" w:lineRule="exact"/>
              <w:ind w:firstLine="643" w:firstLineChars="20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名称</w:t>
            </w:r>
          </w:p>
        </w:tc>
        <w:tc>
          <w:tcPr>
            <w:tcW w:w="3981" w:type="dxa"/>
          </w:tcPr>
          <w:p w14:paraId="70648392">
            <w:pPr>
              <w:spacing w:line="560" w:lineRule="exact"/>
              <w:ind w:firstLine="643" w:firstLineChars="200"/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问题描述</w:t>
            </w:r>
          </w:p>
        </w:tc>
        <w:tc>
          <w:tcPr>
            <w:tcW w:w="1045" w:type="dxa"/>
          </w:tcPr>
          <w:p w14:paraId="5B187548">
            <w:pPr>
              <w:spacing w:line="560" w:lineRule="exact"/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备注</w:t>
            </w:r>
          </w:p>
        </w:tc>
      </w:tr>
      <w:tr w14:paraId="799EA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6" w:type="dxa"/>
          </w:tcPr>
          <w:p w14:paraId="5536D4CF">
            <w:pPr>
              <w:spacing w:line="560" w:lineRule="exact"/>
              <w:ind w:firstLine="640" w:firstLineChars="20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Times New Roman" w:hAnsi="Times New Roman" w:eastAsia="仿宋" w:cs="仿宋"/>
                <w:sz w:val="32"/>
                <w:szCs w:val="32"/>
              </w:rPr>
              <w:t>1</w:t>
            </w:r>
          </w:p>
        </w:tc>
        <w:tc>
          <w:tcPr>
            <w:tcW w:w="2450" w:type="dxa"/>
          </w:tcPr>
          <w:p w14:paraId="338ED9C0">
            <w:pPr>
              <w:spacing w:line="560" w:lineRule="exact"/>
              <w:ind w:firstLine="640" w:firstLineChars="20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无</w:t>
            </w:r>
          </w:p>
        </w:tc>
        <w:tc>
          <w:tcPr>
            <w:tcW w:w="3981" w:type="dxa"/>
          </w:tcPr>
          <w:p w14:paraId="0A445858">
            <w:pPr>
              <w:spacing w:line="560" w:lineRule="exact"/>
              <w:ind w:firstLine="640" w:firstLineChars="20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无</w:t>
            </w:r>
          </w:p>
        </w:tc>
        <w:tc>
          <w:tcPr>
            <w:tcW w:w="1045" w:type="dxa"/>
          </w:tcPr>
          <w:p w14:paraId="7AFDE748">
            <w:pPr>
              <w:spacing w:line="560" w:lineRule="exact"/>
              <w:ind w:firstLine="640" w:firstLineChars="200"/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</w:tbl>
    <w:p w14:paraId="55AC5E1B">
      <w:pPr>
        <w:pStyle w:val="9"/>
        <w:spacing w:after="0" w:line="560" w:lineRule="exact"/>
        <w:ind w:left="0" w:leftChars="0" w:firstLine="0" w:firstLineChars="0"/>
        <w:rPr>
          <w:rFonts w:hint="eastAsia" w:ascii="仿宋" w:hAnsi="仿宋" w:eastAsia="仿宋" w:cs="仿宋"/>
          <w:sz w:val="32"/>
          <w:szCs w:val="32"/>
        </w:rPr>
      </w:pPr>
    </w:p>
    <w:p w14:paraId="23C25CDA">
      <w:pPr>
        <w:pStyle w:val="9"/>
        <w:spacing w:after="0" w:line="560" w:lineRule="exact"/>
        <w:ind w:left="0" w:leftChars="0" w:firstLine="0" w:firstLineChars="0"/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楷体_GBK">
    <w:panose1 w:val="02000000000000000000"/>
    <w:charset w:val="86"/>
    <w:family w:val="script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8ABD32"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1A9BB5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1A9BB5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— </w:t>
                    </w:r>
                    <w:r>
                      <w:rPr>
                        <w:rFonts w:hint="eastAsia"/>
                        <w:sz w:val="24"/>
                      </w:rPr>
                      <w:fldChar w:fldCharType="begin"/>
                    </w:r>
                    <w:r>
                      <w:rPr>
                        <w:rFonts w:hint="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4"/>
                      </w:rPr>
                      <w:fldChar w:fldCharType="separate"/>
                    </w:r>
                    <w:r>
                      <w:rPr>
                        <w:rFonts w:hint="eastAsia"/>
                        <w:sz w:val="24"/>
                      </w:rPr>
                      <w:t>1</w:t>
                    </w:r>
                    <w:r>
                      <w:rPr>
                        <w:rFonts w:hint="eastAsia"/>
                        <w:sz w:val="24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FjYjlhNmE5NzM5YjM5NjU3NzhjZTZhZmVkZmRmYzIifQ=="/>
  </w:docVars>
  <w:rsids>
    <w:rsidRoot w:val="3FD73ABC"/>
    <w:rsid w:val="000942E0"/>
    <w:rsid w:val="000E07B8"/>
    <w:rsid w:val="001501DB"/>
    <w:rsid w:val="001F1B10"/>
    <w:rsid w:val="00214CEE"/>
    <w:rsid w:val="00251461"/>
    <w:rsid w:val="00280569"/>
    <w:rsid w:val="002A63BD"/>
    <w:rsid w:val="002E0F98"/>
    <w:rsid w:val="002E7547"/>
    <w:rsid w:val="00313ED3"/>
    <w:rsid w:val="00370ABD"/>
    <w:rsid w:val="00371EE6"/>
    <w:rsid w:val="003B2B13"/>
    <w:rsid w:val="003E2B9F"/>
    <w:rsid w:val="00443724"/>
    <w:rsid w:val="004A002A"/>
    <w:rsid w:val="004B4ED1"/>
    <w:rsid w:val="004C786C"/>
    <w:rsid w:val="004D332B"/>
    <w:rsid w:val="00504AAB"/>
    <w:rsid w:val="00520B34"/>
    <w:rsid w:val="005338D3"/>
    <w:rsid w:val="00554FCD"/>
    <w:rsid w:val="005C1A26"/>
    <w:rsid w:val="005D4670"/>
    <w:rsid w:val="006128D7"/>
    <w:rsid w:val="00617D79"/>
    <w:rsid w:val="006365C0"/>
    <w:rsid w:val="00644B63"/>
    <w:rsid w:val="006D3910"/>
    <w:rsid w:val="007E187A"/>
    <w:rsid w:val="007F78DB"/>
    <w:rsid w:val="008B37B9"/>
    <w:rsid w:val="00905211"/>
    <w:rsid w:val="00953275"/>
    <w:rsid w:val="00956629"/>
    <w:rsid w:val="00957BE9"/>
    <w:rsid w:val="009670C1"/>
    <w:rsid w:val="00971458"/>
    <w:rsid w:val="00A16A8B"/>
    <w:rsid w:val="00A56D19"/>
    <w:rsid w:val="00A638BB"/>
    <w:rsid w:val="00A90D5E"/>
    <w:rsid w:val="00A9560C"/>
    <w:rsid w:val="00B13E45"/>
    <w:rsid w:val="00B16B44"/>
    <w:rsid w:val="00BC3A32"/>
    <w:rsid w:val="00BC6B99"/>
    <w:rsid w:val="00BC7083"/>
    <w:rsid w:val="00C073EE"/>
    <w:rsid w:val="00CD7A2C"/>
    <w:rsid w:val="00CF2805"/>
    <w:rsid w:val="00CF4BF4"/>
    <w:rsid w:val="00D1686E"/>
    <w:rsid w:val="00D4399B"/>
    <w:rsid w:val="00D44700"/>
    <w:rsid w:val="00D604C1"/>
    <w:rsid w:val="00D63A47"/>
    <w:rsid w:val="00D766AA"/>
    <w:rsid w:val="00D84CBE"/>
    <w:rsid w:val="00D91CB9"/>
    <w:rsid w:val="00DB15D2"/>
    <w:rsid w:val="00E60D09"/>
    <w:rsid w:val="00ED6E5C"/>
    <w:rsid w:val="00EE020D"/>
    <w:rsid w:val="00F03479"/>
    <w:rsid w:val="00F448FC"/>
    <w:rsid w:val="00F650C0"/>
    <w:rsid w:val="00F91833"/>
    <w:rsid w:val="00FA33D9"/>
    <w:rsid w:val="01596B27"/>
    <w:rsid w:val="025F570A"/>
    <w:rsid w:val="030C1DC3"/>
    <w:rsid w:val="030F05E6"/>
    <w:rsid w:val="033223E4"/>
    <w:rsid w:val="04297809"/>
    <w:rsid w:val="052F6692"/>
    <w:rsid w:val="059D1C17"/>
    <w:rsid w:val="06981F31"/>
    <w:rsid w:val="08145102"/>
    <w:rsid w:val="082E7B77"/>
    <w:rsid w:val="08334CB3"/>
    <w:rsid w:val="08FE5B0E"/>
    <w:rsid w:val="09030F44"/>
    <w:rsid w:val="096439FF"/>
    <w:rsid w:val="097E5AC4"/>
    <w:rsid w:val="09932995"/>
    <w:rsid w:val="0A0F5DDA"/>
    <w:rsid w:val="0AFC79DF"/>
    <w:rsid w:val="0B8A006D"/>
    <w:rsid w:val="0B8A0DBD"/>
    <w:rsid w:val="0BC45B6C"/>
    <w:rsid w:val="0C094B2B"/>
    <w:rsid w:val="0C364C3C"/>
    <w:rsid w:val="0C524A3D"/>
    <w:rsid w:val="0C791D6B"/>
    <w:rsid w:val="0D0415E9"/>
    <w:rsid w:val="0D2C6A05"/>
    <w:rsid w:val="0D492A85"/>
    <w:rsid w:val="0D652D71"/>
    <w:rsid w:val="0D850E58"/>
    <w:rsid w:val="101E5B5C"/>
    <w:rsid w:val="10500349"/>
    <w:rsid w:val="10626E29"/>
    <w:rsid w:val="10827447"/>
    <w:rsid w:val="11F26A64"/>
    <w:rsid w:val="11FC758C"/>
    <w:rsid w:val="120746C8"/>
    <w:rsid w:val="12925CA1"/>
    <w:rsid w:val="12970CE4"/>
    <w:rsid w:val="129C3F94"/>
    <w:rsid w:val="13CF729E"/>
    <w:rsid w:val="14013872"/>
    <w:rsid w:val="14081700"/>
    <w:rsid w:val="15850539"/>
    <w:rsid w:val="15AF1BDD"/>
    <w:rsid w:val="16724EF3"/>
    <w:rsid w:val="17BB619C"/>
    <w:rsid w:val="183870D2"/>
    <w:rsid w:val="18535AF1"/>
    <w:rsid w:val="185F2604"/>
    <w:rsid w:val="18833985"/>
    <w:rsid w:val="19425CA2"/>
    <w:rsid w:val="19492DC2"/>
    <w:rsid w:val="19802547"/>
    <w:rsid w:val="1A001910"/>
    <w:rsid w:val="1A4E5640"/>
    <w:rsid w:val="1B18692A"/>
    <w:rsid w:val="1B3B2258"/>
    <w:rsid w:val="1B3D64C4"/>
    <w:rsid w:val="1B413186"/>
    <w:rsid w:val="1BA976AC"/>
    <w:rsid w:val="1BBB0795"/>
    <w:rsid w:val="1BF55545"/>
    <w:rsid w:val="1C0341B5"/>
    <w:rsid w:val="1C1E5859"/>
    <w:rsid w:val="1C410353"/>
    <w:rsid w:val="1C945011"/>
    <w:rsid w:val="1CE25B1D"/>
    <w:rsid w:val="1CE43745"/>
    <w:rsid w:val="1D6D7BF6"/>
    <w:rsid w:val="1D845C95"/>
    <w:rsid w:val="1E4C184E"/>
    <w:rsid w:val="1E5D3A99"/>
    <w:rsid w:val="1E6E6E48"/>
    <w:rsid w:val="1ECF7555"/>
    <w:rsid w:val="1F633DA6"/>
    <w:rsid w:val="1FBD761D"/>
    <w:rsid w:val="1FE0381C"/>
    <w:rsid w:val="1FF75D58"/>
    <w:rsid w:val="204A024A"/>
    <w:rsid w:val="20607B1F"/>
    <w:rsid w:val="20886075"/>
    <w:rsid w:val="2128641C"/>
    <w:rsid w:val="22134079"/>
    <w:rsid w:val="221C2BE0"/>
    <w:rsid w:val="2228645D"/>
    <w:rsid w:val="22737081"/>
    <w:rsid w:val="22F76BFA"/>
    <w:rsid w:val="23EC7059"/>
    <w:rsid w:val="244F48CE"/>
    <w:rsid w:val="24843462"/>
    <w:rsid w:val="26382097"/>
    <w:rsid w:val="265B37FD"/>
    <w:rsid w:val="27555D62"/>
    <w:rsid w:val="284C6FE6"/>
    <w:rsid w:val="28766EDA"/>
    <w:rsid w:val="290659BC"/>
    <w:rsid w:val="293140C3"/>
    <w:rsid w:val="293E50CC"/>
    <w:rsid w:val="29F20306"/>
    <w:rsid w:val="2A6B4102"/>
    <w:rsid w:val="2A7270E6"/>
    <w:rsid w:val="2AC05CBD"/>
    <w:rsid w:val="2AF942AC"/>
    <w:rsid w:val="2B3E538F"/>
    <w:rsid w:val="2B517EB5"/>
    <w:rsid w:val="2B9B5FC5"/>
    <w:rsid w:val="2BA2364D"/>
    <w:rsid w:val="2BD935EF"/>
    <w:rsid w:val="2C0A4E52"/>
    <w:rsid w:val="2D3C331D"/>
    <w:rsid w:val="2D9F7E45"/>
    <w:rsid w:val="2DD14AF8"/>
    <w:rsid w:val="2EAA41CE"/>
    <w:rsid w:val="2ED533E3"/>
    <w:rsid w:val="2F1155D0"/>
    <w:rsid w:val="2F354EA2"/>
    <w:rsid w:val="2F4F71EA"/>
    <w:rsid w:val="2F7267E5"/>
    <w:rsid w:val="2FBF7507"/>
    <w:rsid w:val="30635A70"/>
    <w:rsid w:val="30D230D7"/>
    <w:rsid w:val="30EC2C38"/>
    <w:rsid w:val="31935407"/>
    <w:rsid w:val="31AB06A6"/>
    <w:rsid w:val="323D6715"/>
    <w:rsid w:val="32776D2F"/>
    <w:rsid w:val="349C2C3F"/>
    <w:rsid w:val="360D029B"/>
    <w:rsid w:val="368A1C70"/>
    <w:rsid w:val="370A5CEE"/>
    <w:rsid w:val="3735783B"/>
    <w:rsid w:val="380D440A"/>
    <w:rsid w:val="38392B49"/>
    <w:rsid w:val="38623D58"/>
    <w:rsid w:val="38824AE7"/>
    <w:rsid w:val="39297A85"/>
    <w:rsid w:val="393A6C1E"/>
    <w:rsid w:val="39487F82"/>
    <w:rsid w:val="39E53E23"/>
    <w:rsid w:val="3A4E2908"/>
    <w:rsid w:val="3A951CCF"/>
    <w:rsid w:val="3AA779E4"/>
    <w:rsid w:val="3AAD40F1"/>
    <w:rsid w:val="3ABC24FF"/>
    <w:rsid w:val="3AED0E59"/>
    <w:rsid w:val="3AFB6482"/>
    <w:rsid w:val="3B2A0104"/>
    <w:rsid w:val="3B5B19CB"/>
    <w:rsid w:val="3C425286"/>
    <w:rsid w:val="3C481940"/>
    <w:rsid w:val="3C6F2957"/>
    <w:rsid w:val="3CD11C5E"/>
    <w:rsid w:val="3CE60B18"/>
    <w:rsid w:val="3D6F4D42"/>
    <w:rsid w:val="3D7F28C5"/>
    <w:rsid w:val="3E2B6260"/>
    <w:rsid w:val="3E597C2A"/>
    <w:rsid w:val="3E5E2960"/>
    <w:rsid w:val="3EAE55B8"/>
    <w:rsid w:val="3ECE39EA"/>
    <w:rsid w:val="3F7C5D2C"/>
    <w:rsid w:val="3FD73ABC"/>
    <w:rsid w:val="406B22F4"/>
    <w:rsid w:val="408F55A5"/>
    <w:rsid w:val="40984B9F"/>
    <w:rsid w:val="409B41C5"/>
    <w:rsid w:val="40D74270"/>
    <w:rsid w:val="411B0113"/>
    <w:rsid w:val="41227AFF"/>
    <w:rsid w:val="41A457A9"/>
    <w:rsid w:val="41F07B56"/>
    <w:rsid w:val="42726C75"/>
    <w:rsid w:val="42C25689"/>
    <w:rsid w:val="438F78EC"/>
    <w:rsid w:val="43AF4742"/>
    <w:rsid w:val="43B536CD"/>
    <w:rsid w:val="442D139D"/>
    <w:rsid w:val="44824B55"/>
    <w:rsid w:val="44CB618A"/>
    <w:rsid w:val="4553359C"/>
    <w:rsid w:val="457926F7"/>
    <w:rsid w:val="45AA0546"/>
    <w:rsid w:val="45B65999"/>
    <w:rsid w:val="45D879C8"/>
    <w:rsid w:val="465817B0"/>
    <w:rsid w:val="46AF3C45"/>
    <w:rsid w:val="47022865"/>
    <w:rsid w:val="476173CE"/>
    <w:rsid w:val="477136AE"/>
    <w:rsid w:val="47970B39"/>
    <w:rsid w:val="48DC16A9"/>
    <w:rsid w:val="48E37AE6"/>
    <w:rsid w:val="49A34873"/>
    <w:rsid w:val="49B66E9B"/>
    <w:rsid w:val="4A496975"/>
    <w:rsid w:val="4A504772"/>
    <w:rsid w:val="4A92481D"/>
    <w:rsid w:val="4B2D05BB"/>
    <w:rsid w:val="4B876C9F"/>
    <w:rsid w:val="4B966D42"/>
    <w:rsid w:val="4C214BF7"/>
    <w:rsid w:val="4C3B42D1"/>
    <w:rsid w:val="4C6369E2"/>
    <w:rsid w:val="4D3C0142"/>
    <w:rsid w:val="4D79054A"/>
    <w:rsid w:val="4DD65DBB"/>
    <w:rsid w:val="4DEA6EA7"/>
    <w:rsid w:val="4E6E009A"/>
    <w:rsid w:val="4EC5508A"/>
    <w:rsid w:val="4EED63AF"/>
    <w:rsid w:val="4F076B82"/>
    <w:rsid w:val="4F2A5922"/>
    <w:rsid w:val="4FB37C1B"/>
    <w:rsid w:val="4FDE1AAA"/>
    <w:rsid w:val="505D2A95"/>
    <w:rsid w:val="505E1F13"/>
    <w:rsid w:val="50B868B4"/>
    <w:rsid w:val="50C00E77"/>
    <w:rsid w:val="50DC0E7C"/>
    <w:rsid w:val="51074FB8"/>
    <w:rsid w:val="5147018B"/>
    <w:rsid w:val="51B21E4C"/>
    <w:rsid w:val="51B9002B"/>
    <w:rsid w:val="522F1C41"/>
    <w:rsid w:val="524B5074"/>
    <w:rsid w:val="526879AC"/>
    <w:rsid w:val="53DA2131"/>
    <w:rsid w:val="53DD63CA"/>
    <w:rsid w:val="54203688"/>
    <w:rsid w:val="546D31B5"/>
    <w:rsid w:val="54FD7016"/>
    <w:rsid w:val="55332E78"/>
    <w:rsid w:val="55A346E8"/>
    <w:rsid w:val="55A819D7"/>
    <w:rsid w:val="55B234D0"/>
    <w:rsid w:val="55D05654"/>
    <w:rsid w:val="561014F0"/>
    <w:rsid w:val="56F5458D"/>
    <w:rsid w:val="56FE52BE"/>
    <w:rsid w:val="573664B3"/>
    <w:rsid w:val="57AB79E8"/>
    <w:rsid w:val="58274DE6"/>
    <w:rsid w:val="582F25AD"/>
    <w:rsid w:val="58483072"/>
    <w:rsid w:val="587B740E"/>
    <w:rsid w:val="5926594E"/>
    <w:rsid w:val="593B7117"/>
    <w:rsid w:val="593C4D88"/>
    <w:rsid w:val="59A00E05"/>
    <w:rsid w:val="59FD7F4E"/>
    <w:rsid w:val="5A0947C7"/>
    <w:rsid w:val="5A19293B"/>
    <w:rsid w:val="5A3D7FF0"/>
    <w:rsid w:val="5AA13172"/>
    <w:rsid w:val="5AAA60BC"/>
    <w:rsid w:val="5AE81276"/>
    <w:rsid w:val="5B1D26BF"/>
    <w:rsid w:val="5BF22BD0"/>
    <w:rsid w:val="5CFA2C0D"/>
    <w:rsid w:val="5DC71445"/>
    <w:rsid w:val="5DF85B86"/>
    <w:rsid w:val="5E7F7382"/>
    <w:rsid w:val="5EA278FB"/>
    <w:rsid w:val="5F022447"/>
    <w:rsid w:val="5FC74A25"/>
    <w:rsid w:val="5FE64691"/>
    <w:rsid w:val="60372DBB"/>
    <w:rsid w:val="617D2C9E"/>
    <w:rsid w:val="6182571F"/>
    <w:rsid w:val="619E2018"/>
    <w:rsid w:val="62164ED6"/>
    <w:rsid w:val="63192859"/>
    <w:rsid w:val="634B25B2"/>
    <w:rsid w:val="63AD14AD"/>
    <w:rsid w:val="63BF633E"/>
    <w:rsid w:val="64263D97"/>
    <w:rsid w:val="646178DF"/>
    <w:rsid w:val="64A151FE"/>
    <w:rsid w:val="64CA4BDE"/>
    <w:rsid w:val="64E83603"/>
    <w:rsid w:val="64EC596B"/>
    <w:rsid w:val="653F625B"/>
    <w:rsid w:val="656B65B9"/>
    <w:rsid w:val="65BA5B56"/>
    <w:rsid w:val="65D33363"/>
    <w:rsid w:val="65F10598"/>
    <w:rsid w:val="66E55B2E"/>
    <w:rsid w:val="676B08E3"/>
    <w:rsid w:val="67BB2270"/>
    <w:rsid w:val="688A1326"/>
    <w:rsid w:val="68B2275B"/>
    <w:rsid w:val="68CD035E"/>
    <w:rsid w:val="68F239CA"/>
    <w:rsid w:val="69FF3B0C"/>
    <w:rsid w:val="6A1A252E"/>
    <w:rsid w:val="6AE5698B"/>
    <w:rsid w:val="6B0E1B7B"/>
    <w:rsid w:val="6B2C2368"/>
    <w:rsid w:val="6B4E2365"/>
    <w:rsid w:val="6C5A2697"/>
    <w:rsid w:val="6C911AD7"/>
    <w:rsid w:val="6CF73517"/>
    <w:rsid w:val="6D362E7C"/>
    <w:rsid w:val="6D777679"/>
    <w:rsid w:val="6DBE5F7D"/>
    <w:rsid w:val="6DE22F26"/>
    <w:rsid w:val="6E706F22"/>
    <w:rsid w:val="6E96613E"/>
    <w:rsid w:val="6EC47516"/>
    <w:rsid w:val="70613FE0"/>
    <w:rsid w:val="708B4DB4"/>
    <w:rsid w:val="70A009D9"/>
    <w:rsid w:val="70A45761"/>
    <w:rsid w:val="71384449"/>
    <w:rsid w:val="714539F8"/>
    <w:rsid w:val="71A725FF"/>
    <w:rsid w:val="71D26C4C"/>
    <w:rsid w:val="72836E8C"/>
    <w:rsid w:val="729911F3"/>
    <w:rsid w:val="73C24599"/>
    <w:rsid w:val="73DF514D"/>
    <w:rsid w:val="74096D09"/>
    <w:rsid w:val="74B208E5"/>
    <w:rsid w:val="74D365F8"/>
    <w:rsid w:val="74E45E01"/>
    <w:rsid w:val="75382546"/>
    <w:rsid w:val="754B4818"/>
    <w:rsid w:val="754E362B"/>
    <w:rsid w:val="756B695F"/>
    <w:rsid w:val="75FA4465"/>
    <w:rsid w:val="76810FBD"/>
    <w:rsid w:val="769A0818"/>
    <w:rsid w:val="76D372CC"/>
    <w:rsid w:val="77405C04"/>
    <w:rsid w:val="77BD4FF7"/>
    <w:rsid w:val="77D01860"/>
    <w:rsid w:val="77DA295A"/>
    <w:rsid w:val="77FA3A72"/>
    <w:rsid w:val="78307AA3"/>
    <w:rsid w:val="785F0D0A"/>
    <w:rsid w:val="787E1FC8"/>
    <w:rsid w:val="78A3744C"/>
    <w:rsid w:val="78BE5233"/>
    <w:rsid w:val="7940464E"/>
    <w:rsid w:val="7A8E78E4"/>
    <w:rsid w:val="7A9D6B6B"/>
    <w:rsid w:val="7AE63E53"/>
    <w:rsid w:val="7B002A84"/>
    <w:rsid w:val="7B3C1D6A"/>
    <w:rsid w:val="7B553320"/>
    <w:rsid w:val="7C0A5BD8"/>
    <w:rsid w:val="7C494EA0"/>
    <w:rsid w:val="7C685668"/>
    <w:rsid w:val="7CC16693"/>
    <w:rsid w:val="7CD037F3"/>
    <w:rsid w:val="7CF2235D"/>
    <w:rsid w:val="7D3B4DD2"/>
    <w:rsid w:val="7D9A1380"/>
    <w:rsid w:val="7DC16F4D"/>
    <w:rsid w:val="7DE90C09"/>
    <w:rsid w:val="7E1724FA"/>
    <w:rsid w:val="7F1426DF"/>
    <w:rsid w:val="7F9C389D"/>
    <w:rsid w:val="7FA25D3B"/>
    <w:rsid w:val="7FCE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styleId="4">
    <w:name w:val="annotation text"/>
    <w:basedOn w:val="1"/>
    <w:unhideWhenUsed/>
    <w:qFormat/>
    <w:uiPriority w:val="99"/>
    <w:pPr>
      <w:jc w:val="left"/>
    </w:pPr>
  </w:style>
  <w:style w:type="paragraph" w:styleId="5">
    <w:name w:val="Body Text Indent"/>
    <w:basedOn w:val="1"/>
    <w:next w:val="3"/>
    <w:qFormat/>
    <w:uiPriority w:val="0"/>
    <w:pPr>
      <w:spacing w:after="120"/>
      <w:ind w:left="420" w:leftChars="200"/>
    </w:pPr>
    <w:rPr>
      <w:rFonts w:ascii="仿宋_GB2312"/>
      <w:szCs w:val="20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8">
    <w:name w:val="Normal (Web)"/>
    <w:basedOn w:val="1"/>
    <w:qFormat/>
    <w:uiPriority w:val="0"/>
    <w:rPr>
      <w:sz w:val="24"/>
    </w:rPr>
  </w:style>
  <w:style w:type="paragraph" w:styleId="9">
    <w:name w:val="Body Text First Indent 2"/>
    <w:basedOn w:val="5"/>
    <w:next w:val="5"/>
    <w:qFormat/>
    <w:uiPriority w:val="0"/>
    <w:pPr>
      <w:ind w:firstLine="420" w:firstLineChars="20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15"/>
    <w:qFormat/>
    <w:uiPriority w:val="0"/>
    <w:rPr>
      <w:rFonts w:hint="default" w:ascii="Calibri" w:hAnsi="Calibri" w:cs="Times New Roman"/>
      <w:b/>
      <w:bCs/>
    </w:rPr>
  </w:style>
  <w:style w:type="paragraph" w:customStyle="1" w:styleId="14">
    <w:name w:val="正文-公1"/>
    <w:basedOn w:val="1"/>
    <w:next w:val="1"/>
    <w:qFormat/>
    <w:uiPriority w:val="0"/>
    <w:pPr>
      <w:ind w:firstLine="200" w:firstLineChars="200"/>
      <w:jc w:val="left"/>
    </w:pPr>
    <w:rPr>
      <w:rFonts w:eastAsia="仿宋_GB231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1844</Words>
  <Characters>131</Characters>
  <Lines>7</Lines>
  <Paragraphs>30</Paragraphs>
  <TotalTime>3</TotalTime>
  <ScaleCrop>false</ScaleCrop>
  <LinksUpToDate>false</LinksUpToDate>
  <CharactersWithSpaces>1945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2026-06-29T08:15:00Z</dcterms:created>
  <dc:creator>Administrator</dc:creator>
  <cp:lastModifiedBy>Administrator</cp:lastModifiedBy>
  <cp:lastPrinted>2026-06-29T08:28:00Z</cp:lastPrinted>
  <dcterms:modified xsi:type="dcterms:W3CDTF">2026-07-03T05:25:36Z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80098F2AB2BF449FA7F5C192537608A2_13</vt:lpwstr>
  </property>
</Properties>
</file>