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rsidR="00F43C21" w:rsidRDefault="00F43C21">
      <w:pPr>
        <w:shd w:val="clear" w:color="auto" w:fill="FFFFFF"/>
        <w:autoSpaceDE w:val="0"/>
        <w:autoSpaceDN w:val="0"/>
        <w:adjustRightInd w:val="0"/>
        <w:spacing w:before="240" w:after="240"/>
        <w:jc w:val="center"/>
        <w:rPr>
          <w:rFonts w:ascii="Times New Roman" w:hint="default"/>
          <w:kern w:val="36"/>
          <w:sz w:val="40"/>
          <w:szCs w:val="40"/>
          <w:lang w:val="zh-CN"/>
        </w:rPr>
      </w:pPr>
    </w:p>
    <w:p w:rsidR="00F43C21" w:rsidRDefault="00F43C21">
      <w:pPr>
        <w:shd w:val="clear" w:color="auto" w:fill="FFFFFF"/>
        <w:autoSpaceDE w:val="0"/>
        <w:autoSpaceDN w:val="0"/>
        <w:adjustRightInd w:val="0"/>
        <w:spacing w:before="240" w:after="240"/>
        <w:jc w:val="center"/>
        <w:rPr>
          <w:rFonts w:ascii="Times New Roman" w:hint="default"/>
          <w:kern w:val="36"/>
          <w:sz w:val="40"/>
          <w:szCs w:val="40"/>
          <w:lang w:val="zh-CN"/>
        </w:rPr>
      </w:pPr>
    </w:p>
    <w:p w:rsidR="00F43C21" w:rsidRDefault="00000000">
      <w:pPr>
        <w:autoSpaceDE w:val="0"/>
        <w:autoSpaceDN w:val="0"/>
        <w:adjustRightInd w:val="0"/>
        <w:jc w:val="center"/>
        <w:rPr>
          <w:rFonts w:ascii="方正小标宋_GBK" w:eastAsia="方正小标宋_GBK" w:hAnsi="Times New Roman" w:cs="方正小标宋_GBK" w:hint="default"/>
          <w:sz w:val="44"/>
          <w:szCs w:val="44"/>
        </w:rPr>
      </w:pPr>
      <w:r>
        <w:rPr>
          <w:rFonts w:ascii="方正小标宋_GBK" w:eastAsia="方正小标宋_GBK" w:hAnsi="Times New Roman" w:cs="方正小标宋_GBK"/>
          <w:sz w:val="44"/>
          <w:szCs w:val="44"/>
        </w:rPr>
        <w:t>中共乌鲁木齐市米东区委员会老干部局</w:t>
      </w:r>
    </w:p>
    <w:p w:rsidR="00F43C21" w:rsidRDefault="00000000">
      <w:pPr>
        <w:autoSpaceDE w:val="0"/>
        <w:autoSpaceDN w:val="0"/>
        <w:adjustRightInd w:val="0"/>
        <w:jc w:val="center"/>
        <w:rPr>
          <w:rFonts w:ascii="Times New Roman" w:eastAsia="方正小标宋_GBK" w:hAnsi="Times New Roman" w:hint="default"/>
          <w:kern w:val="36"/>
          <w:sz w:val="40"/>
          <w:szCs w:val="40"/>
          <w:lang w:val="zh-CN"/>
        </w:rPr>
      </w:pPr>
      <w:r>
        <w:rPr>
          <w:rFonts w:ascii="方正小标宋_GBK" w:eastAsia="方正小标宋_GBK" w:hAnsi="Times New Roman" w:cs="方正小标宋_GBK"/>
          <w:sz w:val="44"/>
          <w:szCs w:val="44"/>
        </w:rPr>
        <w:t>2022年度部门决算公开说明</w:t>
      </w:r>
    </w:p>
    <w:p w:rsidR="00F43C21" w:rsidRDefault="00F43C21">
      <w:pPr>
        <w:shd w:val="clear" w:color="auto" w:fill="FFFFFF"/>
        <w:autoSpaceDE w:val="0"/>
        <w:autoSpaceDN w:val="0"/>
        <w:adjustRightInd w:val="0"/>
        <w:spacing w:before="240" w:after="240"/>
        <w:jc w:val="center"/>
        <w:rPr>
          <w:rFonts w:ascii="Times New Roman" w:eastAsia="宋体" w:hAnsi="Times New Roman" w:hint="default"/>
          <w:kern w:val="36"/>
          <w:sz w:val="40"/>
          <w:szCs w:val="40"/>
          <w:lang w:val="zh-CN"/>
        </w:rPr>
      </w:pPr>
    </w:p>
    <w:p w:rsidR="00F43C21"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rsidR="00F43C21"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rsidR="00F43C21"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rsidR="00F43C21"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rsidR="00F43C21"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rsidR="00F43C21"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rsidR="00F43C21"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rsidR="00F43C21"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rsidR="00F43C21" w:rsidRDefault="00F43C21">
      <w:pPr>
        <w:autoSpaceDE w:val="0"/>
        <w:autoSpaceDN w:val="0"/>
        <w:adjustRightInd w:val="0"/>
        <w:spacing w:line="540" w:lineRule="exact"/>
        <w:ind w:firstLine="640"/>
        <w:rPr>
          <w:rFonts w:ascii="Times New Roman" w:eastAsia="仿宋_GB2312" w:hAnsi="Times New Roman" w:hint="default"/>
          <w:b/>
          <w:kern w:val="0"/>
          <w:sz w:val="28"/>
          <w:szCs w:val="28"/>
        </w:rPr>
      </w:pPr>
    </w:p>
    <w:p w:rsidR="00F43C21" w:rsidRDefault="00F43C21">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rsidR="00F43C21" w:rsidRDefault="00000000">
      <w:pPr>
        <w:shd w:val="clear" w:color="auto" w:fill="FFFFFF"/>
        <w:autoSpaceDE w:val="0"/>
        <w:autoSpaceDN w:val="0"/>
        <w:adjustRightInd w:val="0"/>
        <w:spacing w:line="360" w:lineRule="auto"/>
        <w:jc w:val="center"/>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一、主要职能</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1、贯彻落实中央、省、市委有关老干部工作的方针政策，并将贯彻落实的情况及时向市委和有关方面报告。</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2、对全区老干部工作中的新情况、新问题进行调查研究，并提出相应的措施和组织实施方法，为区委、区政府决策提供依据。</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3、负责督促、检查全区贯彻落实中央和省、市委关于离休干部的政治、生活待遇，做好有关综合协调工作。落实离休干部离休费（金）和各项福利待遇的政策调整工作。</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4、协同有关部门加强老干部党支部建设的指导工作，抓好老干部支部书记培训，组织广大老干部在两个文明建设中积极发挥作用。协调新闻、宣传部门宣传老干部工作，宣传离休干部政治坚定、理想永存、思想长青的光辉形象和历史功绩，以及在改革开放中的无私奉献精神。</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5、配合有关部门做好老干部的医疗保健工作；协同解决好离休干部政策规定范围内的医疗费用的实报实销工作。</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6、组织指导老干部开展健康疗养、文化、体育等有益于老同志身心健康的活动；负责重大节日和经常走访慰问离休干部，抓好老干部重大活动的组织安排，指导有关单位办理离休老干部丧事。</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7、做好县处级以上退休干部管理和服务工作，组织重要节</w:t>
      </w:r>
      <w:r>
        <w:rPr>
          <w:rFonts w:ascii="仿宋_GB2312" w:eastAsia="仿宋_GB2312" w:hAnsi="宋体"/>
          <w:kern w:val="0"/>
          <w:sz w:val="32"/>
          <w:szCs w:val="24"/>
        </w:rPr>
        <w:lastRenderedPageBreak/>
        <w:t>日的走访慰问，组织离休干部和县处级以上退休干部健康体检。</w:t>
      </w:r>
    </w:p>
    <w:p w:rsidR="00F43C21" w:rsidRDefault="00000000">
      <w:pPr>
        <w:spacing w:line="560" w:lineRule="exact"/>
        <w:ind w:firstLineChars="200" w:firstLine="640"/>
        <w:jc w:val="left"/>
        <w:rPr>
          <w:rFonts w:ascii="仿宋_GB2312" w:eastAsia="仿宋_GB2312" w:hAnsi="宋体" w:hint="default"/>
          <w:kern w:val="0"/>
          <w:sz w:val="32"/>
          <w:szCs w:val="24"/>
        </w:rPr>
      </w:pPr>
      <w:r>
        <w:rPr>
          <w:rFonts w:ascii="仿宋_GB2312" w:eastAsia="仿宋_GB2312" w:hAnsi="宋体"/>
          <w:kern w:val="0"/>
          <w:sz w:val="32"/>
          <w:szCs w:val="24"/>
        </w:rPr>
        <w:t>8、对全区老干部工作系统加强指导，负责并实施对老干部工作人员进行培训，逐步实现老干部工作的规范化、科学化、制度化。</w:t>
      </w:r>
    </w:p>
    <w:p w:rsidR="00F43C21" w:rsidRDefault="00000000">
      <w:pPr>
        <w:spacing w:line="560" w:lineRule="exact"/>
        <w:ind w:firstLineChars="200" w:firstLine="640"/>
        <w:jc w:val="left"/>
        <w:rPr>
          <w:rFonts w:ascii="Times New Roman" w:eastAsia="黑体" w:hAnsi="Times New Roman" w:hint="default"/>
          <w:sz w:val="32"/>
          <w:szCs w:val="24"/>
          <w:lang w:val="zh-CN"/>
        </w:rPr>
      </w:pPr>
      <w:r>
        <w:rPr>
          <w:rFonts w:ascii="仿宋_GB2312" w:eastAsia="仿宋_GB2312" w:hAnsi="宋体"/>
          <w:kern w:val="0"/>
          <w:sz w:val="32"/>
          <w:szCs w:val="24"/>
        </w:rPr>
        <w:t>9、做好老年大学的管理工作。</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中共乌鲁木齐市米东区委员会老干部局2022年度，实有人数23人，其中：在职人员8人，离休人员1人，退休人员14人。</w:t>
      </w:r>
    </w:p>
    <w:p w:rsidR="00F43C21"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从部门决算单位构成看，中共乌鲁木齐市米东区委员会老干部局部门决算包括：中共乌鲁木齐市米东区委员会老干部局</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3</w:t>
      </w:r>
      <w:r>
        <w:rPr>
          <w:rFonts w:ascii="仿宋_GB2312" w:eastAsia="仿宋_GB2312" w:hAnsi="Times New Roman" w:cs="仿宋_GB2312"/>
          <w:kern w:val="0"/>
          <w:sz w:val="32"/>
          <w:szCs w:val="32"/>
          <w:lang w:val="zh-CN"/>
        </w:rPr>
        <w:t>个科室，分别是：</w:t>
      </w:r>
      <w:r>
        <w:rPr>
          <w:rFonts w:ascii="仿宋_GB2312" w:eastAsia="仿宋_GB2312" w:hAnsi="宋体"/>
          <w:kern w:val="0"/>
          <w:sz w:val="32"/>
          <w:szCs w:val="24"/>
        </w:rPr>
        <w:t>财务室、办公室、活动中心</w:t>
      </w:r>
      <w:r>
        <w:rPr>
          <w:rFonts w:ascii="仿宋_GB2312" w:eastAsia="仿宋_GB2312" w:hAnsi="Times New Roman" w:cs="仿宋_GB2312"/>
          <w:kern w:val="0"/>
          <w:sz w:val="32"/>
          <w:szCs w:val="32"/>
          <w:highlight w:val="white"/>
          <w:lang w:val="zh-CN"/>
        </w:rPr>
        <w:t>。</w:t>
      </w:r>
    </w:p>
    <w:p w:rsidR="00F43C21" w:rsidRDefault="00000000">
      <w:pPr>
        <w:shd w:val="clear" w:color="auto" w:fill="FFFFFF"/>
        <w:autoSpaceDE w:val="0"/>
        <w:autoSpaceDN w:val="0"/>
        <w:adjustRightInd w:val="0"/>
        <w:spacing w:before="100" w:after="240"/>
        <w:jc w:val="center"/>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rsidR="00F43C2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252.56万元，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249.20</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3.36</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与上年相比，增加1.46万元，增长0.58%，主要原因是：</w:t>
      </w:r>
      <w:r>
        <w:rPr>
          <w:rFonts w:ascii="仿宋_GB2312" w:eastAsia="仿宋_GB2312" w:hAnsi="Times New Roman"/>
          <w:kern w:val="0"/>
          <w:sz w:val="32"/>
          <w:szCs w:val="24"/>
        </w:rPr>
        <w:t>人员职称调整增加了工资，同时社保缴纳基数增加，收入总计增加</w:t>
      </w:r>
      <w:r>
        <w:rPr>
          <w:rFonts w:ascii="仿宋_GB2312" w:eastAsia="仿宋_GB2312" w:hAnsi="Times New Roman" w:cs="仿宋_GB2312"/>
          <w:kern w:val="0"/>
          <w:sz w:val="32"/>
          <w:szCs w:val="32"/>
        </w:rPr>
        <w:t>。</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252.56万元，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249.70</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2.86</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lastRenderedPageBreak/>
        <w:t>与上年相比，增加1.46万元，增长0.58%，主要原因是：</w:t>
      </w:r>
      <w:r>
        <w:rPr>
          <w:rFonts w:ascii="仿宋_GB2312" w:eastAsia="仿宋_GB2312" w:hAnsi="Times New Roman"/>
          <w:kern w:val="0"/>
          <w:sz w:val="32"/>
          <w:szCs w:val="24"/>
        </w:rPr>
        <w:t>人员职称调整增加了工资，同时社保缴纳基数增加，支出总计增加</w:t>
      </w:r>
      <w:r>
        <w:rPr>
          <w:rFonts w:ascii="仿宋_GB2312" w:eastAsia="仿宋_GB2312" w:hAnsi="Times New Roman" w:cs="仿宋_GB2312"/>
          <w:kern w:val="0"/>
          <w:sz w:val="32"/>
          <w:szCs w:val="32"/>
        </w:rPr>
        <w:t>。</w:t>
      </w:r>
    </w:p>
    <w:p w:rsidR="00F43C2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249.20万元，其中：财政拨款收入248.39万元，占99.67%；上级补助收入0.00万元，占0.00%；事业收入0.00万元，占0.00%；经营收入0.00万元，占0.00%；附属单位上缴收入0.00万元，占0.00%；其他收入0.81万元，占0.33%。</w:t>
      </w:r>
    </w:p>
    <w:p w:rsidR="00F43C2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2022年度本年支出249.70万元，其中：基本支出249.70万元，占100.00%；项目支出0.00万元，占0.00%；上缴上级支出0.00万元，占0.00%；经营支出0.00万元，占0.00%；对附属单位补助支出0.00万元，占0.00%。</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rsidR="00F43C2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248.95万元，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0.56</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248.39</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与上年相比，减少1.24万元，下降0.50%，主要原因是：</w:t>
      </w:r>
      <w:r>
        <w:rPr>
          <w:rFonts w:ascii="仿宋_GB2312" w:eastAsia="仿宋_GB2312" w:hAnsi="Times New Roman"/>
          <w:kern w:val="0"/>
          <w:sz w:val="32"/>
          <w:szCs w:val="24"/>
        </w:rPr>
        <w:t>本年受疫情影响单位业务量减少，专用材料费较上年减少，收入减少</w:t>
      </w:r>
      <w:r>
        <w:rPr>
          <w:rFonts w:ascii="仿宋_GB2312" w:eastAsia="仿宋_GB2312" w:hAnsi="Times New Roman" w:cs="仿宋_GB2312"/>
          <w:kern w:val="0"/>
          <w:sz w:val="32"/>
          <w:szCs w:val="32"/>
        </w:rPr>
        <w:t>。</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248.95万元，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248.95</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与上年相比，减少1.24万元，下降0.50%，主要原因是：</w:t>
      </w:r>
      <w:r>
        <w:rPr>
          <w:rFonts w:ascii="仿宋_GB2312" w:eastAsia="仿宋_GB2312" w:hAnsi="Times New Roman"/>
          <w:kern w:val="0"/>
          <w:sz w:val="32"/>
          <w:szCs w:val="24"/>
        </w:rPr>
        <w:lastRenderedPageBreak/>
        <w:t>本年受疫情影响单位业务量减少，专用材料费较上年减少，支出减少。</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年初预算数246.59万元，决算数248.95万元，预决算差异率0.96%，主要原因是：</w:t>
      </w:r>
      <w:r>
        <w:rPr>
          <w:rFonts w:ascii="仿宋_GB2312" w:eastAsia="仿宋_GB2312" w:hAnsi="Times New Roman"/>
          <w:kern w:val="0"/>
          <w:sz w:val="32"/>
          <w:szCs w:val="24"/>
        </w:rPr>
        <w:t>本年人员职称调整，追加了人员工资，同时上调了社保缴纳基数，追加人员经费，</w:t>
      </w:r>
      <w:r w:rsidR="0026627B">
        <w:rPr>
          <w:rFonts w:ascii="仿宋_GB2312" w:eastAsia="仿宋_GB2312" w:hAnsi="Times New Roman"/>
          <w:kern w:val="0"/>
          <w:sz w:val="32"/>
          <w:szCs w:val="24"/>
        </w:rPr>
        <w:t>导致预决算存在</w:t>
      </w:r>
      <w:r>
        <w:rPr>
          <w:rFonts w:ascii="仿宋_GB2312" w:eastAsia="仿宋_GB2312" w:hAnsi="Times New Roman"/>
          <w:kern w:val="0"/>
          <w:sz w:val="32"/>
          <w:szCs w:val="24"/>
        </w:rPr>
        <w:t>差异</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年初预算数246.59万元，决算数248.95万元，预决算差异率0.96%，主要原因是：</w:t>
      </w:r>
      <w:r>
        <w:rPr>
          <w:rFonts w:ascii="仿宋_GB2312" w:eastAsia="仿宋_GB2312" w:hAnsi="Times New Roman"/>
          <w:kern w:val="0"/>
          <w:sz w:val="32"/>
          <w:szCs w:val="24"/>
        </w:rPr>
        <w:t>本年人员职称调整，追加了人员工资，同时上调了社保缴纳基数，追加人员经费，支出增加，</w:t>
      </w:r>
      <w:r w:rsidR="0026627B">
        <w:rPr>
          <w:rFonts w:ascii="仿宋_GB2312" w:eastAsia="仿宋_GB2312" w:hAnsi="Times New Roman"/>
          <w:kern w:val="0"/>
          <w:sz w:val="32"/>
          <w:szCs w:val="24"/>
        </w:rPr>
        <w:t>导致预决算存在差异</w:t>
      </w:r>
      <w:r w:rsidR="0026627B">
        <w:rPr>
          <w:rFonts w:ascii="仿宋_GB2312" w:eastAsia="仿宋_GB2312" w:hAnsi="Times New Roman"/>
          <w:kern w:val="0"/>
          <w:sz w:val="32"/>
          <w:szCs w:val="24"/>
        </w:rPr>
        <w:t>。</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rsidR="00F43C21"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rsidR="00F43C21"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248.95</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减少0.68万元，下降0.27%，主要原因是：</w:t>
      </w:r>
      <w:r w:rsidR="00996768">
        <w:rPr>
          <w:rFonts w:ascii="仿宋_GB2312" w:eastAsia="仿宋_GB2312" w:hAnsi="Times New Roman"/>
          <w:kern w:val="0"/>
          <w:sz w:val="32"/>
          <w:szCs w:val="24"/>
        </w:rPr>
        <w:t>本年受疫情影响单位业务量减少，专用材料费较上年减少，支出减少</w:t>
      </w:r>
      <w:r>
        <w:rPr>
          <w:rFonts w:ascii="仿宋_GB2312" w:eastAsia="仿宋_GB2312" w:hAnsi="Times New Roman" w:cs="仿宋_GB2312"/>
          <w:kern w:val="0"/>
          <w:sz w:val="32"/>
          <w:szCs w:val="32"/>
        </w:rPr>
        <w:t>。</w:t>
      </w:r>
    </w:p>
    <w:p w:rsidR="00F43C21"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rsidR="00F43C21" w:rsidRDefault="00000000">
      <w:pPr>
        <w:autoSpaceDE w:val="0"/>
        <w:autoSpaceDN w:val="0"/>
        <w:adjustRightInd w:val="0"/>
        <w:spacing w:line="600" w:lineRule="exact"/>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1.社会保障和就业支出（类）248.95万元，占100.00%。</w:t>
      </w:r>
    </w:p>
    <w:p w:rsidR="00F43C21" w:rsidRDefault="00000000">
      <w:pPr>
        <w:autoSpaceDE w:val="0"/>
        <w:autoSpaceDN w:val="0"/>
        <w:adjustRightInd w:val="0"/>
        <w:ind w:firstLine="640"/>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rsidR="00F43C2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1.社会保障和就业支出（类）民政管理事务（款）基层政权建设和社区治理（项）:支出决算数为0.00万元，比上年决算减少22.30万元，下降100.00%，主要原因是：</w:t>
      </w:r>
      <w:r w:rsidR="00A0235C">
        <w:rPr>
          <w:rFonts w:ascii="仿宋_GB2312" w:eastAsia="仿宋_GB2312" w:hAnsi="Times New Roman"/>
          <w:sz w:val="32"/>
          <w:szCs w:val="24"/>
        </w:rPr>
        <w:t>单位本年此功能</w:t>
      </w:r>
      <w:r w:rsidR="00A0235C">
        <w:rPr>
          <w:rFonts w:ascii="仿宋_GB2312" w:eastAsia="仿宋_GB2312" w:hAnsi="Times New Roman"/>
          <w:sz w:val="32"/>
          <w:szCs w:val="24"/>
        </w:rPr>
        <w:lastRenderedPageBreak/>
        <w:t>科目未支出</w:t>
      </w:r>
      <w:r w:rsidR="00A0235C">
        <w:rPr>
          <w:rFonts w:ascii="仿宋_GB2312" w:eastAsia="仿宋_GB2312" w:hAnsi="Times New Roman" w:cs="仿宋_GB2312"/>
          <w:sz w:val="32"/>
          <w:szCs w:val="32"/>
        </w:rPr>
        <w:t>；</w:t>
      </w:r>
    </w:p>
    <w:p w:rsidR="00F43C2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2.社会保障和就业支出（类）行政事业单位养老支出（款）离退休人员管理机构（项）:支出决算数为237.04万元，比上年决算增加24.36万元，增长11.45%，主要原因是：</w:t>
      </w:r>
      <w:r>
        <w:rPr>
          <w:rFonts w:ascii="仿宋_GB2312" w:eastAsia="仿宋_GB2312" w:hAnsi="Times New Roman"/>
          <w:sz w:val="32"/>
          <w:szCs w:val="24"/>
        </w:rPr>
        <w:t>人员工资调整增加，同时社保、公积金调整增加</w:t>
      </w:r>
      <w:r>
        <w:rPr>
          <w:rFonts w:ascii="仿宋_GB2312" w:eastAsia="仿宋_GB2312" w:hAnsi="Times New Roman" w:cs="仿宋_GB2312"/>
          <w:sz w:val="32"/>
          <w:szCs w:val="32"/>
        </w:rPr>
        <w:t>；</w:t>
      </w:r>
    </w:p>
    <w:p w:rsidR="00F43C21"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社会保障和就业支出（类）行政事业单位养老支出（款）机关事业单位基本养老保险缴费支出（项）:支出决算数为11.91万元，比上年决算减少2.74万元，下降18.70%，主要原因是：本年部分资金调整至2080503离退休人员管理机构中列支，此项支出减少。</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2022年度一般公共预算财政拨款基本支出248.95万元，其中：</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243.57万元，包括：基本工资、津贴补贴、奖金、绩效工资、机关事业单位基本养老保险缴费、职工基本医疗保险缴费、公务员医疗补助缴费、其他社会保障缴费、住房公积金、离休费、退休费、抚恤金、生活补助、医疗费补助。</w:t>
      </w:r>
    </w:p>
    <w:p w:rsidR="00F43C21"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公用经费5.38万元，包括：办公费、公务用车运行维护费。</w:t>
      </w:r>
    </w:p>
    <w:p w:rsidR="00F43C2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经费支出决算4.34万元，比上年增加1.05万元，增长31.91%，主要原因是：车辆老旧，维修维</w:t>
      </w:r>
      <w:r>
        <w:rPr>
          <w:rFonts w:ascii="仿宋_GB2312" w:eastAsia="仿宋_GB2312" w:hAnsi="Times New Roman" w:cs="仿宋_GB2312"/>
          <w:kern w:val="0"/>
          <w:sz w:val="32"/>
          <w:szCs w:val="32"/>
        </w:rPr>
        <w:lastRenderedPageBreak/>
        <w:t>护次数增加，此项支出增加。其中：因公出国（境）费支出0.00万元，占0.00%，比上年增加0.00万元，增长0.00%，主要原因是：本年单位无因公出国（境）费支出；公务用车购置及运行维护费支出4.34万元，占100.00%，比上年增加1.05万元，增长31.91%，主要原因是：车辆老旧，维修维护次数增加，此项支出增加；公务接待费支出0.00万元，占0.00%，比上年增加0.00万元，增长0.00%，主要原因是：本年单位无公务接待费支出。具体情况如下：</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因公出国（境）费支出0.00万元，开支内容包括本年单位无因公出国（境）费支出。单位全年安排的因公出国（境）团组0个，因公出国（境）0人次。</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4.34万元，其中：公务用车购置费0.00万元，公务用车运行维护费4.34万元。公务用车运行维护费开支内容包括公务用车燃油费、车辆维修维护费、保险费、过路费等。公务用车购置数0辆，公务用车保有量2辆。</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公务接待费0.00万元，开支内容包括本年单位无公务接待费。单位全年安排的国内公务接待0批次，0人次。</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4.34万元，决算数4.34万元，预决算差异率0.00%，主要原因是：</w:t>
      </w:r>
      <w:r w:rsidR="0045238E">
        <w:rPr>
          <w:rFonts w:ascii="仿宋_GB2312" w:eastAsia="仿宋_GB2312" w:hAnsi="Times New Roman" w:cs="仿宋_GB2312"/>
          <w:kern w:val="0"/>
          <w:sz w:val="32"/>
          <w:szCs w:val="32"/>
        </w:rPr>
        <w:t>单位</w:t>
      </w:r>
      <w:r>
        <w:rPr>
          <w:rFonts w:ascii="仿宋_GB2312" w:eastAsia="仿宋_GB2312" w:hAnsi="Times New Roman"/>
          <w:kern w:val="0"/>
          <w:sz w:val="32"/>
          <w:szCs w:val="24"/>
        </w:rPr>
        <w:t>严格按照预算执行</w:t>
      </w:r>
      <w:r w:rsidR="0045238E">
        <w:rPr>
          <w:rFonts w:ascii="仿宋_GB2312" w:eastAsia="仿宋_GB2312" w:hAnsi="Times New Roman"/>
          <w:kern w:val="0"/>
          <w:sz w:val="32"/>
          <w:szCs w:val="24"/>
        </w:rPr>
        <w:t>，未超预算</w:t>
      </w:r>
      <w:r>
        <w:rPr>
          <w:rFonts w:ascii="仿宋_GB2312" w:eastAsia="仿宋_GB2312" w:hAnsi="Times New Roman" w:cs="仿宋_GB2312"/>
          <w:kern w:val="0"/>
          <w:sz w:val="32"/>
          <w:szCs w:val="32"/>
        </w:rPr>
        <w:t>。其中：因公出国（境）费全年预算数0.00万元，决算数0.00万元，预决算差异率0.00%，主</w:t>
      </w:r>
      <w:r>
        <w:rPr>
          <w:rFonts w:ascii="仿宋_GB2312" w:eastAsia="仿宋_GB2312" w:hAnsi="Times New Roman" w:cs="仿宋_GB2312"/>
          <w:kern w:val="0"/>
          <w:sz w:val="32"/>
          <w:szCs w:val="32"/>
        </w:rPr>
        <w:lastRenderedPageBreak/>
        <w:t>要原因是：本年单位无因公出国（境）费支出；公务用车购置费全年预算数0.00万元，决算数0.00万元，预决算差异率0.00%，主要原因是：本年单位</w:t>
      </w:r>
      <w:r w:rsidR="00304483">
        <w:rPr>
          <w:rFonts w:ascii="仿宋_GB2312" w:eastAsia="仿宋_GB2312" w:hAnsi="Times New Roman" w:cs="仿宋_GB2312"/>
          <w:kern w:val="0"/>
          <w:sz w:val="32"/>
          <w:szCs w:val="32"/>
        </w:rPr>
        <w:t>无此项支出</w:t>
      </w:r>
      <w:r>
        <w:rPr>
          <w:rFonts w:ascii="仿宋_GB2312" w:eastAsia="仿宋_GB2312" w:hAnsi="Times New Roman" w:cs="仿宋_GB2312"/>
          <w:kern w:val="0"/>
          <w:sz w:val="32"/>
          <w:szCs w:val="32"/>
        </w:rPr>
        <w:t>；公务用车运行费全年预算数4.34万元，决算数4.34万元，预决算差异率0.00%，主要原因是：</w:t>
      </w:r>
      <w:r w:rsidR="0045238E">
        <w:rPr>
          <w:rFonts w:ascii="仿宋_GB2312" w:eastAsia="仿宋_GB2312" w:hAnsi="Times New Roman" w:cs="仿宋_GB2312"/>
          <w:kern w:val="0"/>
          <w:sz w:val="32"/>
          <w:szCs w:val="32"/>
        </w:rPr>
        <w:t>单位</w:t>
      </w:r>
      <w:r w:rsidR="0045238E">
        <w:rPr>
          <w:rFonts w:ascii="仿宋_GB2312" w:eastAsia="仿宋_GB2312" w:hAnsi="Times New Roman"/>
          <w:kern w:val="0"/>
          <w:sz w:val="32"/>
          <w:szCs w:val="24"/>
        </w:rPr>
        <w:t>严格按照预算执行，未超预算</w:t>
      </w:r>
      <w:r>
        <w:rPr>
          <w:rFonts w:ascii="仿宋_GB2312" w:eastAsia="仿宋_GB2312" w:hAnsi="Times New Roman" w:cs="仿宋_GB2312"/>
          <w:kern w:val="0"/>
          <w:sz w:val="32"/>
          <w:szCs w:val="32"/>
        </w:rPr>
        <w:t>；公务接待费全年预算数0.00万元，决算数0.00万元，预决算差异率0.00%，主要原因是：本年单位无</w:t>
      </w:r>
      <w:r w:rsidR="0045238E">
        <w:rPr>
          <w:rFonts w:ascii="仿宋_GB2312" w:eastAsia="仿宋_GB2312" w:hAnsi="Times New Roman" w:cs="仿宋_GB2312"/>
          <w:kern w:val="0"/>
          <w:sz w:val="32"/>
          <w:szCs w:val="32"/>
        </w:rPr>
        <w:t>此项支出</w:t>
      </w:r>
      <w:r>
        <w:rPr>
          <w:rFonts w:ascii="仿宋_GB2312" w:eastAsia="仿宋_GB2312" w:hAnsi="Times New Roman" w:cs="仿宋_GB2312"/>
          <w:kern w:val="0"/>
          <w:sz w:val="32"/>
          <w:szCs w:val="32"/>
        </w:rPr>
        <w:t>。</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rsidR="00F43C21"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rsidR="00F43C21" w:rsidRDefault="00000000">
      <w:pPr>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2022年度中共乌鲁木齐市米东区委员会老干部局单位机关运行经费支出5.38万元，比上年减少24.67万元，下降82.10%，主要原因是：</w:t>
      </w:r>
      <w:r w:rsidR="0045238E">
        <w:rPr>
          <w:rFonts w:ascii="仿宋_GB2312" w:eastAsia="仿宋_GB2312" w:hAnsi="Times New Roman" w:cs="仿宋_GB2312"/>
          <w:kern w:val="0"/>
          <w:sz w:val="32"/>
          <w:szCs w:val="32"/>
        </w:rPr>
        <w:t>本年取暖费、专用材料费、福利费等经费</w:t>
      </w:r>
      <w:r>
        <w:rPr>
          <w:rFonts w:ascii="仿宋_GB2312" w:eastAsia="仿宋_GB2312" w:hAnsi="Times New Roman" w:cs="仿宋_GB2312"/>
          <w:kern w:val="0"/>
          <w:sz w:val="32"/>
          <w:szCs w:val="32"/>
        </w:rPr>
        <w:t>支出较上年减少。</w:t>
      </w:r>
    </w:p>
    <w:p w:rsidR="00F43C21" w:rsidRDefault="00000000">
      <w:pPr>
        <w:autoSpaceDE w:val="0"/>
        <w:autoSpaceDN w:val="0"/>
        <w:adjustRightInd w:val="0"/>
        <w:spacing w:line="360" w:lineRule="auto"/>
        <w:ind w:firstLine="640"/>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2022年度政府采购支出总额5.38万元，其中：政府采购货物支出5.38万元、政府采购工程支出0.00万元、政府采购服务支出0.00万元。</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授予中小企业合同金额5.38万元，占政府采购支出总额的100.00%，其中：授予小微企业合同金额5.38万元，占政府采购支出总额的100.00%。</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125.34</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0.00平方米，价值0.00万元。车辆2辆，价值42.30万元，其中：副部（省）级及以上领导用车0辆、主要领导干部用车1辆、机要通信用车0辆、应急保障用车0辆、执法执勤用车0辆、特种专业技术用车0辆、离退休干部用车1辆、其他用车0辆，其他用车主要是：无；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rsidR="00F43C21" w:rsidRDefault="00000000">
      <w:pPr>
        <w:autoSpaceDE w:val="0"/>
        <w:autoSpaceDN w:val="0"/>
        <w:adjustRightInd w:val="0"/>
        <w:spacing w:line="360" w:lineRule="auto"/>
        <w:ind w:firstLine="640"/>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。发现的问题及原因：</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。下一步改进措施：</w:t>
      </w:r>
      <w:r>
        <w:rPr>
          <w:rFonts w:ascii="仿宋_GB2312" w:eastAsia="仿宋_GB2312" w:hint="default"/>
          <w:sz w:val="32"/>
          <w:szCs w:val="32"/>
        </w:rPr>
        <w:t>我单位2022年度无预算绩效项目</w:t>
      </w:r>
      <w:r>
        <w:rPr>
          <w:rFonts w:ascii="仿宋_GB2312" w:eastAsia="仿宋_GB2312" w:hAnsi="Times New Roman" w:cs="仿宋_GB2312"/>
          <w:kern w:val="0"/>
          <w:sz w:val="32"/>
          <w:szCs w:val="32"/>
        </w:rPr>
        <w:t>。</w:t>
      </w:r>
    </w:p>
    <w:p w:rsidR="00F43C21" w:rsidRDefault="00000000">
      <w:pPr>
        <w:shd w:val="clear" w:color="auto" w:fill="FFFFFF"/>
        <w:autoSpaceDE w:val="0"/>
        <w:autoSpaceDN w:val="0"/>
        <w:adjustRightInd w:val="0"/>
        <w:spacing w:before="100" w:after="240"/>
        <w:jc w:val="center"/>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财政拨款收入：指同级财政当年拨付的资金。</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事业收入：指事业单位开展专业业务活动及其辅助活动所取得的收入。</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项目支出：指在基本支出之外为完成特定行政任务和事业发展目标所发生的支出。</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rsidR="00F43C21"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对附属单位补助支出：指事业单位发生的用非财政预算资金对附属单位的补助支出。</w:t>
      </w:r>
    </w:p>
    <w:p w:rsidR="00F43C2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F43C21"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rsidR="00F43C21" w:rsidRDefault="00F43C21">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p>
    <w:p w:rsidR="00F43C21" w:rsidRDefault="00F43C21">
      <w:pPr>
        <w:shd w:val="clear" w:color="auto" w:fill="FFFFFF"/>
        <w:autoSpaceDE w:val="0"/>
        <w:autoSpaceDN w:val="0"/>
        <w:adjustRightInd w:val="0"/>
        <w:spacing w:before="100" w:line="520" w:lineRule="exact"/>
        <w:rPr>
          <w:rFonts w:ascii="Times New Roman" w:eastAsia="仿宋_GB2312" w:hAnsi="Times New Roman" w:hint="default"/>
          <w:kern w:val="0"/>
          <w:sz w:val="24"/>
          <w:szCs w:val="24"/>
        </w:rPr>
      </w:pPr>
    </w:p>
    <w:p w:rsidR="00F43C21" w:rsidRDefault="00000000">
      <w:pPr>
        <w:shd w:val="clear" w:color="auto" w:fill="FFFFFF"/>
        <w:autoSpaceDE w:val="0"/>
        <w:autoSpaceDN w:val="0"/>
        <w:adjustRightInd w:val="0"/>
        <w:spacing w:before="100" w:after="240"/>
        <w:jc w:val="center"/>
        <w:rPr>
          <w:rFonts w:ascii="Times New Roman" w:eastAsia="黑体" w:hAnsi="Times New Roman" w:hint="default"/>
          <w:kern w:val="0"/>
          <w:sz w:val="32"/>
          <w:szCs w:val="32"/>
        </w:rPr>
      </w:pPr>
      <w:r>
        <w:rPr>
          <w:rFonts w:ascii="黑体" w:eastAsia="黑体" w:hAnsi="Times New Roman" w:cs="黑体"/>
          <w:kern w:val="0"/>
          <w:sz w:val="32"/>
          <w:szCs w:val="32"/>
        </w:rPr>
        <w:t>第四部分 部门决算报表（见附表）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lastRenderedPageBreak/>
        <w:t>二、《收入决算表》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rsidR="00F43C21"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rsidR="00F43C2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rsidR="00F43C21"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rsidR="00F43C21" w:rsidRDefault="00F43C21">
      <w:pPr>
        <w:autoSpaceDE w:val="0"/>
        <w:autoSpaceDN w:val="0"/>
        <w:adjustRightInd w:val="0"/>
        <w:jc w:val="left"/>
        <w:rPr>
          <w:rFonts w:ascii="Times New Roman" w:eastAsia="黑体" w:hAnsi="Times New Roman" w:hint="default"/>
          <w:kern w:val="36"/>
          <w:sz w:val="40"/>
          <w:szCs w:val="40"/>
          <w:lang w:val="zh-CN"/>
        </w:rPr>
      </w:pPr>
    </w:p>
    <w:p w:rsidR="00F43C21" w:rsidRDefault="00F43C21">
      <w:pPr>
        <w:autoSpaceDE w:val="0"/>
        <w:autoSpaceDN w:val="0"/>
        <w:adjustRightInd w:val="0"/>
        <w:rPr>
          <w:rFonts w:ascii="Times New Roman" w:eastAsia="黑体" w:hAnsi="Times New Roman" w:hint="default"/>
          <w:szCs w:val="21"/>
        </w:rPr>
      </w:pPr>
    </w:p>
    <w:p w:rsidR="00F43C21" w:rsidRDefault="00F43C21">
      <w:pPr>
        <w:autoSpaceDE w:val="0"/>
        <w:autoSpaceDN w:val="0"/>
        <w:adjustRightInd w:val="0"/>
        <w:jc w:val="left"/>
        <w:rPr>
          <w:rFonts w:ascii="Times New Roman" w:eastAsia="黑体" w:hAnsi="Times New Roman" w:hint="default"/>
          <w:kern w:val="36"/>
          <w:sz w:val="40"/>
          <w:szCs w:val="40"/>
          <w:lang w:val="zh-CN"/>
        </w:rPr>
      </w:pPr>
    </w:p>
    <w:p w:rsidR="00F43C21" w:rsidRDefault="00F43C21">
      <w:pPr>
        <w:autoSpaceDE w:val="0"/>
        <w:autoSpaceDN w:val="0"/>
        <w:adjustRightInd w:val="0"/>
        <w:rPr>
          <w:rFonts w:ascii="Times New Roman" w:eastAsia="黑体" w:hAnsi="Times New Roman" w:hint="default"/>
          <w:szCs w:val="21"/>
        </w:rPr>
      </w:pPr>
    </w:p>
    <w:p w:rsidR="00F43C21" w:rsidRDefault="00F43C21">
      <w:pPr>
        <w:autoSpaceDE w:val="0"/>
        <w:autoSpaceDN w:val="0"/>
        <w:adjustRightInd w:val="0"/>
        <w:jc w:val="left"/>
        <w:rPr>
          <w:rFonts w:ascii="Times New Roman" w:eastAsia="黑体" w:hAnsi="Times New Roman" w:hint="default"/>
          <w:kern w:val="36"/>
          <w:sz w:val="40"/>
          <w:szCs w:val="40"/>
          <w:lang w:val="zh-CN"/>
        </w:rPr>
      </w:pPr>
    </w:p>
    <w:sectPr w:rsidR="00F43C2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66FE2" w:rsidRDefault="00C66FE2">
      <w:pPr>
        <w:rPr>
          <w:rFonts w:hint="default"/>
        </w:rPr>
      </w:pPr>
      <w:r>
        <w:separator/>
      </w:r>
    </w:p>
  </w:endnote>
  <w:endnote w:type="continuationSeparator" w:id="0">
    <w:p w:rsidR="00C66FE2" w:rsidRDefault="00C66FE2">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66FE2" w:rsidRDefault="00C66FE2">
      <w:pPr>
        <w:rPr>
          <w:rFonts w:hint="default"/>
        </w:rPr>
      </w:pPr>
      <w:r>
        <w:separator/>
      </w:r>
    </w:p>
  </w:footnote>
  <w:footnote w:type="continuationSeparator" w:id="0">
    <w:p w:rsidR="00C66FE2" w:rsidRDefault="00C66FE2">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0125C2"/>
    <w:rsid w:val="00172A27"/>
    <w:rsid w:val="0026627B"/>
    <w:rsid w:val="002E0D58"/>
    <w:rsid w:val="00304483"/>
    <w:rsid w:val="0045238E"/>
    <w:rsid w:val="00706822"/>
    <w:rsid w:val="00996768"/>
    <w:rsid w:val="00A0235C"/>
    <w:rsid w:val="00C66FE2"/>
    <w:rsid w:val="00F43C21"/>
    <w:rsid w:val="1BA75B18"/>
    <w:rsid w:val="42F26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60DF90"/>
  <w15:docId w15:val="{4F6A2E60-5DC1-4AC9-BF7F-B252DF3D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14</Pages>
  <Words>853</Words>
  <Characters>4867</Characters>
  <Application>Microsoft Office Word</Application>
  <DocSecurity>0</DocSecurity>
  <Lines>40</Lines>
  <Paragraphs>11</Paragraphs>
  <ScaleCrop>false</ScaleCrop>
  <Company/>
  <LinksUpToDate>false</LinksUpToDate>
  <CharactersWithSpaces>5709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5869</cp:lastModifiedBy>
  <cp:revision>21</cp:revision>
  <dcterms:created xsi:type="dcterms:W3CDTF">2023-08-28T08:48:00Z</dcterms:created>
  <dcterms:modified xsi:type="dcterms:W3CDTF">2023-08-31T05:01:00Z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6E47851EAE5C4C70A104F716B12BD0A3_13</vt:lpwstr>
  </property>
</Properties>
</file>