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rsidR="001E4756" w:rsidRDefault="001E4756">
      <w:pPr>
        <w:shd w:val="clear" w:color="auto" w:fill="FFFFFF"/>
        <w:autoSpaceDE w:val="0"/>
        <w:autoSpaceDN w:val="0"/>
        <w:adjustRightInd w:val="0"/>
        <w:spacing w:before="240" w:after="240"/>
        <w:jc w:val="center"/>
        <w:rPr>
          <w:rFonts w:ascii="Times New Roman" w:hint="default"/>
          <w:kern w:val="36"/>
          <w:sz w:val="40"/>
          <w:szCs w:val="40"/>
          <w:lang w:val="zh-CN"/>
        </w:rPr>
      </w:pPr>
    </w:p>
    <w:p w:rsidR="001E4756" w:rsidRDefault="001E4756">
      <w:pPr>
        <w:shd w:val="clear" w:color="auto" w:fill="FFFFFF"/>
        <w:autoSpaceDE w:val="0"/>
        <w:autoSpaceDN w:val="0"/>
        <w:adjustRightInd w:val="0"/>
        <w:spacing w:before="240" w:after="240"/>
        <w:jc w:val="center"/>
        <w:rPr>
          <w:rFonts w:ascii="Times New Roman" w:hint="default"/>
          <w:kern w:val="36"/>
          <w:sz w:val="40"/>
          <w:szCs w:val="40"/>
          <w:lang w:val="zh-CN"/>
        </w:rPr>
      </w:pPr>
    </w:p>
    <w:p w:rsidR="001E4756" w:rsidRDefault="00000000">
      <w:pPr>
        <w:autoSpaceDE w:val="0"/>
        <w:autoSpaceDN w:val="0"/>
        <w:adjustRightInd w:val="0"/>
        <w:jc w:val="center"/>
        <w:rPr>
          <w:rFonts w:ascii="方正小标宋_GBK" w:eastAsia="方正小标宋_GBK" w:hAnsi="Times New Roman" w:cs="方正小标宋_GBK" w:hint="default"/>
          <w:sz w:val="44"/>
          <w:szCs w:val="44"/>
        </w:rPr>
      </w:pPr>
      <w:r>
        <w:rPr>
          <w:rFonts w:ascii="方正小标宋_GBK" w:eastAsia="方正小标宋_GBK" w:hAnsi="Times New Roman" w:cs="方正小标宋_GBK"/>
          <w:sz w:val="44"/>
          <w:szCs w:val="44"/>
        </w:rPr>
        <w:t>中国人民政治协商会议乌鲁木齐市米东区委员会</w:t>
      </w:r>
    </w:p>
    <w:p w:rsidR="001E4756" w:rsidRDefault="00000000">
      <w:pPr>
        <w:autoSpaceDE w:val="0"/>
        <w:autoSpaceDN w:val="0"/>
        <w:adjustRightInd w:val="0"/>
        <w:jc w:val="center"/>
        <w:rPr>
          <w:rFonts w:ascii="Times New Roman" w:eastAsia="方正小标宋_GBK" w:hAnsi="Times New Roman" w:hint="default"/>
          <w:kern w:val="36"/>
          <w:sz w:val="40"/>
          <w:szCs w:val="40"/>
          <w:lang w:val="zh-CN"/>
        </w:rPr>
      </w:pPr>
      <w:r>
        <w:rPr>
          <w:rFonts w:ascii="方正小标宋_GBK" w:eastAsia="方正小标宋_GBK" w:hAnsi="Times New Roman" w:cs="方正小标宋_GBK"/>
          <w:sz w:val="44"/>
          <w:szCs w:val="44"/>
        </w:rPr>
        <w:t>2022年度部门决算公开说明</w:t>
      </w:r>
    </w:p>
    <w:p w:rsidR="001E4756" w:rsidRDefault="001E4756">
      <w:pPr>
        <w:shd w:val="clear" w:color="auto" w:fill="FFFFFF"/>
        <w:autoSpaceDE w:val="0"/>
        <w:autoSpaceDN w:val="0"/>
        <w:adjustRightInd w:val="0"/>
        <w:spacing w:before="240" w:after="240"/>
        <w:jc w:val="center"/>
        <w:rPr>
          <w:rFonts w:ascii="Times New Roman" w:eastAsia="宋体" w:hAnsi="Times New Roman" w:hint="default"/>
          <w:kern w:val="36"/>
          <w:sz w:val="40"/>
          <w:szCs w:val="40"/>
          <w:lang w:val="zh-CN"/>
        </w:rPr>
      </w:pPr>
    </w:p>
    <w:p w:rsidR="001E4756" w:rsidRDefault="00000000">
      <w:pPr>
        <w:autoSpaceDE w:val="0"/>
        <w:autoSpaceDN w:val="0"/>
        <w:adjustRightInd w:val="0"/>
        <w:spacing w:line="540" w:lineRule="exact"/>
        <w:jc w:val="center"/>
        <w:rPr>
          <w:rFonts w:ascii="Times New Roman" w:eastAsia="仿宋_GB2312" w:hAnsi="Times New Roman" w:hint="default"/>
          <w:b/>
          <w:kern w:val="0"/>
          <w:sz w:val="24"/>
          <w:szCs w:val="24"/>
        </w:rPr>
      </w:pPr>
      <w:r>
        <w:rPr>
          <w:rFonts w:ascii="Times New Roman" w:eastAsia="宋体" w:hAnsi="Times New Roman" w:hint="default"/>
          <w:b/>
          <w:kern w:val="36"/>
          <w:sz w:val="36"/>
          <w:szCs w:val="36"/>
        </w:rPr>
        <w:br w:type="page"/>
      </w:r>
      <w:r>
        <w:rPr>
          <w:rFonts w:ascii="仿宋_GB2312" w:eastAsia="仿宋_GB2312" w:hAnsi="Times New Roman" w:cs="仿宋_GB2312"/>
          <w:b/>
          <w:kern w:val="0"/>
          <w:sz w:val="36"/>
          <w:szCs w:val="36"/>
        </w:rPr>
        <w:lastRenderedPageBreak/>
        <w:t>目  录</w:t>
      </w:r>
    </w:p>
    <w:p w:rsidR="001E4756" w:rsidRDefault="00000000">
      <w:pPr>
        <w:autoSpaceDE w:val="0"/>
        <w:autoSpaceDN w:val="0"/>
        <w:adjustRightInd w:val="0"/>
        <w:spacing w:line="360" w:lineRule="auto"/>
        <w:rPr>
          <w:rFonts w:ascii="Times New Roman" w:eastAsia="仿宋_GB2312" w:hAnsi="Times New Roman" w:hint="default"/>
          <w:kern w:val="0"/>
          <w:sz w:val="32"/>
          <w:szCs w:val="32"/>
        </w:rPr>
      </w:pPr>
      <w:r>
        <w:rPr>
          <w:rFonts w:ascii="仿宋_GB2312" w:eastAsia="仿宋_GB2312" w:hAnsi="Times New Roman" w:cs="仿宋_GB2312"/>
          <w:b/>
          <w:kern w:val="0"/>
          <w:sz w:val="32"/>
          <w:szCs w:val="32"/>
        </w:rPr>
        <w:t>第一部分 单位概况</w:t>
      </w:r>
    </w:p>
    <w:p w:rsidR="001E4756" w:rsidRDefault="00000000">
      <w:pPr>
        <w:autoSpaceDE w:val="0"/>
        <w:autoSpaceDN w:val="0"/>
        <w:adjustRightInd w:val="0"/>
        <w:spacing w:line="360" w:lineRule="auto"/>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一、主要职能</w:t>
      </w:r>
    </w:p>
    <w:p w:rsidR="001E4756" w:rsidRDefault="00000000">
      <w:pPr>
        <w:autoSpaceDE w:val="0"/>
        <w:autoSpaceDN w:val="0"/>
        <w:adjustRightInd w:val="0"/>
        <w:spacing w:line="360" w:lineRule="auto"/>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二、</w:t>
      </w:r>
      <w:r>
        <w:rPr>
          <w:rFonts w:ascii="仿宋_GB2312" w:eastAsia="仿宋_GB2312" w:hAnsi="Times New Roman" w:cs="仿宋_GB2312"/>
          <w:sz w:val="32"/>
          <w:szCs w:val="32"/>
        </w:rPr>
        <w:t>机构设置及人员情况</w:t>
      </w:r>
    </w:p>
    <w:p w:rsidR="001E4756" w:rsidRDefault="00000000">
      <w:pPr>
        <w:autoSpaceDE w:val="0"/>
        <w:autoSpaceDN w:val="0"/>
        <w:adjustRightInd w:val="0"/>
        <w:spacing w:line="360" w:lineRule="auto"/>
        <w:rPr>
          <w:rFonts w:ascii="Times New Roman" w:eastAsia="仿宋_GB2312" w:hAnsi="Times New Roman" w:hint="default"/>
          <w:kern w:val="0"/>
          <w:sz w:val="32"/>
          <w:szCs w:val="32"/>
        </w:rPr>
      </w:pPr>
      <w:r>
        <w:rPr>
          <w:rFonts w:ascii="仿宋_GB2312" w:eastAsia="仿宋_GB2312" w:hAnsi="Times New Roman" w:cs="仿宋_GB2312"/>
          <w:b/>
          <w:kern w:val="0"/>
          <w:sz w:val="32"/>
          <w:szCs w:val="32"/>
        </w:rPr>
        <w:t>第二部分 部门决算情况说明</w:t>
      </w:r>
    </w:p>
    <w:p w:rsidR="001E475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一、收入支出决算总体情况说明</w:t>
      </w:r>
    </w:p>
    <w:p w:rsidR="001E475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二、收入决算情况说明</w:t>
      </w:r>
    </w:p>
    <w:p w:rsidR="001E475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三、支出决算情况说明</w:t>
      </w:r>
    </w:p>
    <w:p w:rsidR="001E475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四、财政拨款收入支出决算总体情况说明</w:t>
      </w:r>
    </w:p>
    <w:p w:rsidR="001E475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五、一般公共预算财政拨款支出决算情况说明</w:t>
      </w:r>
    </w:p>
    <w:p w:rsidR="001E475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六、一般公共预算财政拨款基本支出决算情况说明</w:t>
      </w:r>
    </w:p>
    <w:p w:rsidR="001E475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七、财政拨款</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经费支出决算情况说明</w:t>
      </w:r>
    </w:p>
    <w:p w:rsidR="001E475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八、政府性基金预算</w:t>
      </w:r>
      <w:r>
        <w:rPr>
          <w:rFonts w:ascii="仿宋_GB2312" w:eastAsia="仿宋_GB2312" w:hAnsi="Times New Roman" w:cs="仿宋_GB2312"/>
          <w:sz w:val="32"/>
          <w:szCs w:val="32"/>
          <w:lang w:val="zh-CN"/>
        </w:rPr>
        <w:t>财政拨款</w:t>
      </w:r>
      <w:r>
        <w:rPr>
          <w:rFonts w:ascii="仿宋_GB2312" w:eastAsia="仿宋_GB2312" w:hAnsi="Times New Roman" w:cs="仿宋_GB2312"/>
          <w:sz w:val="32"/>
          <w:szCs w:val="32"/>
        </w:rPr>
        <w:t>收入支出决算情况说明</w:t>
      </w:r>
    </w:p>
    <w:p w:rsidR="001E475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九、国有资本经营预算财政拨款收入支出决算情况说明</w:t>
      </w:r>
    </w:p>
    <w:p w:rsidR="001E475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十、其他重要事项的情况说明</w:t>
      </w:r>
    </w:p>
    <w:p w:rsidR="001E475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（一）机关运行经费支出情况</w:t>
      </w:r>
    </w:p>
    <w:p w:rsidR="001E475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（二）政府采购情况</w:t>
      </w:r>
    </w:p>
    <w:p w:rsidR="001E475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（三）国有资产占用情况说明</w:t>
      </w:r>
    </w:p>
    <w:p w:rsidR="001E475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十</w:t>
      </w:r>
      <w:r>
        <w:rPr>
          <w:rFonts w:ascii="仿宋_GB2312" w:eastAsia="仿宋_GB2312" w:hAnsi="Times New Roman" w:cs="仿宋_GB2312"/>
          <w:sz w:val="32"/>
          <w:szCs w:val="32"/>
          <w:lang w:val="zh-CN"/>
        </w:rPr>
        <w:t>一</w:t>
      </w:r>
      <w:r>
        <w:rPr>
          <w:rFonts w:ascii="仿宋_GB2312" w:eastAsia="仿宋_GB2312" w:hAnsi="Times New Roman" w:cs="仿宋_GB2312"/>
          <w:sz w:val="32"/>
          <w:szCs w:val="32"/>
        </w:rPr>
        <w:t>、预算绩效的情况说明</w:t>
      </w:r>
    </w:p>
    <w:p w:rsidR="001E4756" w:rsidRDefault="00000000">
      <w:pPr>
        <w:autoSpaceDE w:val="0"/>
        <w:autoSpaceDN w:val="0"/>
        <w:adjustRightInd w:val="0"/>
        <w:spacing w:line="360" w:lineRule="auto"/>
        <w:rPr>
          <w:rFonts w:ascii="Times New Roman" w:eastAsia="仿宋_GB2312" w:hAnsi="Times New Roman" w:hint="default"/>
          <w:b/>
          <w:kern w:val="0"/>
          <w:sz w:val="32"/>
          <w:szCs w:val="32"/>
        </w:rPr>
      </w:pPr>
      <w:r>
        <w:rPr>
          <w:rFonts w:ascii="仿宋_GB2312" w:eastAsia="仿宋_GB2312" w:hAnsi="Times New Roman" w:cs="仿宋_GB2312"/>
          <w:b/>
          <w:kern w:val="0"/>
          <w:sz w:val="32"/>
          <w:szCs w:val="32"/>
        </w:rPr>
        <w:t>第三部分 专业名词解释</w:t>
      </w:r>
    </w:p>
    <w:p w:rsidR="001E4756" w:rsidRDefault="00000000">
      <w:pPr>
        <w:autoSpaceDE w:val="0"/>
        <w:autoSpaceDN w:val="0"/>
        <w:adjustRightInd w:val="0"/>
        <w:spacing w:line="360" w:lineRule="auto"/>
        <w:rPr>
          <w:rFonts w:ascii="Times New Roman" w:eastAsia="仿宋_GB2312" w:hAnsi="Times New Roman" w:hint="default"/>
          <w:b/>
          <w:kern w:val="0"/>
          <w:sz w:val="32"/>
          <w:szCs w:val="32"/>
        </w:rPr>
      </w:pPr>
      <w:r>
        <w:rPr>
          <w:rFonts w:ascii="仿宋_GB2312" w:eastAsia="仿宋_GB2312" w:hAnsi="Times New Roman" w:cs="仿宋_GB2312"/>
          <w:b/>
          <w:kern w:val="0"/>
          <w:sz w:val="32"/>
          <w:szCs w:val="32"/>
        </w:rPr>
        <w:t>第四部分 部</w:t>
      </w:r>
      <w:r>
        <w:rPr>
          <w:rFonts w:ascii="仿宋_GB2312" w:eastAsia="仿宋_GB2312" w:hAnsi="Times New Roman" w:cs="仿宋_GB2312"/>
          <w:b/>
          <w:sz w:val="32"/>
          <w:szCs w:val="32"/>
        </w:rPr>
        <w:t>门决算报表（见附表）</w:t>
      </w:r>
    </w:p>
    <w:p w:rsidR="001E475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lastRenderedPageBreak/>
        <w:t>一、《收入支出决算总表》</w:t>
      </w:r>
    </w:p>
    <w:p w:rsidR="001E475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二、《收入决算表》</w:t>
      </w:r>
    </w:p>
    <w:p w:rsidR="001E475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三、《支出决算表》</w:t>
      </w:r>
    </w:p>
    <w:p w:rsidR="001E475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四、《财政拨款收入支出决算总表》</w:t>
      </w:r>
    </w:p>
    <w:p w:rsidR="001E475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五、《一般公共预算财政拨款支出决算表》</w:t>
      </w:r>
    </w:p>
    <w:p w:rsidR="001E475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六、《一般公共预算财政拨款基本支出决算表》</w:t>
      </w:r>
    </w:p>
    <w:p w:rsidR="001E475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七、《财政拨款</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经费支出决算表》</w:t>
      </w:r>
    </w:p>
    <w:p w:rsidR="001E475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八、《政府性基金预算财政拨款收入支出决算表》</w:t>
      </w:r>
    </w:p>
    <w:p w:rsidR="001E475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九、《国有资本经营预算财政拨款收入支出决算表》</w:t>
      </w:r>
    </w:p>
    <w:p w:rsidR="001E4756" w:rsidRDefault="001E4756">
      <w:pPr>
        <w:autoSpaceDE w:val="0"/>
        <w:autoSpaceDN w:val="0"/>
        <w:adjustRightInd w:val="0"/>
        <w:spacing w:line="540" w:lineRule="exact"/>
        <w:ind w:firstLine="640"/>
        <w:rPr>
          <w:rFonts w:ascii="Times New Roman" w:eastAsia="仿宋_GB2312" w:hAnsi="Times New Roman" w:hint="default"/>
          <w:b/>
          <w:kern w:val="0"/>
          <w:sz w:val="28"/>
          <w:szCs w:val="28"/>
        </w:rPr>
      </w:pPr>
    </w:p>
    <w:p w:rsidR="001E4756" w:rsidRDefault="001E4756">
      <w:pPr>
        <w:shd w:val="clear" w:color="auto" w:fill="FFFFFF"/>
        <w:autoSpaceDE w:val="0"/>
        <w:autoSpaceDN w:val="0"/>
        <w:adjustRightInd w:val="0"/>
        <w:spacing w:line="360" w:lineRule="auto"/>
        <w:jc w:val="center"/>
        <w:rPr>
          <w:rFonts w:ascii="Times New Roman" w:eastAsia="仿宋_GB2312" w:hAnsi="Times New Roman" w:hint="default"/>
          <w:kern w:val="0"/>
          <w:sz w:val="32"/>
          <w:szCs w:val="32"/>
        </w:rPr>
      </w:pPr>
    </w:p>
    <w:p w:rsidR="001E4756" w:rsidRDefault="00000000">
      <w:pPr>
        <w:shd w:val="clear" w:color="auto" w:fill="FFFFFF"/>
        <w:autoSpaceDE w:val="0"/>
        <w:autoSpaceDN w:val="0"/>
        <w:adjustRightInd w:val="0"/>
        <w:spacing w:line="360" w:lineRule="auto"/>
        <w:jc w:val="center"/>
        <w:rPr>
          <w:rFonts w:eastAsia="黑体" w:cs="黑体" w:hint="default"/>
          <w:kern w:val="0"/>
          <w:sz w:val="32"/>
          <w:szCs w:val="32"/>
          <w:rtl/>
          <w:lang w:val="ar-SA"/>
        </w:rPr>
      </w:pPr>
      <w:r>
        <w:rPr>
          <w:rFonts w:ascii="Times New Roman" w:eastAsia="仿宋_GB2312" w:hAnsi="Times New Roman" w:hint="default"/>
          <w:kern w:val="0"/>
          <w:sz w:val="32"/>
          <w:szCs w:val="32"/>
        </w:rPr>
        <w:br w:type="page"/>
      </w:r>
      <w:r>
        <w:rPr>
          <w:rFonts w:ascii="黑体" w:eastAsia="黑体" w:hAnsi="Times New Roman" w:cs="黑体"/>
          <w:kern w:val="0"/>
          <w:sz w:val="32"/>
          <w:szCs w:val="32"/>
        </w:rPr>
        <w:lastRenderedPageBreak/>
        <w:t>第一部分 单位概况</w:t>
      </w:r>
    </w:p>
    <w:p w:rsidR="001E4756"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一、主要职能</w:t>
      </w:r>
    </w:p>
    <w:p w:rsidR="001E4756" w:rsidRPr="004077CB"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sidRPr="004077CB">
        <w:rPr>
          <w:rFonts w:ascii="仿宋_GB2312" w:eastAsia="仿宋_GB2312" w:hAnsi="Times New Roman" w:cs="仿宋_GB2312" w:hint="default"/>
          <w:kern w:val="0"/>
          <w:sz w:val="32"/>
          <w:szCs w:val="32"/>
        </w:rPr>
        <w:t>1、负责政协米东区委员会全体会议、常务委员会会议、党组会议、主席会议及有关政协工作会议的会务工作和文字材料工作。</w:t>
      </w:r>
    </w:p>
    <w:p w:rsidR="001E4756" w:rsidRPr="004077CB"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sidRPr="004077CB">
        <w:rPr>
          <w:rFonts w:ascii="仿宋_GB2312" w:eastAsia="仿宋_GB2312" w:hAnsi="Times New Roman" w:cs="仿宋_GB2312" w:hint="default"/>
          <w:kern w:val="0"/>
          <w:sz w:val="32"/>
          <w:szCs w:val="32"/>
        </w:rPr>
        <w:t>2、负责政协米东区委员会全体会议、常务委员会会议决议、决定的具体组织实施工作。</w:t>
      </w:r>
    </w:p>
    <w:p w:rsidR="001E4756" w:rsidRPr="004077CB"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sidRPr="004077CB">
        <w:rPr>
          <w:rFonts w:ascii="仿宋_GB2312" w:eastAsia="仿宋_GB2312" w:hAnsi="Times New Roman" w:cs="仿宋_GB2312" w:hint="default"/>
          <w:kern w:val="0"/>
          <w:sz w:val="32"/>
          <w:szCs w:val="32"/>
        </w:rPr>
        <w:t>3、负责与区委、人大、政府有关部门及乡镇、街道的联系、协调等工作；协调各专门委员会活动的组织工作。</w:t>
      </w:r>
    </w:p>
    <w:p w:rsidR="001E4756" w:rsidRPr="004077CB"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sidRPr="004077CB">
        <w:rPr>
          <w:rFonts w:ascii="仿宋_GB2312" w:eastAsia="仿宋_GB2312" w:hAnsi="Times New Roman" w:cs="仿宋_GB2312" w:hint="default"/>
          <w:kern w:val="0"/>
          <w:sz w:val="32"/>
          <w:szCs w:val="32"/>
        </w:rPr>
        <w:t>4、承办区政协领导交办的其他工作。</w:t>
      </w:r>
    </w:p>
    <w:p w:rsidR="001E4756" w:rsidRPr="004077CB"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sidRPr="004077CB">
        <w:rPr>
          <w:rFonts w:ascii="仿宋_GB2312" w:eastAsia="仿宋_GB2312" w:hAnsi="Times New Roman" w:cs="仿宋_GB2312" w:hint="default"/>
          <w:kern w:val="0"/>
          <w:sz w:val="32"/>
          <w:szCs w:val="32"/>
        </w:rPr>
        <w:t>5、负责经济委员会、科教文卫委员会、民族宗教法制委员会、群众团体委员会、提案委员会、文史资料委员会的日常事务工作。</w:t>
      </w:r>
    </w:p>
    <w:p w:rsidR="001E4756" w:rsidRPr="004077CB"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sidRPr="004077CB">
        <w:rPr>
          <w:rFonts w:ascii="仿宋_GB2312" w:eastAsia="仿宋_GB2312" w:hAnsi="Times New Roman" w:cs="仿宋_GB2312" w:hint="default"/>
          <w:kern w:val="0"/>
          <w:sz w:val="32"/>
          <w:szCs w:val="32"/>
        </w:rPr>
        <w:t>6、组织、实施各专委会活动。如：座谈、参观、视察、考察、调研等</w:t>
      </w:r>
      <w:r w:rsidR="004077CB" w:rsidRPr="004077CB">
        <w:rPr>
          <w:rFonts w:ascii="仿宋_GB2312" w:eastAsia="仿宋_GB2312" w:hAnsi="Times New Roman" w:cs="仿宋_GB2312"/>
          <w:kern w:val="0"/>
          <w:sz w:val="32"/>
          <w:szCs w:val="32"/>
        </w:rPr>
        <w:t>。</w:t>
      </w:r>
    </w:p>
    <w:p w:rsidR="001E4756"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二、机构设置及人员情况</w:t>
      </w:r>
    </w:p>
    <w:p w:rsidR="001E4756" w:rsidRPr="004077CB"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中国人民政治协商会议乌鲁木齐市米东区委员会2022年度，实有人数46人，其中：在职人员17人，离休人员0人，退休人员29人。</w:t>
      </w:r>
    </w:p>
    <w:p w:rsidR="001E4756" w:rsidRPr="004077CB"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tl/>
          <w:lang w:bidi="zh-CN"/>
        </w:rPr>
      </w:pPr>
      <w:r>
        <w:rPr>
          <w:rFonts w:ascii="仿宋_GB2312" w:eastAsia="仿宋_GB2312" w:hAnsi="Times New Roman" w:cs="仿宋_GB2312"/>
          <w:kern w:val="0"/>
          <w:sz w:val="32"/>
          <w:szCs w:val="32"/>
        </w:rPr>
        <w:t>从部门决算单位构成看，中国人民政治协商会议乌鲁木齐市米东区委员</w:t>
      </w:r>
      <w:proofErr w:type="gramStart"/>
      <w:r>
        <w:rPr>
          <w:rFonts w:ascii="仿宋_GB2312" w:eastAsia="仿宋_GB2312" w:hAnsi="Times New Roman" w:cs="仿宋_GB2312"/>
          <w:kern w:val="0"/>
          <w:sz w:val="32"/>
          <w:szCs w:val="32"/>
        </w:rPr>
        <w:t>会部门</w:t>
      </w:r>
      <w:proofErr w:type="gramEnd"/>
      <w:r>
        <w:rPr>
          <w:rFonts w:ascii="仿宋_GB2312" w:eastAsia="仿宋_GB2312" w:hAnsi="Times New Roman" w:cs="仿宋_GB2312"/>
          <w:kern w:val="0"/>
          <w:sz w:val="32"/>
          <w:szCs w:val="32"/>
        </w:rPr>
        <w:t>决算包括：中国人民政治协商会议新疆乌</w:t>
      </w:r>
      <w:r>
        <w:rPr>
          <w:rFonts w:ascii="仿宋_GB2312" w:eastAsia="仿宋_GB2312" w:hAnsi="Times New Roman" w:cs="仿宋_GB2312"/>
          <w:kern w:val="0"/>
          <w:sz w:val="32"/>
          <w:szCs w:val="32"/>
        </w:rPr>
        <w:lastRenderedPageBreak/>
        <w:t>鲁木齐市米东区委员会</w:t>
      </w:r>
      <w:r w:rsidRPr="004077CB">
        <w:rPr>
          <w:rFonts w:ascii="仿宋_GB2312" w:eastAsia="仿宋_GB2312" w:hAnsi="Times New Roman" w:cs="仿宋_GB2312"/>
          <w:kern w:val="0"/>
          <w:sz w:val="32"/>
          <w:szCs w:val="32"/>
        </w:rPr>
        <w:t>决算。单位无下属预算单位，下设</w:t>
      </w:r>
      <w:r>
        <w:rPr>
          <w:rFonts w:ascii="仿宋_GB2312" w:eastAsia="仿宋_GB2312" w:hAnsi="Times New Roman" w:cs="仿宋_GB2312"/>
          <w:kern w:val="0"/>
          <w:sz w:val="32"/>
          <w:szCs w:val="32"/>
        </w:rPr>
        <w:t>6</w:t>
      </w:r>
      <w:r w:rsidRPr="004077CB">
        <w:rPr>
          <w:rFonts w:ascii="仿宋_GB2312" w:eastAsia="仿宋_GB2312" w:hAnsi="Times New Roman" w:cs="仿宋_GB2312"/>
          <w:kern w:val="0"/>
          <w:sz w:val="32"/>
          <w:szCs w:val="32"/>
        </w:rPr>
        <w:t>个科室，分别是：</w:t>
      </w:r>
      <w:r>
        <w:rPr>
          <w:rFonts w:ascii="仿宋_GB2312" w:eastAsia="仿宋_GB2312" w:hAnsi="Times New Roman" w:cs="仿宋_GB2312"/>
          <w:kern w:val="0"/>
          <w:sz w:val="32"/>
          <w:szCs w:val="32"/>
        </w:rPr>
        <w:t>政协办公室、委员联络办公室、经济委员会、提案委员会、民族宗教法制委员会、科教文卫与文史委员会</w:t>
      </w:r>
      <w:r w:rsidRPr="004077CB">
        <w:rPr>
          <w:rFonts w:ascii="仿宋_GB2312" w:eastAsia="仿宋_GB2312" w:hAnsi="Times New Roman" w:cs="仿宋_GB2312"/>
          <w:kern w:val="0"/>
          <w:sz w:val="32"/>
          <w:szCs w:val="32"/>
        </w:rPr>
        <w:t>。</w:t>
      </w:r>
    </w:p>
    <w:p w:rsidR="001E4756" w:rsidRDefault="00000000">
      <w:pPr>
        <w:shd w:val="clear" w:color="auto" w:fill="FFFFFF"/>
        <w:autoSpaceDE w:val="0"/>
        <w:autoSpaceDN w:val="0"/>
        <w:adjustRightInd w:val="0"/>
        <w:spacing w:before="100" w:after="240"/>
        <w:jc w:val="center"/>
        <w:rPr>
          <w:rFonts w:ascii="Times New Roman" w:hint="default"/>
          <w:kern w:val="0"/>
          <w:sz w:val="28"/>
          <w:szCs w:val="28"/>
          <w:rtl/>
          <w:lang w:val="ar-SA"/>
        </w:rPr>
      </w:pPr>
      <w:r>
        <w:rPr>
          <w:rFonts w:ascii="黑体" w:eastAsia="黑体" w:hAnsi="Times New Roman" w:cs="黑体"/>
          <w:kern w:val="0"/>
          <w:sz w:val="32"/>
          <w:szCs w:val="32"/>
        </w:rPr>
        <w:t>第二部分 部门决算情况说明</w:t>
      </w:r>
    </w:p>
    <w:p w:rsidR="001E4756"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一、收入支出决算总体情况说明</w:t>
      </w:r>
    </w:p>
    <w:p w:rsidR="001E4756"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2022年度收入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519.62万元，</w:t>
      </w:r>
      <w:r>
        <w:rPr>
          <w:rFonts w:ascii="仿宋_GB2312" w:eastAsia="仿宋_GB2312" w:hAnsi="Times New Roman" w:cs="仿宋_GB2312"/>
          <w:sz w:val="32"/>
          <w:szCs w:val="32"/>
        </w:rPr>
        <w:t>其中：本年收入合计</w:t>
      </w:r>
      <w:r>
        <w:rPr>
          <w:rFonts w:ascii="仿宋_GB2312" w:eastAsia="仿宋_GB2312" w:hAnsi="Times New Roman" w:cs="仿宋_GB2312"/>
          <w:kern w:val="0"/>
          <w:sz w:val="32"/>
          <w:szCs w:val="32"/>
        </w:rPr>
        <w:t>472.82</w:t>
      </w:r>
      <w:r>
        <w:rPr>
          <w:rFonts w:ascii="仿宋_GB2312" w:eastAsia="仿宋_GB2312" w:hAnsi="Times New Roman" w:cs="仿宋_GB2312"/>
          <w:sz w:val="32"/>
          <w:szCs w:val="32"/>
        </w:rPr>
        <w:t>万元，使用非财政拨款结余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万元，年初结转和结余</w:t>
      </w:r>
      <w:r>
        <w:rPr>
          <w:rFonts w:ascii="仿宋_GB2312" w:eastAsia="仿宋_GB2312" w:hAnsi="Times New Roman" w:cs="仿宋_GB2312"/>
          <w:kern w:val="0"/>
          <w:sz w:val="32"/>
          <w:szCs w:val="32"/>
        </w:rPr>
        <w:t>46.80</w:t>
      </w:r>
      <w:r>
        <w:rPr>
          <w:rFonts w:ascii="仿宋_GB2312" w:eastAsia="仿宋_GB2312" w:hAnsi="Times New Roman" w:cs="仿宋_GB2312"/>
          <w:sz w:val="32"/>
          <w:szCs w:val="32"/>
        </w:rPr>
        <w:t>万元。收入总计</w:t>
      </w:r>
      <w:r>
        <w:rPr>
          <w:rFonts w:ascii="仿宋_GB2312" w:eastAsia="仿宋_GB2312" w:hAnsi="Times New Roman" w:cs="仿宋_GB2312"/>
          <w:kern w:val="0"/>
          <w:sz w:val="32"/>
          <w:szCs w:val="32"/>
        </w:rPr>
        <w:t>与上年相比，增加45.00万元，增长9.48%，主要原因是：本年单位</w:t>
      </w:r>
      <w:r>
        <w:rPr>
          <w:rFonts w:ascii="仿宋_GB2312" w:eastAsia="仿宋_GB2312" w:hAnsi="Times New Roman"/>
          <w:kern w:val="0"/>
          <w:sz w:val="32"/>
          <w:szCs w:val="24"/>
        </w:rPr>
        <w:t>工资调整，本年每人每月增加基础绩效工资，</w:t>
      </w:r>
      <w:r w:rsidR="004077CB">
        <w:rPr>
          <w:rFonts w:ascii="仿宋_GB2312" w:eastAsia="仿宋_GB2312" w:hAnsi="Times New Roman"/>
          <w:kern w:val="0"/>
          <w:sz w:val="32"/>
          <w:szCs w:val="24"/>
        </w:rPr>
        <w:t>导致收入</w:t>
      </w:r>
      <w:r>
        <w:rPr>
          <w:rFonts w:ascii="仿宋_GB2312" w:eastAsia="仿宋_GB2312" w:hAnsi="Times New Roman"/>
          <w:kern w:val="0"/>
          <w:sz w:val="32"/>
          <w:szCs w:val="24"/>
        </w:rPr>
        <w:t>增加</w:t>
      </w:r>
      <w:r>
        <w:rPr>
          <w:rFonts w:ascii="仿宋_GB2312" w:eastAsia="仿宋_GB2312" w:hAnsi="Times New Roman" w:cs="仿宋_GB2312"/>
          <w:kern w:val="0"/>
          <w:sz w:val="32"/>
          <w:szCs w:val="32"/>
        </w:rPr>
        <w:t>。</w:t>
      </w:r>
    </w:p>
    <w:p w:rsidR="001E475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sz w:val="32"/>
          <w:szCs w:val="32"/>
        </w:rPr>
        <w:t>本年支出总计</w:t>
      </w:r>
      <w:r>
        <w:rPr>
          <w:rFonts w:ascii="仿宋_GB2312" w:eastAsia="仿宋_GB2312" w:hAnsi="Times New Roman" w:cs="仿宋_GB2312"/>
          <w:kern w:val="0"/>
          <w:sz w:val="32"/>
          <w:szCs w:val="32"/>
        </w:rPr>
        <w:t>519.62万元，</w:t>
      </w:r>
      <w:r>
        <w:rPr>
          <w:rFonts w:ascii="仿宋_GB2312" w:eastAsia="仿宋_GB2312" w:hAnsi="Times New Roman" w:cs="仿宋_GB2312"/>
          <w:sz w:val="32"/>
          <w:szCs w:val="32"/>
        </w:rPr>
        <w:t>其中：本年支出合计</w:t>
      </w:r>
      <w:r>
        <w:rPr>
          <w:rFonts w:ascii="仿宋_GB2312" w:eastAsia="仿宋_GB2312" w:hAnsi="Times New Roman" w:cs="仿宋_GB2312"/>
          <w:kern w:val="0"/>
          <w:sz w:val="32"/>
          <w:szCs w:val="32"/>
        </w:rPr>
        <w:t>473.17</w:t>
      </w:r>
      <w:r>
        <w:rPr>
          <w:rFonts w:ascii="仿宋_GB2312" w:eastAsia="仿宋_GB2312" w:hAnsi="Times New Roman" w:cs="仿宋_GB2312"/>
          <w:sz w:val="32"/>
          <w:szCs w:val="32"/>
        </w:rPr>
        <w:t>万元，结余分配</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万元，年末结转和结余</w:t>
      </w:r>
      <w:r>
        <w:rPr>
          <w:rFonts w:ascii="仿宋_GB2312" w:eastAsia="仿宋_GB2312" w:hAnsi="Times New Roman" w:cs="仿宋_GB2312"/>
          <w:kern w:val="0"/>
          <w:sz w:val="32"/>
          <w:szCs w:val="32"/>
        </w:rPr>
        <w:t>46.45</w:t>
      </w:r>
      <w:r>
        <w:rPr>
          <w:rFonts w:ascii="仿宋_GB2312" w:eastAsia="仿宋_GB2312" w:hAnsi="Times New Roman" w:cs="仿宋_GB2312"/>
          <w:sz w:val="32"/>
          <w:szCs w:val="32"/>
        </w:rPr>
        <w:t>万元。支出总计</w:t>
      </w:r>
      <w:r>
        <w:rPr>
          <w:rFonts w:ascii="仿宋_GB2312" w:eastAsia="仿宋_GB2312" w:hAnsi="Times New Roman" w:cs="仿宋_GB2312"/>
          <w:kern w:val="0"/>
          <w:sz w:val="32"/>
          <w:szCs w:val="32"/>
        </w:rPr>
        <w:t>与上年相比，增加45.00万元，增长9.48%，主要原因是：本年单位</w:t>
      </w:r>
      <w:r>
        <w:rPr>
          <w:rFonts w:ascii="仿宋_GB2312" w:eastAsia="仿宋_GB2312" w:hAnsi="Times New Roman"/>
          <w:kern w:val="0"/>
          <w:sz w:val="32"/>
          <w:szCs w:val="24"/>
        </w:rPr>
        <w:t>工资调整，本年每人每月增加基础绩效工资，</w:t>
      </w:r>
      <w:r w:rsidR="004077CB">
        <w:rPr>
          <w:rFonts w:ascii="仿宋_GB2312" w:eastAsia="仿宋_GB2312" w:hAnsi="Times New Roman"/>
          <w:kern w:val="0"/>
          <w:sz w:val="32"/>
          <w:szCs w:val="24"/>
        </w:rPr>
        <w:t>导致</w:t>
      </w:r>
      <w:r w:rsidR="004077CB">
        <w:rPr>
          <w:rFonts w:ascii="仿宋_GB2312" w:eastAsia="仿宋_GB2312" w:hAnsi="Times New Roman"/>
          <w:kern w:val="0"/>
          <w:sz w:val="32"/>
          <w:szCs w:val="24"/>
        </w:rPr>
        <w:t>支出增加</w:t>
      </w:r>
      <w:r>
        <w:rPr>
          <w:rFonts w:ascii="仿宋_GB2312" w:eastAsia="仿宋_GB2312" w:hAnsi="Times New Roman" w:cs="仿宋_GB2312"/>
          <w:kern w:val="0"/>
          <w:sz w:val="32"/>
          <w:szCs w:val="32"/>
        </w:rPr>
        <w:t>。</w:t>
      </w:r>
    </w:p>
    <w:p w:rsidR="001E4756" w:rsidRDefault="00000000">
      <w:pPr>
        <w:autoSpaceDE w:val="0"/>
        <w:autoSpaceDN w:val="0"/>
        <w:adjustRightInd w:val="0"/>
        <w:spacing w:line="360" w:lineRule="auto"/>
        <w:ind w:firstLine="640"/>
        <w:rPr>
          <w:rFonts w:ascii="Times New Roman" w:eastAsia="黑体" w:hAnsi="Times New Roman" w:hint="default"/>
          <w:sz w:val="32"/>
          <w:szCs w:val="32"/>
        </w:rPr>
      </w:pPr>
      <w:r>
        <w:rPr>
          <w:rFonts w:ascii="黑体" w:eastAsia="黑体" w:hAnsi="Times New Roman" w:cs="黑体"/>
          <w:sz w:val="32"/>
          <w:szCs w:val="32"/>
          <w:lang w:val="zh-CN"/>
        </w:rPr>
        <w:t>二、收入决算情况说明</w:t>
      </w:r>
    </w:p>
    <w:p w:rsidR="001E475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本年收入472.82万元，其中：财政拨款收入472.82万元，占100.00%；上级补助收入0.00万元，占0.00%；事业收入0.00万元，占0.00%；经营收入0.00万元，占0.00%；附属单位上缴收入0.00万元，占0.00%；其他收入0.00万元，占0.00%。</w:t>
      </w:r>
    </w:p>
    <w:p w:rsidR="001E4756" w:rsidRDefault="00000000">
      <w:pPr>
        <w:autoSpaceDE w:val="0"/>
        <w:autoSpaceDN w:val="0"/>
        <w:adjustRightInd w:val="0"/>
        <w:spacing w:line="360" w:lineRule="auto"/>
        <w:ind w:firstLine="640"/>
        <w:rPr>
          <w:rFonts w:ascii="Times New Roman" w:eastAsia="黑体" w:hAnsi="Times New Roman" w:hint="default"/>
          <w:sz w:val="32"/>
          <w:szCs w:val="32"/>
        </w:rPr>
      </w:pPr>
      <w:r>
        <w:rPr>
          <w:rFonts w:ascii="黑体" w:eastAsia="黑体" w:hAnsi="Times New Roman" w:cs="黑体"/>
          <w:sz w:val="32"/>
          <w:szCs w:val="32"/>
          <w:lang w:val="zh-CN"/>
        </w:rPr>
        <w:lastRenderedPageBreak/>
        <w:t>三、支出决算情况说明</w:t>
      </w:r>
    </w:p>
    <w:p w:rsidR="001E475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2022年度本年支出473.17万元，其中：基本支出447.88万元，占94.66%；项目支出25.29万元，占5.34%；上缴上级支出0.00万元，占0.00%；经营支出0.00万元，占0.00%；对附属单位补助支出0.00万元，占0.00%。</w:t>
      </w:r>
    </w:p>
    <w:p w:rsidR="001E4756"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四、财政拨款收入支出决算总体情况说明</w:t>
      </w:r>
    </w:p>
    <w:p w:rsidR="001E4756"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2022年度财政拨款收入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519.62万元，</w:t>
      </w:r>
      <w:r>
        <w:rPr>
          <w:rFonts w:ascii="仿宋_GB2312" w:eastAsia="仿宋_GB2312" w:hAnsi="Times New Roman" w:cs="仿宋_GB2312"/>
          <w:sz w:val="32"/>
          <w:szCs w:val="32"/>
        </w:rPr>
        <w:t>其中：年初财政拨款结转和结余</w:t>
      </w:r>
      <w:r>
        <w:rPr>
          <w:rFonts w:ascii="仿宋_GB2312" w:eastAsia="仿宋_GB2312" w:hAnsi="Times New Roman" w:cs="仿宋_GB2312"/>
          <w:kern w:val="0"/>
          <w:sz w:val="32"/>
          <w:szCs w:val="32"/>
        </w:rPr>
        <w:t>46.80</w:t>
      </w:r>
      <w:r>
        <w:rPr>
          <w:rFonts w:ascii="仿宋_GB2312" w:eastAsia="仿宋_GB2312" w:hAnsi="Times New Roman" w:cs="仿宋_GB2312"/>
          <w:sz w:val="32"/>
          <w:szCs w:val="32"/>
        </w:rPr>
        <w:t>万元，财政拨款本年收入</w:t>
      </w:r>
      <w:r>
        <w:rPr>
          <w:rFonts w:ascii="仿宋_GB2312" w:eastAsia="仿宋_GB2312" w:hAnsi="Times New Roman" w:cs="仿宋_GB2312"/>
          <w:kern w:val="0"/>
          <w:sz w:val="32"/>
          <w:szCs w:val="32"/>
        </w:rPr>
        <w:t>472.82</w:t>
      </w:r>
      <w:r>
        <w:rPr>
          <w:rFonts w:ascii="仿宋_GB2312" w:eastAsia="仿宋_GB2312" w:hAnsi="Times New Roman" w:cs="仿宋_GB2312"/>
          <w:sz w:val="32"/>
          <w:szCs w:val="32"/>
        </w:rPr>
        <w:t>万元。财政拨款收入总计</w:t>
      </w:r>
      <w:r>
        <w:rPr>
          <w:rFonts w:ascii="仿宋_GB2312" w:eastAsia="仿宋_GB2312" w:hAnsi="Times New Roman" w:cs="仿宋_GB2312"/>
          <w:kern w:val="0"/>
          <w:sz w:val="32"/>
          <w:szCs w:val="32"/>
        </w:rPr>
        <w:t>与上年相比，增加45.00万元，增长9.48%，主要原因是：</w:t>
      </w:r>
      <w:r>
        <w:rPr>
          <w:rFonts w:ascii="仿宋_GB2312" w:eastAsia="仿宋_GB2312" w:hAnsi="Times New Roman"/>
          <w:kern w:val="0"/>
          <w:sz w:val="32"/>
          <w:szCs w:val="24"/>
        </w:rPr>
        <w:t>由于工资调整，本年每人每月增加基础绩效工资，财政拨款相应增加，收入增加</w:t>
      </w:r>
      <w:r>
        <w:rPr>
          <w:rFonts w:ascii="仿宋_GB2312" w:eastAsia="仿宋_GB2312" w:hAnsi="Times New Roman" w:cs="仿宋_GB2312"/>
          <w:kern w:val="0"/>
          <w:sz w:val="32"/>
          <w:szCs w:val="32"/>
        </w:rPr>
        <w:t>。</w:t>
      </w:r>
    </w:p>
    <w:p w:rsidR="001E475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财政拨款支出</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519.62万元，</w:t>
      </w:r>
      <w:r>
        <w:rPr>
          <w:rFonts w:ascii="仿宋_GB2312" w:eastAsia="仿宋_GB2312" w:hAnsi="Times New Roman" w:cs="仿宋_GB2312"/>
          <w:sz w:val="32"/>
          <w:szCs w:val="32"/>
        </w:rPr>
        <w:t>其中：年末财政拨款结转和结余</w:t>
      </w:r>
      <w:r>
        <w:rPr>
          <w:rFonts w:ascii="仿宋_GB2312" w:eastAsia="仿宋_GB2312" w:hAnsi="Times New Roman" w:cs="仿宋_GB2312"/>
          <w:kern w:val="0"/>
          <w:sz w:val="32"/>
          <w:szCs w:val="32"/>
        </w:rPr>
        <w:t>46.45</w:t>
      </w:r>
      <w:r>
        <w:rPr>
          <w:rFonts w:ascii="仿宋_GB2312" w:eastAsia="仿宋_GB2312" w:hAnsi="Times New Roman" w:cs="仿宋_GB2312"/>
          <w:sz w:val="32"/>
          <w:szCs w:val="32"/>
        </w:rPr>
        <w:t>万元，财政拨款本年支出</w:t>
      </w:r>
      <w:r>
        <w:rPr>
          <w:rFonts w:ascii="仿宋_GB2312" w:eastAsia="仿宋_GB2312" w:hAnsi="Times New Roman" w:cs="仿宋_GB2312"/>
          <w:kern w:val="0"/>
          <w:sz w:val="32"/>
          <w:szCs w:val="32"/>
        </w:rPr>
        <w:t>473.17</w:t>
      </w:r>
      <w:r>
        <w:rPr>
          <w:rFonts w:ascii="仿宋_GB2312" w:eastAsia="仿宋_GB2312" w:hAnsi="Times New Roman" w:cs="仿宋_GB2312"/>
          <w:sz w:val="32"/>
          <w:szCs w:val="32"/>
        </w:rPr>
        <w:t>万元。财政拨款支出总计</w:t>
      </w:r>
      <w:r>
        <w:rPr>
          <w:rFonts w:ascii="仿宋_GB2312" w:eastAsia="仿宋_GB2312" w:hAnsi="Times New Roman" w:cs="仿宋_GB2312"/>
          <w:kern w:val="0"/>
          <w:sz w:val="32"/>
          <w:szCs w:val="32"/>
        </w:rPr>
        <w:t>与上年相比，增加45.00万元，增长9.48%，主要原因是：</w:t>
      </w:r>
      <w:r>
        <w:rPr>
          <w:rFonts w:ascii="仿宋_GB2312" w:eastAsia="仿宋_GB2312" w:hAnsi="Times New Roman"/>
          <w:kern w:val="0"/>
          <w:sz w:val="32"/>
          <w:szCs w:val="24"/>
        </w:rPr>
        <w:t>由于工资调整，本年每人每月增加基础绩效工资，财政拨款相应增加，支出增加</w:t>
      </w:r>
      <w:r>
        <w:rPr>
          <w:rFonts w:ascii="仿宋_GB2312" w:eastAsia="仿宋_GB2312" w:hAnsi="Times New Roman" w:cs="仿宋_GB2312"/>
          <w:kern w:val="0"/>
          <w:sz w:val="32"/>
          <w:szCs w:val="32"/>
        </w:rPr>
        <w:t>。</w:t>
      </w:r>
    </w:p>
    <w:p w:rsidR="001E475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与年初预算数相比情况：财政拨款收入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年初预算数485.70万元，决算数519.62万元，预决算差异率6.98%，主要原因是：</w:t>
      </w:r>
      <w:r>
        <w:rPr>
          <w:rFonts w:ascii="仿宋_GB2312" w:eastAsia="仿宋_GB2312" w:hAnsi="Times New Roman"/>
          <w:kern w:val="0"/>
          <w:sz w:val="32"/>
          <w:szCs w:val="24"/>
        </w:rPr>
        <w:t>由于工资调整，本年每人每月增加基础绩效工资，年中追加人员经费，导致</w:t>
      </w:r>
      <w:r w:rsidR="002E19CF">
        <w:rPr>
          <w:rFonts w:ascii="仿宋_GB2312" w:eastAsia="仿宋_GB2312" w:hAnsi="Times New Roman"/>
          <w:kern w:val="0"/>
          <w:sz w:val="32"/>
          <w:szCs w:val="24"/>
        </w:rPr>
        <w:t>预决算存在</w:t>
      </w:r>
      <w:r>
        <w:rPr>
          <w:rFonts w:ascii="仿宋_GB2312" w:eastAsia="仿宋_GB2312" w:hAnsi="Times New Roman"/>
          <w:kern w:val="0"/>
          <w:sz w:val="32"/>
          <w:szCs w:val="24"/>
        </w:rPr>
        <w:t>差异</w:t>
      </w:r>
      <w:r>
        <w:rPr>
          <w:rFonts w:ascii="仿宋_GB2312" w:eastAsia="仿宋_GB2312" w:hAnsi="Times New Roman" w:cs="仿宋_GB2312"/>
          <w:kern w:val="0"/>
          <w:sz w:val="32"/>
          <w:szCs w:val="32"/>
        </w:rPr>
        <w:t>。财政拨款支出</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年初预算数485.70万元，决算数519.62万元，预决算差异率6.98%，</w:t>
      </w:r>
      <w:r>
        <w:rPr>
          <w:rFonts w:ascii="仿宋_GB2312" w:eastAsia="仿宋_GB2312" w:hAnsi="Times New Roman" w:cs="仿宋_GB2312"/>
          <w:kern w:val="0"/>
          <w:sz w:val="32"/>
          <w:szCs w:val="32"/>
        </w:rPr>
        <w:lastRenderedPageBreak/>
        <w:t>主要原因是：</w:t>
      </w:r>
      <w:r>
        <w:rPr>
          <w:rFonts w:ascii="仿宋_GB2312" w:eastAsia="仿宋_GB2312" w:hAnsi="Times New Roman"/>
          <w:kern w:val="0"/>
          <w:sz w:val="32"/>
          <w:szCs w:val="24"/>
        </w:rPr>
        <w:t>由于工资调整，本年每人每月增加基础绩效工资，年中追加人员经费，支出增加，</w:t>
      </w:r>
      <w:r w:rsidR="002E19CF">
        <w:rPr>
          <w:rFonts w:ascii="仿宋_GB2312" w:eastAsia="仿宋_GB2312" w:hAnsi="Times New Roman"/>
          <w:kern w:val="0"/>
          <w:sz w:val="32"/>
          <w:szCs w:val="24"/>
        </w:rPr>
        <w:t>导致预决算存在差异</w:t>
      </w:r>
      <w:r>
        <w:rPr>
          <w:rFonts w:ascii="仿宋_GB2312" w:eastAsia="仿宋_GB2312" w:hAnsi="Times New Roman" w:cs="仿宋_GB2312"/>
          <w:kern w:val="0"/>
          <w:sz w:val="32"/>
          <w:szCs w:val="32"/>
        </w:rPr>
        <w:t>。</w:t>
      </w:r>
    </w:p>
    <w:p w:rsidR="001E4756"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五、一般公共预算财政拨款支出决算情况说明</w:t>
      </w:r>
    </w:p>
    <w:p w:rsidR="001E4756" w:rsidRDefault="00000000">
      <w:pPr>
        <w:autoSpaceDE w:val="0"/>
        <w:autoSpaceDN w:val="0"/>
        <w:adjustRightInd w:val="0"/>
        <w:ind w:firstLine="640"/>
        <w:rPr>
          <w:rFonts w:ascii="Times New Roman" w:eastAsia="黑体" w:hAnsi="Times New Roman" w:hint="default"/>
          <w:sz w:val="32"/>
          <w:szCs w:val="32"/>
        </w:rPr>
      </w:pPr>
      <w:r>
        <w:rPr>
          <w:rFonts w:ascii="黑体" w:eastAsia="黑体" w:hAnsi="Times New Roman" w:cs="黑体"/>
          <w:sz w:val="32"/>
          <w:szCs w:val="32"/>
        </w:rPr>
        <w:t>（一）一般公共预算财政拨款支出决算总体情况</w:t>
      </w:r>
    </w:p>
    <w:p w:rsidR="001E4756"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sz w:val="32"/>
          <w:szCs w:val="32"/>
        </w:rPr>
        <w:t>2022年度一般公共预算财政拨款支出</w:t>
      </w:r>
      <w:r>
        <w:rPr>
          <w:rFonts w:ascii="仿宋_GB2312" w:eastAsia="仿宋_GB2312" w:hAnsi="Times New Roman" w:cs="仿宋_GB2312"/>
          <w:kern w:val="0"/>
          <w:sz w:val="32"/>
          <w:szCs w:val="32"/>
        </w:rPr>
        <w:t>473.17</w:t>
      </w:r>
      <w:r>
        <w:rPr>
          <w:rFonts w:ascii="仿宋_GB2312" w:eastAsia="仿宋_GB2312" w:hAnsi="Times New Roman" w:cs="仿宋_GB2312"/>
          <w:sz w:val="32"/>
          <w:szCs w:val="32"/>
        </w:rPr>
        <w:t>万元，占本年支出合计的</w:t>
      </w:r>
      <w:r>
        <w:rPr>
          <w:rFonts w:ascii="仿宋_GB2312" w:eastAsia="仿宋_GB2312" w:hAnsi="Times New Roman" w:cs="仿宋_GB2312"/>
          <w:kern w:val="0"/>
          <w:sz w:val="32"/>
          <w:szCs w:val="32"/>
        </w:rPr>
        <w:t>100.00%</w:t>
      </w:r>
      <w:r>
        <w:rPr>
          <w:rFonts w:ascii="仿宋_GB2312" w:eastAsia="仿宋_GB2312" w:hAnsi="Times New Roman" w:cs="仿宋_GB2312"/>
          <w:sz w:val="32"/>
          <w:szCs w:val="32"/>
        </w:rPr>
        <w:t>，与上年相比，</w:t>
      </w:r>
      <w:r>
        <w:rPr>
          <w:rFonts w:ascii="仿宋_GB2312" w:eastAsia="仿宋_GB2312" w:hAnsi="Times New Roman" w:cs="仿宋_GB2312"/>
          <w:kern w:val="0"/>
          <w:sz w:val="32"/>
          <w:szCs w:val="32"/>
        </w:rPr>
        <w:t>增加45.61万元，增长10.67%，主要原因是：</w:t>
      </w:r>
      <w:r>
        <w:rPr>
          <w:rFonts w:ascii="仿宋_GB2312" w:eastAsia="仿宋_GB2312" w:hAnsi="Times New Roman"/>
          <w:kern w:val="0"/>
          <w:sz w:val="32"/>
          <w:szCs w:val="24"/>
        </w:rPr>
        <w:t>由于工资调整，本年每人每月增加基础绩效工资，财政拨款相应增加，支出增加</w:t>
      </w:r>
      <w:r>
        <w:rPr>
          <w:rFonts w:ascii="仿宋_GB2312" w:eastAsia="仿宋_GB2312" w:hAnsi="Times New Roman" w:cs="仿宋_GB2312"/>
          <w:kern w:val="0"/>
          <w:sz w:val="32"/>
          <w:szCs w:val="32"/>
        </w:rPr>
        <w:t>。</w:t>
      </w:r>
    </w:p>
    <w:p w:rsidR="001E4756" w:rsidRDefault="00000000">
      <w:pPr>
        <w:autoSpaceDE w:val="0"/>
        <w:autoSpaceDN w:val="0"/>
        <w:adjustRightInd w:val="0"/>
        <w:ind w:firstLine="640"/>
        <w:rPr>
          <w:rFonts w:ascii="Times New Roman" w:eastAsia="黑体" w:hAnsi="Times New Roman" w:hint="default"/>
          <w:sz w:val="32"/>
          <w:szCs w:val="32"/>
        </w:rPr>
      </w:pPr>
      <w:r>
        <w:rPr>
          <w:rFonts w:ascii="黑体" w:eastAsia="黑体" w:hAnsi="Times New Roman" w:cs="黑体"/>
          <w:sz w:val="32"/>
          <w:szCs w:val="32"/>
        </w:rPr>
        <w:t>（二）一般公共预算财政拨款支出决算结构情况</w:t>
      </w:r>
    </w:p>
    <w:p w:rsidR="001E4756" w:rsidRDefault="00000000">
      <w:pPr>
        <w:autoSpaceDE w:val="0"/>
        <w:autoSpaceDN w:val="0"/>
        <w:adjustRightInd w:val="0"/>
        <w:spacing w:line="600" w:lineRule="exact"/>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1.一般公共服务支出（类）431.13万元，占91.12%；</w:t>
      </w:r>
    </w:p>
    <w:p w:rsidR="001E4756" w:rsidRDefault="00000000">
      <w:pPr>
        <w:autoSpaceDE w:val="0"/>
        <w:autoSpaceDN w:val="0"/>
        <w:adjustRightInd w:val="0"/>
        <w:spacing w:line="600" w:lineRule="exact"/>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2.社会保障和就业支出（类）42.04万元，占8.88%。</w:t>
      </w:r>
    </w:p>
    <w:p w:rsidR="001E4756" w:rsidRDefault="00000000">
      <w:pPr>
        <w:autoSpaceDE w:val="0"/>
        <w:autoSpaceDN w:val="0"/>
        <w:adjustRightInd w:val="0"/>
        <w:ind w:firstLine="640"/>
        <w:rPr>
          <w:rFonts w:ascii="Times New Roman" w:eastAsia="黑体" w:hAnsi="Times New Roman" w:hint="default"/>
          <w:sz w:val="32"/>
          <w:szCs w:val="32"/>
        </w:rPr>
      </w:pPr>
      <w:r>
        <w:rPr>
          <w:rFonts w:ascii="黑体" w:eastAsia="黑体" w:hAnsi="Times New Roman" w:cs="黑体"/>
          <w:sz w:val="32"/>
          <w:szCs w:val="32"/>
        </w:rPr>
        <w:t>（三）一般公共预算财政拨款支出决算具体情况</w:t>
      </w:r>
    </w:p>
    <w:p w:rsidR="001E4756"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1.一般公共服务支出（类）政协事务（款）行政运行（项）:支出决算数为405.84万元，比上年决算增加23.68万元，增长6.20%，主要原因是：</w:t>
      </w:r>
      <w:r>
        <w:rPr>
          <w:rFonts w:ascii="仿宋_GB2312" w:eastAsia="仿宋_GB2312" w:hAnsi="Times New Roman"/>
          <w:kern w:val="0"/>
          <w:sz w:val="32"/>
          <w:szCs w:val="24"/>
        </w:rPr>
        <w:t>由于工资调整，本年每人每月增加基础绩效工资，此项功能科目支出增加</w:t>
      </w:r>
      <w:r>
        <w:rPr>
          <w:rFonts w:ascii="仿宋_GB2312" w:eastAsia="仿宋_GB2312" w:hAnsi="Times New Roman" w:cs="仿宋_GB2312"/>
          <w:sz w:val="32"/>
          <w:szCs w:val="32"/>
        </w:rPr>
        <w:t>；</w:t>
      </w:r>
    </w:p>
    <w:p w:rsidR="001E4756"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2.一般公共服务支出（类）政协事务（款）政协会议（项）:支出决算数为25.29万元，比上年决算增加5.29万元，增长26.45%，主要原因是：本年</w:t>
      </w:r>
      <w:r>
        <w:rPr>
          <w:rFonts w:ascii="仿宋_GB2312" w:eastAsia="仿宋_GB2312" w:hAnsi="Times New Roman"/>
          <w:sz w:val="32"/>
          <w:szCs w:val="24"/>
        </w:rPr>
        <w:t>会议</w:t>
      </w:r>
      <w:r w:rsidR="00446E89">
        <w:rPr>
          <w:rFonts w:ascii="仿宋_GB2312" w:eastAsia="仿宋_GB2312" w:hAnsi="Times New Roman"/>
          <w:sz w:val="32"/>
          <w:szCs w:val="24"/>
        </w:rPr>
        <w:t>增加</w:t>
      </w:r>
      <w:r>
        <w:rPr>
          <w:rFonts w:ascii="仿宋_GB2312" w:eastAsia="仿宋_GB2312" w:hAnsi="Times New Roman"/>
          <w:sz w:val="32"/>
          <w:szCs w:val="24"/>
        </w:rPr>
        <w:t>，参会人数增加导致会议费开支增加，此项支出增加</w:t>
      </w:r>
      <w:r>
        <w:rPr>
          <w:rFonts w:ascii="仿宋_GB2312" w:eastAsia="仿宋_GB2312" w:hAnsi="Times New Roman" w:cs="仿宋_GB2312"/>
          <w:sz w:val="32"/>
          <w:szCs w:val="32"/>
        </w:rPr>
        <w:t>；</w:t>
      </w:r>
    </w:p>
    <w:p w:rsidR="001E4756"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3.一般公共服务支出（类）政协事务（款）其他政协事务支出（项）:支出决算数为0.00万元，比上年决算减少3.08万元，</w:t>
      </w:r>
      <w:r>
        <w:rPr>
          <w:rFonts w:ascii="仿宋_GB2312" w:eastAsia="仿宋_GB2312" w:hAnsi="Times New Roman" w:cs="仿宋_GB2312"/>
          <w:sz w:val="32"/>
          <w:szCs w:val="32"/>
        </w:rPr>
        <w:lastRenderedPageBreak/>
        <w:t>下降100.00%，主要原因是：为基层政协补助经费，由于疫情原因，本年度未开展此项工作，未开支此项经费；</w:t>
      </w:r>
    </w:p>
    <w:p w:rsidR="001E4756"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4.社会保障和就业支出（类）民政管理事务（款）基层政权建设和社区治理（项）:支出决算数为0.00万元，比上年决算减少1.08万元，下降100.00%，主要原因是：为基层政协委员活动经费，由于疫情原因，22年未开展此项工作，未开支此项经费；</w:t>
      </w:r>
    </w:p>
    <w:p w:rsidR="001E4756"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5.社会保障和就业支出（类）行政事业单位养老支出（款）机关事业单位基本养老保险缴费支出（项）:支出决算数为34.97万元，比上年决算增加13.73万元，增长64.64%，主要原因是：本年度每人每月增加基础绩效工资，按比例调整人员养老保险金，导致支出增大；</w:t>
      </w:r>
    </w:p>
    <w:p w:rsidR="001E4756"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6.社会保障和就业支出（类）行政事业单位养老支出（款）机关事业单位职业年金缴费支出（项）:支出决算数为7.07万元，比上年决算增加7.07万元，增长100.00%，主要原因是：本年度有1人退休，单位承担职业年金缴费增加。</w:t>
      </w:r>
    </w:p>
    <w:p w:rsidR="001E4756"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六、一般公共预算财政拨款基本支出决算情况说明</w:t>
      </w:r>
    </w:p>
    <w:p w:rsidR="001E475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highlight w:val="yellow"/>
        </w:rPr>
      </w:pPr>
      <w:r>
        <w:rPr>
          <w:rFonts w:ascii="仿宋_GB2312" w:eastAsia="仿宋_GB2312" w:hAnsi="Times New Roman" w:cs="仿宋_GB2312"/>
          <w:kern w:val="0"/>
          <w:sz w:val="32"/>
          <w:szCs w:val="32"/>
        </w:rPr>
        <w:t>2022年度一般公共预算财政拨款基本支出447.88万元，其中：</w:t>
      </w:r>
    </w:p>
    <w:p w:rsidR="001E475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人员经费393.47万元，包括：基本工资、津贴补贴、机关事业单位基本养老保险缴费、职业年金缴费、职工基本医疗保</w:t>
      </w:r>
      <w:r>
        <w:rPr>
          <w:rFonts w:ascii="仿宋_GB2312" w:eastAsia="仿宋_GB2312" w:hAnsi="Times New Roman" w:cs="仿宋_GB2312"/>
          <w:kern w:val="0"/>
          <w:sz w:val="32"/>
          <w:szCs w:val="32"/>
        </w:rPr>
        <w:lastRenderedPageBreak/>
        <w:t>险缴费、公务员医疗补助缴费、其他社会保障缴费、住房公积金、生活补助、奖励。</w:t>
      </w:r>
    </w:p>
    <w:p w:rsidR="001E4756" w:rsidRDefault="00000000">
      <w:pPr>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公用经费54.41万元，包括：办公费、手续费、邮电费、差旅费、租赁费、工会经费、福利费、公务用车运行维护费、其他交通费用、其他商品和服务支出。</w:t>
      </w:r>
    </w:p>
    <w:p w:rsidR="001E4756" w:rsidRDefault="00000000">
      <w:pPr>
        <w:autoSpaceDE w:val="0"/>
        <w:autoSpaceDN w:val="0"/>
        <w:adjustRightInd w:val="0"/>
        <w:spacing w:line="360" w:lineRule="auto"/>
        <w:ind w:firstLine="640"/>
        <w:rPr>
          <w:rFonts w:ascii="Times New Roman" w:eastAsia="黑体" w:hAnsi="Times New Roman" w:hint="default"/>
          <w:sz w:val="32"/>
          <w:szCs w:val="32"/>
        </w:rPr>
      </w:pPr>
      <w:r>
        <w:rPr>
          <w:rFonts w:ascii="黑体" w:eastAsia="黑体" w:hAnsi="Times New Roman" w:cs="黑体"/>
          <w:sz w:val="32"/>
          <w:szCs w:val="32"/>
          <w:lang w:val="zh-CN"/>
        </w:rPr>
        <w:t>七、财政拨款</w:t>
      </w:r>
      <w:r>
        <w:rPr>
          <w:rFonts w:ascii="Times New Roman" w:eastAsia="黑体" w:hAnsi="Times New Roman" w:cs="黑体" w:hint="default"/>
          <w:kern w:val="0"/>
          <w:sz w:val="32"/>
          <w:szCs w:val="32"/>
        </w:rPr>
        <w:t>“</w:t>
      </w:r>
      <w:r>
        <w:rPr>
          <w:rFonts w:ascii="黑体" w:eastAsia="黑体" w:hAnsi="Times New Roman" w:cs="黑体"/>
          <w:kern w:val="0"/>
          <w:sz w:val="32"/>
          <w:szCs w:val="32"/>
        </w:rPr>
        <w:t>三公</w:t>
      </w:r>
      <w:r>
        <w:rPr>
          <w:rFonts w:ascii="Times New Roman" w:eastAsia="黑体" w:hAnsi="Times New Roman" w:cs="黑体" w:hint="default"/>
          <w:kern w:val="0"/>
          <w:sz w:val="32"/>
          <w:szCs w:val="32"/>
        </w:rPr>
        <w:t>”</w:t>
      </w:r>
      <w:r>
        <w:rPr>
          <w:rFonts w:ascii="黑体" w:eastAsia="黑体" w:hAnsi="Times New Roman" w:cs="黑体"/>
          <w:sz w:val="32"/>
          <w:szCs w:val="32"/>
          <w:lang w:val="zh-CN"/>
        </w:rPr>
        <w:t>经费支出决算情况说明</w:t>
      </w:r>
    </w:p>
    <w:p w:rsidR="001E475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w:t>
      </w:r>
      <w:r>
        <w:rPr>
          <w:rFonts w:ascii="仿宋_GB2312" w:eastAsia="仿宋_GB2312" w:hAnsi="Times New Roman" w:cs="仿宋_GB2312"/>
          <w:sz w:val="32"/>
          <w:szCs w:val="32"/>
        </w:rPr>
        <w:t>财政拨款</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三公</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经费支出决算3.00万元，比上年减少15.00万元，下降83.33%，主要原因是：本年单位车辆出行次数减少，车辆维修保养费、油料费减少。其中：因公出国（境）费支出0.00万元，占0.00%，比上年增加0.00万元，增长0.00%，主要原因是：本年单位无因公出国（境）费支出；公务用车购置及运行维护费支出3.00万元，占100.00%，比上年减少15.00万元，下降83.33%，主要原因是：本年单位车辆出行次数减少，车辆维修保养费、油料费减少；公务接待费支出0.00万元，占0.00%，比上年增加0.00万元，增长0.00%，主要原因是：本年单位无此项支出。具体情况如下：</w:t>
      </w:r>
    </w:p>
    <w:p w:rsidR="001E475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因公出国（境）费支出0.00万元，开支内容包括本年单位无因公出国（境）费支出。单位全年安排的因公出国（境）团组0个，因公出国（境）0人次。</w:t>
      </w:r>
    </w:p>
    <w:p w:rsidR="001E475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公务用车购置及运行维护费3.00万元，其中：公务用车购置费0.00万元，公务用车运行维护费3.00万元。公务用车运行</w:t>
      </w:r>
      <w:r>
        <w:rPr>
          <w:rFonts w:ascii="仿宋_GB2312" w:eastAsia="仿宋_GB2312" w:hAnsi="Times New Roman" w:cs="仿宋_GB2312"/>
          <w:kern w:val="0"/>
          <w:sz w:val="32"/>
          <w:szCs w:val="32"/>
        </w:rPr>
        <w:lastRenderedPageBreak/>
        <w:t>维护费开支内容包括公务用车燃油费、车辆维修维护费、保险费、过路费等。公务用车购置数0辆，公务用车保有量5辆。</w:t>
      </w:r>
    </w:p>
    <w:p w:rsidR="001E475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公务接待费0.00万元，开支内容包括本年单位无此项支出。单位全年安排的国内公务接待0批次，0人次。</w:t>
      </w:r>
    </w:p>
    <w:p w:rsidR="001E475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与</w:t>
      </w:r>
      <w:r>
        <w:rPr>
          <w:rFonts w:ascii="仿宋_GB2312" w:eastAsia="仿宋_GB2312" w:hAnsi="Times New Roman" w:cs="仿宋_GB2312"/>
          <w:sz w:val="32"/>
          <w:szCs w:val="32"/>
        </w:rPr>
        <w:t>全年</w:t>
      </w:r>
      <w:r>
        <w:rPr>
          <w:rFonts w:ascii="仿宋_GB2312" w:eastAsia="仿宋_GB2312" w:hAnsi="Times New Roman" w:cs="仿宋_GB2312"/>
          <w:kern w:val="0"/>
          <w:sz w:val="32"/>
          <w:szCs w:val="32"/>
        </w:rPr>
        <w:t>预算</w:t>
      </w:r>
      <w:r>
        <w:rPr>
          <w:rFonts w:ascii="仿宋_GB2312" w:eastAsia="仿宋_GB2312" w:hAnsi="Times New Roman" w:cs="仿宋_GB2312"/>
          <w:kern w:val="0"/>
          <w:sz w:val="32"/>
          <w:szCs w:val="32"/>
          <w:lang w:val="zh-CN"/>
        </w:rPr>
        <w:t>数</w:t>
      </w:r>
      <w:r>
        <w:rPr>
          <w:rFonts w:ascii="仿宋_GB2312" w:eastAsia="仿宋_GB2312" w:hAnsi="Times New Roman" w:cs="仿宋_GB2312"/>
          <w:kern w:val="0"/>
          <w:sz w:val="32"/>
          <w:szCs w:val="32"/>
        </w:rPr>
        <w:t>相比情况</w:t>
      </w:r>
      <w:r>
        <w:rPr>
          <w:rFonts w:ascii="仿宋_GB2312" w:eastAsia="仿宋_GB2312" w:hAnsi="Times New Roman" w:cs="仿宋_GB2312"/>
          <w:sz w:val="32"/>
          <w:szCs w:val="32"/>
        </w:rPr>
        <w:t>：</w:t>
      </w:r>
      <w:r>
        <w:rPr>
          <w:rFonts w:ascii="Times New Roman" w:eastAsia="仿宋_GB2312" w:hAnsi="Times New Roman" w:hint="default"/>
          <w:kern w:val="0"/>
          <w:sz w:val="32"/>
          <w:szCs w:val="32"/>
        </w:rPr>
        <w:t>“</w:t>
      </w:r>
      <w:r>
        <w:rPr>
          <w:rFonts w:ascii="仿宋_GB2312" w:eastAsia="仿宋_GB2312" w:hAnsi="Times New Roman" w:cs="仿宋_GB2312"/>
          <w:kern w:val="0"/>
          <w:sz w:val="32"/>
          <w:szCs w:val="32"/>
        </w:rPr>
        <w:t>三公</w:t>
      </w:r>
      <w:r>
        <w:rPr>
          <w:rFonts w:ascii="Times New Roman" w:eastAsia="仿宋_GB2312" w:hAnsi="Times New Roman" w:hint="default"/>
          <w:kern w:val="0"/>
          <w:sz w:val="32"/>
          <w:szCs w:val="32"/>
        </w:rPr>
        <w:t>”</w:t>
      </w:r>
      <w:r>
        <w:rPr>
          <w:rFonts w:ascii="仿宋_GB2312" w:eastAsia="仿宋_GB2312" w:hAnsi="Times New Roman" w:cs="仿宋_GB2312"/>
          <w:kern w:val="0"/>
          <w:sz w:val="32"/>
          <w:szCs w:val="32"/>
        </w:rPr>
        <w:t>经费支出</w:t>
      </w:r>
      <w:r>
        <w:rPr>
          <w:rFonts w:ascii="仿宋_GB2312" w:eastAsia="仿宋_GB2312" w:hAnsi="Times New Roman" w:cs="仿宋_GB2312"/>
          <w:sz w:val="32"/>
          <w:szCs w:val="32"/>
        </w:rPr>
        <w:t>全年预算数</w:t>
      </w:r>
      <w:r>
        <w:rPr>
          <w:rFonts w:ascii="仿宋_GB2312" w:eastAsia="仿宋_GB2312" w:hAnsi="Times New Roman" w:cs="仿宋_GB2312"/>
          <w:kern w:val="0"/>
          <w:sz w:val="32"/>
          <w:szCs w:val="32"/>
        </w:rPr>
        <w:t>3.00万元，决算数3.00万元，预决算差异率0.00%，主要原因是：单位严格执行“三公”经费支出标准，未超预算。其中：因公出国（境）费全年预算数0.00万元，决算数0.00万元，预决算差异率0.00%，主要原因是：本年单位无因公出国（境）费支出；公务用车购置费全年预算数0.00万元，决算数0.00万元，预决算差异率0.00%，主要原因是：本年单位无此项支出；公务用车运行费全年预算数3.00万元，决算数3.00万元，预决算差异率0.00%，主要原因是：单位严格执行“三公”经费支出标准，未超预算；公务接待费全年预算数0.00万元，决算数0.00万元，预决算差异率0.00%，主要原因是：本年单位无此项支出。</w:t>
      </w:r>
    </w:p>
    <w:p w:rsidR="001E4756"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八、政府性基金预算财政拨款收入支出决算情况说明</w:t>
      </w:r>
    </w:p>
    <w:p w:rsidR="001E4756"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我单位本年度无政府性基金预算财政拨款收入、支出及结转和结余，政府性基金预算财政拨款收入支出决算表为空表。</w:t>
      </w:r>
    </w:p>
    <w:p w:rsidR="001E4756"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九、国有资本经营预算财政拨款收入支出决算情况说明</w:t>
      </w:r>
    </w:p>
    <w:p w:rsidR="001E475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我单位本年度无国有资本经营预算财政拨款收入、支出及结转和结余，国有资本经营预算财政拨款收入支出决算表为空</w:t>
      </w:r>
      <w:r>
        <w:rPr>
          <w:rFonts w:ascii="仿宋_GB2312" w:eastAsia="仿宋_GB2312" w:hAnsi="Times New Roman" w:cs="仿宋_GB2312"/>
          <w:kern w:val="0"/>
          <w:sz w:val="32"/>
          <w:szCs w:val="32"/>
        </w:rPr>
        <w:lastRenderedPageBreak/>
        <w:t>表。</w:t>
      </w:r>
    </w:p>
    <w:p w:rsidR="001E4756"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十、其他重要事项的情况说明</w:t>
      </w:r>
    </w:p>
    <w:p w:rsidR="001E4756"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 xml:space="preserve">（一）机关运行经费支出情况 </w:t>
      </w:r>
    </w:p>
    <w:p w:rsidR="001E4756" w:rsidRDefault="00000000">
      <w:pPr>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2022年度中国人民政治协商会议乌鲁木齐市米东区委员会单位机关运行经费支出54.41万元，比上年减少54.31万元，下降49.95%，主要原因是：本年</w:t>
      </w:r>
      <w:r w:rsidR="00446E89">
        <w:rPr>
          <w:rFonts w:ascii="仿宋_GB2312" w:eastAsia="仿宋_GB2312" w:hAnsi="Times New Roman" w:cs="仿宋_GB2312"/>
          <w:kern w:val="0"/>
          <w:sz w:val="32"/>
          <w:szCs w:val="32"/>
        </w:rPr>
        <w:t>印刷费、公务用车维护费</w:t>
      </w:r>
      <w:r w:rsidR="000E7816">
        <w:rPr>
          <w:rFonts w:ascii="仿宋_GB2312" w:eastAsia="仿宋_GB2312" w:hAnsi="Times New Roman" w:cs="仿宋_GB2312"/>
          <w:kern w:val="0"/>
          <w:sz w:val="32"/>
          <w:szCs w:val="32"/>
        </w:rPr>
        <w:t>、其他商品服务支出等经费</w:t>
      </w:r>
      <w:r w:rsidR="00F44EDD">
        <w:rPr>
          <w:rFonts w:ascii="仿宋_GB2312" w:eastAsia="仿宋_GB2312" w:hAnsi="Times New Roman" w:cs="仿宋_GB2312"/>
          <w:kern w:val="0"/>
          <w:sz w:val="32"/>
          <w:szCs w:val="32"/>
        </w:rPr>
        <w:t>较上年减少</w:t>
      </w:r>
      <w:r>
        <w:rPr>
          <w:rFonts w:ascii="仿宋_GB2312" w:eastAsia="仿宋_GB2312" w:hAnsi="Times New Roman" w:cs="仿宋_GB2312"/>
          <w:kern w:val="0"/>
          <w:sz w:val="32"/>
          <w:szCs w:val="32"/>
        </w:rPr>
        <w:t>。</w:t>
      </w:r>
    </w:p>
    <w:p w:rsidR="001E4756" w:rsidRDefault="00000000">
      <w:pPr>
        <w:autoSpaceDE w:val="0"/>
        <w:autoSpaceDN w:val="0"/>
        <w:adjustRightInd w:val="0"/>
        <w:spacing w:line="360" w:lineRule="auto"/>
        <w:ind w:firstLine="640"/>
        <w:rPr>
          <w:rFonts w:ascii="Times New Roman" w:eastAsia="黑体" w:hAnsi="Times New Roman" w:hint="default"/>
          <w:sz w:val="32"/>
          <w:szCs w:val="32"/>
        </w:rPr>
      </w:pPr>
      <w:r>
        <w:rPr>
          <w:rFonts w:ascii="黑体" w:eastAsia="黑体" w:hAnsi="Times New Roman" w:cs="黑体"/>
          <w:sz w:val="32"/>
          <w:szCs w:val="32"/>
        </w:rPr>
        <w:t>（</w:t>
      </w:r>
      <w:r>
        <w:rPr>
          <w:rFonts w:ascii="黑体" w:eastAsia="黑体" w:hAnsi="Times New Roman" w:cs="黑体"/>
          <w:sz w:val="32"/>
          <w:szCs w:val="32"/>
          <w:lang w:val="zh-CN"/>
        </w:rPr>
        <w:t>二</w:t>
      </w:r>
      <w:r>
        <w:rPr>
          <w:rFonts w:ascii="黑体" w:eastAsia="黑体" w:hAnsi="Times New Roman" w:cs="黑体"/>
          <w:sz w:val="32"/>
          <w:szCs w:val="32"/>
        </w:rPr>
        <w:t>）</w:t>
      </w:r>
      <w:r>
        <w:rPr>
          <w:rFonts w:ascii="黑体" w:eastAsia="黑体" w:hAnsi="Times New Roman" w:cs="黑体"/>
          <w:sz w:val="32"/>
          <w:szCs w:val="32"/>
          <w:lang w:val="zh-CN"/>
        </w:rPr>
        <w:t>政府采购情况</w:t>
      </w:r>
    </w:p>
    <w:p w:rsidR="001E475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2022年度政府采购支出总额4.61万元，其中：政府采购货物支出0.68万元、政府采购工程支出0.00万元、政府采购服务支出3.94万元。</w:t>
      </w:r>
    </w:p>
    <w:p w:rsidR="001E475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授予中小企业合同金额4.61万元，占政府采购支出总额的100.00%，其中：授予小</w:t>
      </w:r>
      <w:proofErr w:type="gramStart"/>
      <w:r>
        <w:rPr>
          <w:rFonts w:ascii="仿宋_GB2312" w:eastAsia="仿宋_GB2312" w:hAnsi="Times New Roman" w:cs="仿宋_GB2312"/>
          <w:kern w:val="0"/>
          <w:sz w:val="32"/>
          <w:szCs w:val="32"/>
        </w:rPr>
        <w:t>微企业</w:t>
      </w:r>
      <w:proofErr w:type="gramEnd"/>
      <w:r>
        <w:rPr>
          <w:rFonts w:ascii="仿宋_GB2312" w:eastAsia="仿宋_GB2312" w:hAnsi="Times New Roman" w:cs="仿宋_GB2312"/>
          <w:kern w:val="0"/>
          <w:sz w:val="32"/>
          <w:szCs w:val="32"/>
        </w:rPr>
        <w:t>合同金额4.61万元，占政府采购支出总额的100.00%。</w:t>
      </w:r>
    </w:p>
    <w:p w:rsidR="001E4756"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（三）国有资产占用情况说明</w:t>
      </w:r>
    </w:p>
    <w:p w:rsidR="001E475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截止2022年12月31日，</w:t>
      </w:r>
      <w:r>
        <w:rPr>
          <w:rFonts w:ascii="仿宋_GB2312" w:eastAsia="仿宋_GB2312" w:hAnsi="Times New Roman" w:cs="仿宋_GB2312"/>
          <w:sz w:val="32"/>
          <w:szCs w:val="32"/>
        </w:rPr>
        <w:t>固定资产原值</w:t>
      </w:r>
      <w:r>
        <w:rPr>
          <w:rFonts w:ascii="仿宋_GB2312" w:eastAsia="仿宋_GB2312" w:hAnsi="Times New Roman" w:cs="仿宋_GB2312"/>
          <w:kern w:val="0"/>
          <w:sz w:val="32"/>
          <w:szCs w:val="32"/>
        </w:rPr>
        <w:t>208.34</w:t>
      </w:r>
      <w:r>
        <w:rPr>
          <w:rFonts w:ascii="仿宋_GB2312" w:eastAsia="仿宋_GB2312" w:hAnsi="Times New Roman" w:cs="仿宋_GB2312"/>
          <w:sz w:val="32"/>
          <w:szCs w:val="32"/>
        </w:rPr>
        <w:t>万元，</w:t>
      </w:r>
      <w:r>
        <w:rPr>
          <w:rFonts w:ascii="仿宋_GB2312" w:eastAsia="仿宋_GB2312" w:hAnsi="Times New Roman" w:cs="仿宋_GB2312"/>
          <w:kern w:val="0"/>
          <w:sz w:val="32"/>
          <w:szCs w:val="32"/>
        </w:rPr>
        <w:t>房屋0.00平方米，价值0.00万元。车辆5辆，价值97.88万元，其中：副部（省）级及以上领导用车0辆、主要领导干部用车0辆、机要通信用车0辆、应急保障用车0辆、执法执勤用车0辆、特种专业技术用车0辆、离退休干部用车0辆、其他用车5辆，其他用车主要是：单位</w:t>
      </w:r>
      <w:r w:rsidR="00F44EDD">
        <w:rPr>
          <w:rFonts w:ascii="仿宋_GB2312" w:eastAsia="仿宋_GB2312" w:hAnsi="Times New Roman" w:cs="仿宋_GB2312"/>
          <w:kern w:val="0"/>
          <w:sz w:val="32"/>
          <w:szCs w:val="32"/>
        </w:rPr>
        <w:t>业务</w:t>
      </w:r>
      <w:r>
        <w:rPr>
          <w:rFonts w:ascii="仿宋_GB2312" w:eastAsia="仿宋_GB2312" w:hAnsi="Times New Roman" w:cs="仿宋_GB2312"/>
          <w:kern w:val="0"/>
          <w:sz w:val="32"/>
          <w:szCs w:val="32"/>
        </w:rPr>
        <w:t>用车，用于单位组织政协委员考察、调研等；</w:t>
      </w:r>
      <w:r>
        <w:rPr>
          <w:rFonts w:ascii="仿宋_GB2312" w:eastAsia="仿宋_GB2312" w:hAnsi="Times New Roman" w:cs="仿宋_GB2312"/>
          <w:kern w:val="0"/>
          <w:sz w:val="32"/>
          <w:szCs w:val="32"/>
        </w:rPr>
        <w:lastRenderedPageBreak/>
        <w:t>单价100</w:t>
      </w:r>
      <w:r>
        <w:rPr>
          <w:rFonts w:ascii="仿宋_GB2312" w:eastAsia="仿宋_GB2312" w:hAnsi="Times New Roman" w:cs="仿宋_GB2312"/>
          <w:sz w:val="32"/>
          <w:szCs w:val="32"/>
        </w:rPr>
        <w:t>万元（含）以上设备（不含车辆）</w:t>
      </w:r>
      <w:r>
        <w:rPr>
          <w:rFonts w:ascii="仿宋_GB2312" w:eastAsia="仿宋_GB2312" w:hAnsi="Times New Roman" w:cs="仿宋_GB2312"/>
          <w:kern w:val="0"/>
          <w:sz w:val="32"/>
          <w:szCs w:val="32"/>
        </w:rPr>
        <w:t>0台（套）。</w:t>
      </w:r>
    </w:p>
    <w:p w:rsidR="001E4756"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十一、预算绩效的情况说明</w:t>
      </w:r>
    </w:p>
    <w:p w:rsidR="001E475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根据预算绩效管理要求，我单位2022年度开展预算绩效评价项目1个，</w:t>
      </w:r>
      <w:r>
        <w:rPr>
          <w:rFonts w:ascii="仿宋_GB2312" w:eastAsia="仿宋_GB2312" w:hAnsi="Times New Roman" w:cs="仿宋_GB2312"/>
          <w:sz w:val="32"/>
          <w:szCs w:val="32"/>
        </w:rPr>
        <w:t>全年预算数</w:t>
      </w:r>
      <w:r>
        <w:rPr>
          <w:rFonts w:ascii="仿宋_GB2312" w:eastAsia="仿宋_GB2312" w:hAnsi="Times New Roman" w:cs="仿宋_GB2312"/>
          <w:kern w:val="0"/>
          <w:sz w:val="32"/>
          <w:szCs w:val="32"/>
        </w:rPr>
        <w:t>25.29</w:t>
      </w:r>
      <w:r>
        <w:rPr>
          <w:rFonts w:ascii="仿宋_GB2312" w:eastAsia="仿宋_GB2312" w:hAnsi="Times New Roman" w:cs="仿宋_GB2312"/>
          <w:sz w:val="32"/>
          <w:szCs w:val="32"/>
        </w:rPr>
        <w:t>万元，全年执行数25.29万元。</w:t>
      </w:r>
      <w:r>
        <w:rPr>
          <w:rFonts w:ascii="仿宋_GB2312" w:eastAsia="仿宋_GB2312" w:hAnsi="Times New Roman" w:cs="仿宋_GB2312"/>
          <w:kern w:val="0"/>
          <w:sz w:val="32"/>
          <w:szCs w:val="32"/>
        </w:rPr>
        <w:t>预算绩效管理取得的成效：一是充分发挥了政治协商、民主监督和参政议政的职能；二是通过实施本项目，达到了坚持改革创新精神的目的，推进米东区人民政协理论创新、制度创新、工作创新，丰富民主形式，畅通民主渠道，有效组织各党派、各团体、各民族、各阶层、各界人士共同参政议政，从而推动实现广泛有效的人民民主。发现的问题及原因：一是预算管理有待加强预算管理有待加强；项目预算资金30万元，实际到位资金25.29万元，资金到位率=（实际到位资金÷预算资金）×100%=（25.29÷38.36）×100%=65.93%，项目资金到位率不高。二是预算绩效管理水平仍有欠缺。在2022年预算绩效管理工作中，存在“重投入轻管理、重支出轻绩效”的情况，对全面实施预算绩效管理的要求认识还不到位，项目申报、实施等环节与预算绩效管理各个环节联系不够紧密；下一步改进措施：一是加强预算执行管理，确保资金使用效益；二是在以后的工作中应当加强预算执行管理，根据项目实际情况及时调整预算并加大预算执行力度，确保资金使用效益。具体项目自评情况</w:t>
      </w:r>
      <w:proofErr w:type="gramStart"/>
      <w:r>
        <w:rPr>
          <w:rFonts w:ascii="仿宋_GB2312" w:eastAsia="仿宋_GB2312" w:hAnsi="Times New Roman" w:cs="仿宋_GB2312"/>
          <w:kern w:val="0"/>
          <w:sz w:val="32"/>
          <w:szCs w:val="32"/>
        </w:rPr>
        <w:t>附项目</w:t>
      </w:r>
      <w:proofErr w:type="gramEnd"/>
      <w:r>
        <w:rPr>
          <w:rFonts w:ascii="仿宋_GB2312" w:eastAsia="仿宋_GB2312" w:hAnsi="Times New Roman" w:cs="仿宋_GB2312"/>
          <w:kern w:val="0"/>
          <w:sz w:val="32"/>
          <w:szCs w:val="32"/>
        </w:rPr>
        <w:t>支出绩效自评表。</w:t>
      </w:r>
    </w:p>
    <w:tbl>
      <w:tblPr>
        <w:tblW w:w="4876" w:type="pct"/>
        <w:jc w:val="center"/>
        <w:tblLayout w:type="fixed"/>
        <w:tblLook w:val="04A0" w:firstRow="1" w:lastRow="0" w:firstColumn="1" w:lastColumn="0" w:noHBand="0" w:noVBand="1"/>
      </w:tblPr>
      <w:tblGrid>
        <w:gridCol w:w="1028"/>
        <w:gridCol w:w="1025"/>
        <w:gridCol w:w="987"/>
        <w:gridCol w:w="1022"/>
        <w:gridCol w:w="817"/>
        <w:gridCol w:w="831"/>
        <w:gridCol w:w="654"/>
        <w:gridCol w:w="1009"/>
        <w:gridCol w:w="1263"/>
      </w:tblGrid>
      <w:tr w:rsidR="001E4756">
        <w:trPr>
          <w:trHeight w:val="405"/>
          <w:jc w:val="center"/>
        </w:trPr>
        <w:tc>
          <w:tcPr>
            <w:tcW w:w="8311" w:type="dxa"/>
            <w:gridSpan w:val="9"/>
            <w:tcBorders>
              <w:top w:val="nil"/>
              <w:left w:val="nil"/>
              <w:bottom w:val="nil"/>
              <w:right w:val="nil"/>
            </w:tcBorders>
            <w:shd w:val="clear" w:color="auto" w:fill="auto"/>
            <w:vAlign w:val="center"/>
          </w:tcPr>
          <w:p w:rsidR="001E4756" w:rsidRDefault="00000000">
            <w:pPr>
              <w:widowControl/>
              <w:jc w:val="center"/>
              <w:rPr>
                <w:rFonts w:ascii="宋体" w:eastAsia="宋体" w:hAnsi="宋体" w:cs="宋体" w:hint="default"/>
                <w:b/>
                <w:bCs/>
                <w:color w:val="000000"/>
                <w:kern w:val="0"/>
                <w:sz w:val="32"/>
                <w:szCs w:val="32"/>
              </w:rPr>
            </w:pPr>
            <w:r>
              <w:rPr>
                <w:rFonts w:ascii="宋体" w:eastAsia="宋体" w:hAnsi="宋体" w:cs="宋体"/>
                <w:b/>
                <w:bCs/>
                <w:color w:val="000000"/>
                <w:kern w:val="0"/>
                <w:sz w:val="32"/>
                <w:szCs w:val="32"/>
              </w:rPr>
              <w:lastRenderedPageBreak/>
              <w:t>项目支出绩效自评表</w:t>
            </w:r>
          </w:p>
        </w:tc>
      </w:tr>
      <w:tr w:rsidR="001E4756">
        <w:trPr>
          <w:trHeight w:val="270"/>
          <w:jc w:val="center"/>
        </w:trPr>
        <w:tc>
          <w:tcPr>
            <w:tcW w:w="8311" w:type="dxa"/>
            <w:gridSpan w:val="9"/>
            <w:tcBorders>
              <w:top w:val="nil"/>
              <w:left w:val="nil"/>
              <w:bottom w:val="single" w:sz="4" w:space="0" w:color="auto"/>
              <w:right w:val="nil"/>
            </w:tcBorders>
            <w:shd w:val="clear" w:color="auto" w:fill="auto"/>
            <w:vAlign w:val="center"/>
          </w:tcPr>
          <w:p w:rsidR="001E4756" w:rsidRDefault="00000000">
            <w:pPr>
              <w:widowControl/>
              <w:jc w:val="center"/>
              <w:rPr>
                <w:rFonts w:ascii="宋体" w:eastAsia="宋体" w:hAnsi="宋体" w:cs="宋体" w:hint="default"/>
                <w:color w:val="000000"/>
                <w:kern w:val="0"/>
                <w:sz w:val="20"/>
                <w:szCs w:val="20"/>
              </w:rPr>
            </w:pPr>
            <w:r>
              <w:rPr>
                <w:rFonts w:ascii="宋体" w:eastAsia="宋体" w:hAnsi="宋体" w:cs="宋体"/>
                <w:color w:val="000000"/>
                <w:kern w:val="0"/>
                <w:sz w:val="20"/>
                <w:szCs w:val="20"/>
              </w:rPr>
              <w:t>(2022年度)</w:t>
            </w:r>
          </w:p>
        </w:tc>
      </w:tr>
      <w:tr w:rsidR="001E4756">
        <w:trPr>
          <w:trHeight w:val="398"/>
          <w:jc w:val="center"/>
        </w:trPr>
        <w:tc>
          <w:tcPr>
            <w:tcW w:w="19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项目名称</w:t>
            </w:r>
          </w:p>
        </w:tc>
        <w:tc>
          <w:tcPr>
            <w:tcW w:w="6335" w:type="dxa"/>
            <w:gridSpan w:val="7"/>
            <w:tcBorders>
              <w:top w:val="single" w:sz="4" w:space="0" w:color="auto"/>
              <w:left w:val="nil"/>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政协会议经费</w:t>
            </w:r>
          </w:p>
        </w:tc>
      </w:tr>
      <w:tr w:rsidR="001E4756">
        <w:trPr>
          <w:trHeight w:val="398"/>
          <w:jc w:val="center"/>
        </w:trPr>
        <w:tc>
          <w:tcPr>
            <w:tcW w:w="19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主管部门</w:t>
            </w:r>
          </w:p>
        </w:tc>
        <w:tc>
          <w:tcPr>
            <w:tcW w:w="2720" w:type="dxa"/>
            <w:gridSpan w:val="3"/>
            <w:tcBorders>
              <w:top w:val="single" w:sz="4" w:space="0" w:color="auto"/>
              <w:left w:val="nil"/>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米东区政协</w:t>
            </w:r>
          </w:p>
        </w:tc>
        <w:tc>
          <w:tcPr>
            <w:tcW w:w="800" w:type="dxa"/>
            <w:tcBorders>
              <w:top w:val="single" w:sz="4" w:space="0" w:color="auto"/>
              <w:left w:val="nil"/>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实施单位</w:t>
            </w:r>
          </w:p>
        </w:tc>
        <w:tc>
          <w:tcPr>
            <w:tcW w:w="2815" w:type="dxa"/>
            <w:gridSpan w:val="3"/>
            <w:tcBorders>
              <w:top w:val="single" w:sz="4" w:space="0" w:color="auto"/>
              <w:left w:val="nil"/>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米东区政协</w:t>
            </w:r>
          </w:p>
        </w:tc>
      </w:tr>
      <w:tr w:rsidR="001E4756">
        <w:trPr>
          <w:trHeight w:val="398"/>
          <w:jc w:val="center"/>
        </w:trPr>
        <w:tc>
          <w:tcPr>
            <w:tcW w:w="197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项目资金</w:t>
            </w:r>
            <w:r>
              <w:rPr>
                <w:rFonts w:ascii="宋体" w:eastAsia="宋体" w:hAnsi="宋体" w:cs="宋体"/>
                <w:color w:val="000000"/>
                <w:kern w:val="0"/>
                <w:sz w:val="18"/>
                <w:szCs w:val="18"/>
              </w:rPr>
              <w:br/>
              <w:t>（万元）</w:t>
            </w:r>
          </w:p>
        </w:tc>
        <w:tc>
          <w:tcPr>
            <w:tcW w:w="950" w:type="dxa"/>
            <w:tcBorders>
              <w:top w:val="single" w:sz="4" w:space="0" w:color="auto"/>
              <w:left w:val="nil"/>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84" w:type="dxa"/>
            <w:tcBorders>
              <w:top w:val="single" w:sz="4" w:space="0" w:color="auto"/>
              <w:left w:val="nil"/>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年初预算数</w:t>
            </w:r>
          </w:p>
        </w:tc>
        <w:tc>
          <w:tcPr>
            <w:tcW w:w="786" w:type="dxa"/>
            <w:tcBorders>
              <w:top w:val="single" w:sz="4" w:space="0" w:color="auto"/>
              <w:left w:val="nil"/>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全年预算数</w:t>
            </w:r>
          </w:p>
        </w:tc>
        <w:tc>
          <w:tcPr>
            <w:tcW w:w="800" w:type="dxa"/>
            <w:tcBorders>
              <w:top w:val="single" w:sz="4" w:space="0" w:color="auto"/>
              <w:left w:val="nil"/>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全年执行数</w:t>
            </w:r>
          </w:p>
        </w:tc>
        <w:tc>
          <w:tcPr>
            <w:tcW w:w="629" w:type="dxa"/>
            <w:tcBorders>
              <w:top w:val="single" w:sz="4" w:space="0" w:color="auto"/>
              <w:left w:val="nil"/>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分值</w:t>
            </w:r>
          </w:p>
        </w:tc>
        <w:tc>
          <w:tcPr>
            <w:tcW w:w="971" w:type="dxa"/>
            <w:tcBorders>
              <w:top w:val="single" w:sz="4" w:space="0" w:color="auto"/>
              <w:left w:val="nil"/>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执行率</w:t>
            </w:r>
          </w:p>
        </w:tc>
        <w:tc>
          <w:tcPr>
            <w:tcW w:w="1215" w:type="dxa"/>
            <w:tcBorders>
              <w:top w:val="single" w:sz="4" w:space="0" w:color="auto"/>
              <w:left w:val="nil"/>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得分</w:t>
            </w:r>
          </w:p>
        </w:tc>
      </w:tr>
      <w:tr w:rsidR="001E4756">
        <w:trPr>
          <w:trHeight w:val="398"/>
          <w:jc w:val="center"/>
        </w:trPr>
        <w:tc>
          <w:tcPr>
            <w:tcW w:w="1976" w:type="dxa"/>
            <w:gridSpan w:val="2"/>
            <w:vMerge/>
            <w:tcBorders>
              <w:top w:val="single" w:sz="4" w:space="0" w:color="auto"/>
              <w:left w:val="single" w:sz="4" w:space="0" w:color="auto"/>
              <w:bottom w:val="single" w:sz="4" w:space="0" w:color="auto"/>
              <w:right w:val="single" w:sz="4" w:space="0" w:color="auto"/>
            </w:tcBorders>
            <w:vAlign w:val="center"/>
          </w:tcPr>
          <w:p w:rsidR="001E4756" w:rsidRDefault="001E4756">
            <w:pPr>
              <w:widowControl/>
              <w:jc w:val="left"/>
              <w:rPr>
                <w:rFonts w:ascii="宋体" w:eastAsia="宋体" w:hAnsi="宋体" w:cs="宋体" w:hint="default"/>
                <w:color w:val="000000"/>
                <w:kern w:val="0"/>
                <w:sz w:val="18"/>
                <w:szCs w:val="18"/>
              </w:rPr>
            </w:pPr>
          </w:p>
        </w:tc>
        <w:tc>
          <w:tcPr>
            <w:tcW w:w="950" w:type="dxa"/>
            <w:tcBorders>
              <w:top w:val="single" w:sz="4" w:space="0" w:color="auto"/>
              <w:left w:val="nil"/>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年度资金总额</w:t>
            </w:r>
          </w:p>
        </w:tc>
        <w:tc>
          <w:tcPr>
            <w:tcW w:w="984" w:type="dxa"/>
            <w:tcBorders>
              <w:top w:val="single" w:sz="4" w:space="0" w:color="auto"/>
              <w:left w:val="nil"/>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38.36</w:t>
            </w:r>
          </w:p>
        </w:tc>
        <w:tc>
          <w:tcPr>
            <w:tcW w:w="786" w:type="dxa"/>
            <w:tcBorders>
              <w:top w:val="single" w:sz="4" w:space="0" w:color="auto"/>
              <w:left w:val="nil"/>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25.29</w:t>
            </w:r>
          </w:p>
        </w:tc>
        <w:tc>
          <w:tcPr>
            <w:tcW w:w="800" w:type="dxa"/>
            <w:tcBorders>
              <w:top w:val="single" w:sz="4" w:space="0" w:color="auto"/>
              <w:left w:val="nil"/>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25.29</w:t>
            </w:r>
          </w:p>
        </w:tc>
        <w:tc>
          <w:tcPr>
            <w:tcW w:w="629" w:type="dxa"/>
            <w:tcBorders>
              <w:top w:val="single" w:sz="4" w:space="0" w:color="auto"/>
              <w:left w:val="nil"/>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71" w:type="dxa"/>
            <w:tcBorders>
              <w:top w:val="single" w:sz="4" w:space="0" w:color="auto"/>
              <w:left w:val="nil"/>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100.00%</w:t>
            </w:r>
          </w:p>
        </w:tc>
        <w:tc>
          <w:tcPr>
            <w:tcW w:w="1215" w:type="dxa"/>
            <w:tcBorders>
              <w:top w:val="single" w:sz="4" w:space="0" w:color="auto"/>
              <w:left w:val="nil"/>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10.00分</w:t>
            </w:r>
          </w:p>
        </w:tc>
      </w:tr>
      <w:tr w:rsidR="001E4756">
        <w:trPr>
          <w:trHeight w:val="398"/>
          <w:jc w:val="center"/>
        </w:trPr>
        <w:tc>
          <w:tcPr>
            <w:tcW w:w="1976" w:type="dxa"/>
            <w:gridSpan w:val="2"/>
            <w:vMerge/>
            <w:tcBorders>
              <w:top w:val="single" w:sz="4" w:space="0" w:color="auto"/>
              <w:left w:val="single" w:sz="4" w:space="0" w:color="auto"/>
              <w:bottom w:val="single" w:sz="4" w:space="0" w:color="auto"/>
              <w:right w:val="single" w:sz="4" w:space="0" w:color="auto"/>
            </w:tcBorders>
            <w:vAlign w:val="center"/>
          </w:tcPr>
          <w:p w:rsidR="001E4756" w:rsidRDefault="001E4756">
            <w:pPr>
              <w:widowControl/>
              <w:jc w:val="left"/>
              <w:rPr>
                <w:rFonts w:ascii="宋体" w:eastAsia="宋体" w:hAnsi="宋体" w:cs="宋体" w:hint="default"/>
                <w:color w:val="000000"/>
                <w:kern w:val="0"/>
                <w:sz w:val="18"/>
                <w:szCs w:val="18"/>
              </w:rPr>
            </w:pPr>
          </w:p>
        </w:tc>
        <w:tc>
          <w:tcPr>
            <w:tcW w:w="950" w:type="dxa"/>
            <w:tcBorders>
              <w:top w:val="single" w:sz="4" w:space="0" w:color="auto"/>
              <w:left w:val="nil"/>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其中：当年财政拨款</w:t>
            </w:r>
          </w:p>
        </w:tc>
        <w:tc>
          <w:tcPr>
            <w:tcW w:w="984" w:type="dxa"/>
            <w:tcBorders>
              <w:top w:val="single" w:sz="4" w:space="0" w:color="auto"/>
              <w:left w:val="nil"/>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38.36</w:t>
            </w:r>
          </w:p>
        </w:tc>
        <w:tc>
          <w:tcPr>
            <w:tcW w:w="786" w:type="dxa"/>
            <w:tcBorders>
              <w:top w:val="single" w:sz="4" w:space="0" w:color="auto"/>
              <w:left w:val="nil"/>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25.29</w:t>
            </w:r>
          </w:p>
        </w:tc>
        <w:tc>
          <w:tcPr>
            <w:tcW w:w="800" w:type="dxa"/>
            <w:tcBorders>
              <w:top w:val="single" w:sz="4" w:space="0" w:color="auto"/>
              <w:left w:val="nil"/>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25.29</w:t>
            </w:r>
          </w:p>
        </w:tc>
        <w:tc>
          <w:tcPr>
            <w:tcW w:w="629" w:type="dxa"/>
            <w:tcBorders>
              <w:top w:val="single" w:sz="4" w:space="0" w:color="auto"/>
              <w:left w:val="nil"/>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971" w:type="dxa"/>
            <w:tcBorders>
              <w:top w:val="single" w:sz="4" w:space="0" w:color="auto"/>
              <w:left w:val="nil"/>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215" w:type="dxa"/>
            <w:tcBorders>
              <w:top w:val="single" w:sz="4" w:space="0" w:color="auto"/>
              <w:left w:val="nil"/>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1E4756">
        <w:trPr>
          <w:trHeight w:val="398"/>
          <w:jc w:val="center"/>
        </w:trPr>
        <w:tc>
          <w:tcPr>
            <w:tcW w:w="1976" w:type="dxa"/>
            <w:gridSpan w:val="2"/>
            <w:vMerge/>
            <w:tcBorders>
              <w:top w:val="single" w:sz="4" w:space="0" w:color="auto"/>
              <w:left w:val="single" w:sz="4" w:space="0" w:color="auto"/>
              <w:bottom w:val="single" w:sz="4" w:space="0" w:color="auto"/>
              <w:right w:val="single" w:sz="4" w:space="0" w:color="auto"/>
            </w:tcBorders>
            <w:vAlign w:val="center"/>
          </w:tcPr>
          <w:p w:rsidR="001E4756" w:rsidRDefault="001E4756">
            <w:pPr>
              <w:widowControl/>
              <w:jc w:val="left"/>
              <w:rPr>
                <w:rFonts w:ascii="宋体" w:eastAsia="宋体" w:hAnsi="宋体" w:cs="宋体" w:hint="default"/>
                <w:color w:val="000000"/>
                <w:kern w:val="0"/>
                <w:sz w:val="18"/>
                <w:szCs w:val="18"/>
              </w:rPr>
            </w:pPr>
          </w:p>
        </w:tc>
        <w:tc>
          <w:tcPr>
            <w:tcW w:w="950" w:type="dxa"/>
            <w:tcBorders>
              <w:top w:val="single" w:sz="4" w:space="0" w:color="auto"/>
              <w:left w:val="nil"/>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上年结转资金</w:t>
            </w:r>
          </w:p>
        </w:tc>
        <w:tc>
          <w:tcPr>
            <w:tcW w:w="984" w:type="dxa"/>
            <w:tcBorders>
              <w:top w:val="single" w:sz="4" w:space="0" w:color="auto"/>
              <w:left w:val="nil"/>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786" w:type="dxa"/>
            <w:tcBorders>
              <w:top w:val="single" w:sz="4" w:space="0" w:color="auto"/>
              <w:left w:val="nil"/>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800" w:type="dxa"/>
            <w:tcBorders>
              <w:top w:val="single" w:sz="4" w:space="0" w:color="auto"/>
              <w:left w:val="nil"/>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629" w:type="dxa"/>
            <w:tcBorders>
              <w:top w:val="single" w:sz="4" w:space="0" w:color="auto"/>
              <w:left w:val="nil"/>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971" w:type="dxa"/>
            <w:tcBorders>
              <w:top w:val="single" w:sz="4" w:space="0" w:color="auto"/>
              <w:left w:val="nil"/>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215" w:type="dxa"/>
            <w:tcBorders>
              <w:top w:val="single" w:sz="4" w:space="0" w:color="auto"/>
              <w:left w:val="nil"/>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1E4756">
        <w:trPr>
          <w:trHeight w:val="398"/>
          <w:jc w:val="center"/>
        </w:trPr>
        <w:tc>
          <w:tcPr>
            <w:tcW w:w="1976" w:type="dxa"/>
            <w:gridSpan w:val="2"/>
            <w:vMerge/>
            <w:tcBorders>
              <w:top w:val="single" w:sz="4" w:space="0" w:color="auto"/>
              <w:left w:val="single" w:sz="4" w:space="0" w:color="auto"/>
              <w:bottom w:val="single" w:sz="4" w:space="0" w:color="auto"/>
              <w:right w:val="single" w:sz="4" w:space="0" w:color="auto"/>
            </w:tcBorders>
            <w:vAlign w:val="center"/>
          </w:tcPr>
          <w:p w:rsidR="001E4756" w:rsidRDefault="001E4756">
            <w:pPr>
              <w:widowControl/>
              <w:jc w:val="left"/>
              <w:rPr>
                <w:rFonts w:ascii="宋体" w:eastAsia="宋体" w:hAnsi="宋体" w:cs="宋体" w:hint="default"/>
                <w:color w:val="000000"/>
                <w:kern w:val="0"/>
                <w:sz w:val="18"/>
                <w:szCs w:val="18"/>
              </w:rPr>
            </w:pPr>
          </w:p>
        </w:tc>
        <w:tc>
          <w:tcPr>
            <w:tcW w:w="950" w:type="dxa"/>
            <w:tcBorders>
              <w:top w:val="single" w:sz="4" w:space="0" w:color="auto"/>
              <w:left w:val="nil"/>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其他资金</w:t>
            </w:r>
          </w:p>
        </w:tc>
        <w:tc>
          <w:tcPr>
            <w:tcW w:w="984" w:type="dxa"/>
            <w:tcBorders>
              <w:top w:val="single" w:sz="4" w:space="0" w:color="auto"/>
              <w:left w:val="nil"/>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786" w:type="dxa"/>
            <w:tcBorders>
              <w:top w:val="single" w:sz="4" w:space="0" w:color="auto"/>
              <w:left w:val="nil"/>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800" w:type="dxa"/>
            <w:tcBorders>
              <w:top w:val="single" w:sz="4" w:space="0" w:color="auto"/>
              <w:left w:val="nil"/>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629" w:type="dxa"/>
            <w:tcBorders>
              <w:top w:val="single" w:sz="4" w:space="0" w:color="auto"/>
              <w:left w:val="nil"/>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971" w:type="dxa"/>
            <w:tcBorders>
              <w:top w:val="single" w:sz="4" w:space="0" w:color="auto"/>
              <w:left w:val="nil"/>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215" w:type="dxa"/>
            <w:tcBorders>
              <w:top w:val="single" w:sz="4" w:space="0" w:color="auto"/>
              <w:left w:val="nil"/>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1E4756">
        <w:trPr>
          <w:trHeight w:val="398"/>
          <w:jc w:val="center"/>
        </w:trPr>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年度总体目标</w:t>
            </w:r>
          </w:p>
        </w:tc>
        <w:tc>
          <w:tcPr>
            <w:tcW w:w="3706" w:type="dxa"/>
            <w:gridSpan w:val="4"/>
            <w:tcBorders>
              <w:top w:val="single" w:sz="4" w:space="0" w:color="auto"/>
              <w:left w:val="nil"/>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预期目标</w:t>
            </w:r>
          </w:p>
        </w:tc>
        <w:tc>
          <w:tcPr>
            <w:tcW w:w="3615" w:type="dxa"/>
            <w:gridSpan w:val="4"/>
            <w:tcBorders>
              <w:top w:val="single" w:sz="4" w:space="0" w:color="auto"/>
              <w:left w:val="nil"/>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实际完成情况</w:t>
            </w:r>
          </w:p>
        </w:tc>
      </w:tr>
      <w:tr w:rsidR="001E4756">
        <w:trPr>
          <w:trHeight w:val="398"/>
          <w:jc w:val="center"/>
        </w:trPr>
        <w:tc>
          <w:tcPr>
            <w:tcW w:w="990" w:type="dxa"/>
            <w:vMerge/>
            <w:tcBorders>
              <w:top w:val="single" w:sz="4" w:space="0" w:color="auto"/>
              <w:left w:val="single" w:sz="4" w:space="0" w:color="auto"/>
              <w:bottom w:val="single" w:sz="4" w:space="0" w:color="auto"/>
              <w:right w:val="single" w:sz="4" w:space="0" w:color="auto"/>
            </w:tcBorders>
            <w:vAlign w:val="center"/>
          </w:tcPr>
          <w:p w:rsidR="001E4756" w:rsidRDefault="001E4756">
            <w:pPr>
              <w:widowControl/>
              <w:jc w:val="left"/>
              <w:rPr>
                <w:rFonts w:ascii="宋体" w:eastAsia="宋体" w:hAnsi="宋体" w:cs="宋体" w:hint="default"/>
                <w:color w:val="000000"/>
                <w:kern w:val="0"/>
                <w:sz w:val="18"/>
                <w:szCs w:val="18"/>
              </w:rPr>
            </w:pPr>
          </w:p>
        </w:tc>
        <w:tc>
          <w:tcPr>
            <w:tcW w:w="370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保证政协四届二次会议圆满召开，充分发挥政治协商、民主监督和参政议政的职能。坚持改革创新精神，推进米东区人民政协理论创新、制度创新、工作创新，并且能够丰富民主形式，畅通民主渠道，有效组织各党派、各团体、各民族、各阶层、各界人士共同参政议政，从而推动实现广泛有效的人民民主。</w:t>
            </w:r>
          </w:p>
        </w:tc>
        <w:tc>
          <w:tcPr>
            <w:tcW w:w="361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保证政协四届二次会议圆满召开，充分发挥政治协商、民主监督和参政议政的职能。坚持改革创新精神，推进米东区人民政协理论创新、制度创新、工作创新，并且能够丰富民主形式，畅通民主渠道，有效组织各党派、各团体、各民族、各阶层、各界人士共同参政议政，从而推动实现广泛有效的人民民主。</w:t>
            </w:r>
          </w:p>
        </w:tc>
      </w:tr>
      <w:tr w:rsidR="001E4756">
        <w:trPr>
          <w:trHeight w:val="398"/>
          <w:jc w:val="center"/>
        </w:trPr>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一级指标</w:t>
            </w:r>
          </w:p>
        </w:tc>
        <w:tc>
          <w:tcPr>
            <w:tcW w:w="9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二级指标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三级指标</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年度指标值</w:t>
            </w:r>
          </w:p>
        </w:tc>
        <w:tc>
          <w:tcPr>
            <w:tcW w:w="8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实际完成值</w:t>
            </w:r>
          </w:p>
        </w:tc>
        <w:tc>
          <w:tcPr>
            <w:tcW w:w="62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分值</w:t>
            </w:r>
          </w:p>
        </w:tc>
        <w:tc>
          <w:tcPr>
            <w:tcW w:w="97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得分</w:t>
            </w:r>
          </w:p>
        </w:tc>
        <w:tc>
          <w:tcPr>
            <w:tcW w:w="121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偏差原因分析及改进措施</w:t>
            </w:r>
          </w:p>
        </w:tc>
      </w:tr>
      <w:tr w:rsidR="001E4756">
        <w:trPr>
          <w:trHeight w:val="398"/>
          <w:jc w:val="center"/>
        </w:trPr>
        <w:tc>
          <w:tcPr>
            <w:tcW w:w="990" w:type="dxa"/>
            <w:vMerge/>
            <w:tcBorders>
              <w:top w:val="single" w:sz="4" w:space="0" w:color="auto"/>
              <w:left w:val="single" w:sz="4" w:space="0" w:color="auto"/>
              <w:bottom w:val="single" w:sz="4" w:space="0" w:color="auto"/>
              <w:right w:val="single" w:sz="4" w:space="0" w:color="auto"/>
            </w:tcBorders>
            <w:vAlign w:val="center"/>
          </w:tcPr>
          <w:p w:rsidR="001E4756" w:rsidRDefault="001E4756">
            <w:pPr>
              <w:widowControl/>
              <w:jc w:val="left"/>
              <w:rPr>
                <w:rFonts w:ascii="宋体" w:eastAsia="宋体" w:hAnsi="宋体" w:cs="宋体" w:hint="default"/>
                <w:color w:val="000000"/>
                <w:kern w:val="0"/>
                <w:sz w:val="18"/>
                <w:szCs w:val="18"/>
              </w:rPr>
            </w:pPr>
          </w:p>
        </w:tc>
        <w:tc>
          <w:tcPr>
            <w:tcW w:w="986" w:type="dxa"/>
            <w:vMerge/>
            <w:tcBorders>
              <w:top w:val="single" w:sz="4" w:space="0" w:color="auto"/>
              <w:left w:val="single" w:sz="4" w:space="0" w:color="auto"/>
              <w:bottom w:val="single" w:sz="4" w:space="0" w:color="auto"/>
              <w:right w:val="single" w:sz="4" w:space="0" w:color="auto"/>
            </w:tcBorders>
            <w:vAlign w:val="center"/>
          </w:tcPr>
          <w:p w:rsidR="001E4756" w:rsidRDefault="001E4756">
            <w:pPr>
              <w:widowControl/>
              <w:jc w:val="left"/>
              <w:rPr>
                <w:rFonts w:ascii="宋体" w:eastAsia="宋体" w:hAnsi="宋体" w:cs="宋体" w:hint="default"/>
                <w:color w:val="000000"/>
                <w:kern w:val="0"/>
                <w:sz w:val="18"/>
                <w:szCs w:val="18"/>
              </w:rPr>
            </w:pPr>
          </w:p>
        </w:tc>
        <w:tc>
          <w:tcPr>
            <w:tcW w:w="950" w:type="dxa"/>
            <w:vMerge/>
            <w:tcBorders>
              <w:top w:val="single" w:sz="4" w:space="0" w:color="auto"/>
              <w:left w:val="single" w:sz="4" w:space="0" w:color="auto"/>
              <w:bottom w:val="single" w:sz="4" w:space="0" w:color="auto"/>
              <w:right w:val="single" w:sz="4" w:space="0" w:color="auto"/>
            </w:tcBorders>
            <w:vAlign w:val="center"/>
          </w:tcPr>
          <w:p w:rsidR="001E4756" w:rsidRDefault="001E4756">
            <w:pPr>
              <w:widowControl/>
              <w:jc w:val="left"/>
              <w:rPr>
                <w:rFonts w:ascii="宋体" w:eastAsia="宋体" w:hAnsi="宋体" w:cs="宋体" w:hint="default"/>
                <w:color w:val="000000"/>
                <w:kern w:val="0"/>
                <w:sz w:val="18"/>
                <w:szCs w:val="18"/>
              </w:rPr>
            </w:pPr>
          </w:p>
        </w:tc>
        <w:tc>
          <w:tcPr>
            <w:tcW w:w="984" w:type="dxa"/>
            <w:vMerge/>
            <w:tcBorders>
              <w:top w:val="single" w:sz="4" w:space="0" w:color="auto"/>
              <w:left w:val="single" w:sz="4" w:space="0" w:color="auto"/>
              <w:bottom w:val="single" w:sz="4" w:space="0" w:color="auto"/>
              <w:right w:val="single" w:sz="4" w:space="0" w:color="auto"/>
            </w:tcBorders>
            <w:vAlign w:val="center"/>
          </w:tcPr>
          <w:p w:rsidR="001E4756" w:rsidRDefault="001E4756">
            <w:pPr>
              <w:widowControl/>
              <w:jc w:val="left"/>
              <w:rPr>
                <w:rFonts w:ascii="宋体" w:eastAsia="宋体" w:hAnsi="宋体" w:cs="宋体" w:hint="default"/>
                <w:color w:val="000000"/>
                <w:kern w:val="0"/>
                <w:sz w:val="18"/>
                <w:szCs w:val="18"/>
              </w:rPr>
            </w:pPr>
          </w:p>
        </w:tc>
        <w:tc>
          <w:tcPr>
            <w:tcW w:w="786" w:type="dxa"/>
            <w:vMerge/>
            <w:tcBorders>
              <w:top w:val="single" w:sz="4" w:space="0" w:color="auto"/>
              <w:left w:val="single" w:sz="4" w:space="0" w:color="auto"/>
              <w:bottom w:val="single" w:sz="4" w:space="0" w:color="auto"/>
              <w:right w:val="single" w:sz="4" w:space="0" w:color="auto"/>
            </w:tcBorders>
            <w:vAlign w:val="center"/>
          </w:tcPr>
          <w:p w:rsidR="001E4756" w:rsidRDefault="001E4756">
            <w:pPr>
              <w:widowControl/>
              <w:jc w:val="left"/>
              <w:rPr>
                <w:rFonts w:ascii="宋体" w:eastAsia="宋体" w:hAnsi="宋体" w:cs="宋体" w:hint="default"/>
                <w:color w:val="000000"/>
                <w:kern w:val="0"/>
                <w:sz w:val="18"/>
                <w:szCs w:val="18"/>
              </w:rPr>
            </w:pPr>
          </w:p>
        </w:tc>
        <w:tc>
          <w:tcPr>
            <w:tcW w:w="800" w:type="dxa"/>
            <w:vMerge/>
            <w:tcBorders>
              <w:top w:val="single" w:sz="4" w:space="0" w:color="auto"/>
              <w:left w:val="single" w:sz="4" w:space="0" w:color="auto"/>
              <w:bottom w:val="single" w:sz="4" w:space="0" w:color="auto"/>
              <w:right w:val="single" w:sz="4" w:space="0" w:color="auto"/>
            </w:tcBorders>
            <w:vAlign w:val="center"/>
          </w:tcPr>
          <w:p w:rsidR="001E4756" w:rsidRDefault="001E4756">
            <w:pPr>
              <w:widowControl/>
              <w:jc w:val="left"/>
              <w:rPr>
                <w:rFonts w:ascii="宋体" w:eastAsia="宋体" w:hAnsi="宋体" w:cs="宋体" w:hint="default"/>
                <w:color w:val="000000"/>
                <w:kern w:val="0"/>
                <w:sz w:val="18"/>
                <w:szCs w:val="18"/>
              </w:rPr>
            </w:pPr>
          </w:p>
        </w:tc>
        <w:tc>
          <w:tcPr>
            <w:tcW w:w="629" w:type="dxa"/>
            <w:vMerge/>
            <w:tcBorders>
              <w:top w:val="single" w:sz="4" w:space="0" w:color="auto"/>
              <w:left w:val="single" w:sz="4" w:space="0" w:color="auto"/>
              <w:bottom w:val="single" w:sz="4" w:space="0" w:color="auto"/>
              <w:right w:val="single" w:sz="4" w:space="0" w:color="auto"/>
            </w:tcBorders>
            <w:vAlign w:val="center"/>
          </w:tcPr>
          <w:p w:rsidR="001E4756" w:rsidRDefault="001E4756">
            <w:pPr>
              <w:widowControl/>
              <w:jc w:val="left"/>
              <w:rPr>
                <w:rFonts w:ascii="宋体" w:eastAsia="宋体" w:hAnsi="宋体" w:cs="宋体" w:hint="default"/>
                <w:color w:val="000000"/>
                <w:kern w:val="0"/>
                <w:sz w:val="18"/>
                <w:szCs w:val="18"/>
              </w:rPr>
            </w:pPr>
          </w:p>
        </w:tc>
        <w:tc>
          <w:tcPr>
            <w:tcW w:w="971" w:type="dxa"/>
            <w:vMerge/>
            <w:tcBorders>
              <w:top w:val="single" w:sz="4" w:space="0" w:color="auto"/>
              <w:left w:val="single" w:sz="4" w:space="0" w:color="auto"/>
              <w:bottom w:val="single" w:sz="4" w:space="0" w:color="auto"/>
              <w:right w:val="single" w:sz="4" w:space="0" w:color="auto"/>
            </w:tcBorders>
            <w:vAlign w:val="center"/>
          </w:tcPr>
          <w:p w:rsidR="001E4756" w:rsidRDefault="001E4756">
            <w:pPr>
              <w:widowControl/>
              <w:jc w:val="left"/>
              <w:rPr>
                <w:rFonts w:ascii="宋体" w:eastAsia="宋体" w:hAnsi="宋体" w:cs="宋体" w:hint="default"/>
                <w:color w:val="000000"/>
                <w:kern w:val="0"/>
                <w:sz w:val="18"/>
                <w:szCs w:val="18"/>
              </w:rPr>
            </w:pPr>
          </w:p>
        </w:tc>
        <w:tc>
          <w:tcPr>
            <w:tcW w:w="1215" w:type="dxa"/>
            <w:vMerge/>
            <w:tcBorders>
              <w:top w:val="single" w:sz="4" w:space="0" w:color="auto"/>
              <w:left w:val="single" w:sz="4" w:space="0" w:color="auto"/>
              <w:bottom w:val="single" w:sz="4" w:space="0" w:color="auto"/>
              <w:right w:val="single" w:sz="4" w:space="0" w:color="auto"/>
            </w:tcBorders>
            <w:vAlign w:val="center"/>
          </w:tcPr>
          <w:p w:rsidR="001E4756" w:rsidRDefault="001E4756">
            <w:pPr>
              <w:widowControl/>
              <w:jc w:val="left"/>
              <w:rPr>
                <w:rFonts w:ascii="宋体" w:eastAsia="宋体" w:hAnsi="宋体" w:cs="宋体" w:hint="default"/>
                <w:color w:val="000000"/>
                <w:kern w:val="0"/>
                <w:sz w:val="18"/>
                <w:szCs w:val="18"/>
              </w:rPr>
            </w:pPr>
          </w:p>
        </w:tc>
      </w:tr>
      <w:tr w:rsidR="001E4756">
        <w:trPr>
          <w:trHeight w:val="398"/>
          <w:jc w:val="center"/>
        </w:trPr>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年度绩效指标完成情况</w:t>
            </w:r>
          </w:p>
        </w:tc>
        <w:tc>
          <w:tcPr>
            <w:tcW w:w="9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产出指标</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数量指标</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47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政协四届二次会议天数</w:t>
            </w:r>
          </w:p>
        </w:tc>
        <w:tc>
          <w:tcPr>
            <w:tcW w:w="786"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&gt;=3天</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3天</w:t>
            </w:r>
          </w:p>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8</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1E4756">
        <w:trPr>
          <w:trHeight w:val="398"/>
          <w:jc w:val="center"/>
        </w:trPr>
        <w:tc>
          <w:tcPr>
            <w:tcW w:w="990" w:type="dxa"/>
            <w:vMerge/>
            <w:tcBorders>
              <w:top w:val="single" w:sz="4" w:space="0" w:color="auto"/>
              <w:left w:val="single" w:sz="4" w:space="0" w:color="auto"/>
              <w:bottom w:val="single" w:sz="4" w:space="0" w:color="auto"/>
              <w:right w:val="single" w:sz="4" w:space="0" w:color="auto"/>
            </w:tcBorders>
            <w:vAlign w:val="center"/>
          </w:tcPr>
          <w:p w:rsidR="001E4756" w:rsidRDefault="001E4756">
            <w:pPr>
              <w:widowControl/>
              <w:jc w:val="left"/>
              <w:rPr>
                <w:rFonts w:ascii="宋体" w:eastAsia="宋体" w:hAnsi="宋体" w:cs="宋体" w:hint="default"/>
                <w:color w:val="000000"/>
                <w:kern w:val="0"/>
                <w:sz w:val="18"/>
                <w:szCs w:val="18"/>
              </w:rPr>
            </w:pPr>
          </w:p>
        </w:tc>
        <w:tc>
          <w:tcPr>
            <w:tcW w:w="986" w:type="dxa"/>
            <w:vMerge/>
            <w:tcBorders>
              <w:top w:val="single" w:sz="4" w:space="0" w:color="auto"/>
              <w:left w:val="single" w:sz="4" w:space="0" w:color="auto"/>
              <w:bottom w:val="single" w:sz="4" w:space="0" w:color="auto"/>
              <w:right w:val="single" w:sz="4" w:space="0" w:color="auto"/>
            </w:tcBorders>
            <w:vAlign w:val="center"/>
          </w:tcPr>
          <w:p w:rsidR="001E4756" w:rsidRDefault="001E4756">
            <w:pPr>
              <w:widowControl/>
              <w:jc w:val="left"/>
              <w:rPr>
                <w:rFonts w:ascii="宋体" w:eastAsia="宋体" w:hAnsi="宋体" w:cs="宋体" w:hint="default"/>
                <w:color w:val="000000"/>
                <w:kern w:val="0"/>
                <w:sz w:val="18"/>
                <w:szCs w:val="18"/>
              </w:rPr>
            </w:pP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数量指标</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47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参会人数</w:t>
            </w:r>
          </w:p>
        </w:tc>
        <w:tc>
          <w:tcPr>
            <w:tcW w:w="786"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&gt;=300人</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260人</w:t>
            </w:r>
          </w:p>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8</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6.88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受疫情影响，参会人员减少，工作人员减少。</w:t>
            </w:r>
          </w:p>
        </w:tc>
      </w:tr>
      <w:tr w:rsidR="001E4756">
        <w:trPr>
          <w:trHeight w:val="398"/>
          <w:jc w:val="center"/>
        </w:trPr>
        <w:tc>
          <w:tcPr>
            <w:tcW w:w="990" w:type="dxa"/>
            <w:vMerge/>
            <w:tcBorders>
              <w:top w:val="single" w:sz="4" w:space="0" w:color="auto"/>
              <w:left w:val="single" w:sz="4" w:space="0" w:color="auto"/>
              <w:bottom w:val="single" w:sz="4" w:space="0" w:color="auto"/>
              <w:right w:val="single" w:sz="4" w:space="0" w:color="auto"/>
            </w:tcBorders>
            <w:vAlign w:val="center"/>
          </w:tcPr>
          <w:p w:rsidR="001E4756" w:rsidRDefault="001E4756">
            <w:pPr>
              <w:widowControl/>
              <w:jc w:val="left"/>
              <w:rPr>
                <w:rFonts w:ascii="宋体" w:eastAsia="宋体" w:hAnsi="宋体" w:cs="宋体" w:hint="default"/>
                <w:color w:val="000000"/>
                <w:kern w:val="0"/>
                <w:sz w:val="18"/>
                <w:szCs w:val="18"/>
              </w:rPr>
            </w:pPr>
          </w:p>
        </w:tc>
        <w:tc>
          <w:tcPr>
            <w:tcW w:w="986" w:type="dxa"/>
            <w:vMerge/>
            <w:tcBorders>
              <w:top w:val="single" w:sz="4" w:space="0" w:color="auto"/>
              <w:left w:val="single" w:sz="4" w:space="0" w:color="auto"/>
              <w:bottom w:val="single" w:sz="4" w:space="0" w:color="auto"/>
              <w:right w:val="single" w:sz="4" w:space="0" w:color="auto"/>
            </w:tcBorders>
            <w:vAlign w:val="center"/>
          </w:tcPr>
          <w:p w:rsidR="001E4756" w:rsidRDefault="001E4756">
            <w:pPr>
              <w:widowControl/>
              <w:jc w:val="left"/>
              <w:rPr>
                <w:rFonts w:ascii="宋体" w:eastAsia="宋体" w:hAnsi="宋体" w:cs="宋体" w:hint="default"/>
                <w:color w:val="000000"/>
                <w:kern w:val="0"/>
                <w:sz w:val="18"/>
                <w:szCs w:val="18"/>
              </w:rPr>
            </w:pP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质量指标</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47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会议出勤率</w:t>
            </w:r>
          </w:p>
        </w:tc>
        <w:tc>
          <w:tcPr>
            <w:tcW w:w="786"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95%</w:t>
            </w:r>
          </w:p>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8</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1E4756">
        <w:trPr>
          <w:trHeight w:val="398"/>
          <w:jc w:val="center"/>
        </w:trPr>
        <w:tc>
          <w:tcPr>
            <w:tcW w:w="990" w:type="dxa"/>
            <w:vMerge/>
            <w:tcBorders>
              <w:top w:val="single" w:sz="4" w:space="0" w:color="auto"/>
              <w:left w:val="single" w:sz="4" w:space="0" w:color="auto"/>
              <w:bottom w:val="single" w:sz="4" w:space="0" w:color="auto"/>
              <w:right w:val="single" w:sz="4" w:space="0" w:color="auto"/>
            </w:tcBorders>
            <w:vAlign w:val="center"/>
          </w:tcPr>
          <w:p w:rsidR="001E4756" w:rsidRDefault="001E4756">
            <w:pPr>
              <w:widowControl/>
              <w:jc w:val="left"/>
              <w:rPr>
                <w:rFonts w:ascii="宋体" w:eastAsia="宋体" w:hAnsi="宋体" w:cs="宋体" w:hint="default"/>
                <w:color w:val="000000"/>
                <w:kern w:val="0"/>
                <w:sz w:val="18"/>
                <w:szCs w:val="18"/>
              </w:rPr>
            </w:pPr>
          </w:p>
        </w:tc>
        <w:tc>
          <w:tcPr>
            <w:tcW w:w="986" w:type="dxa"/>
            <w:vMerge/>
            <w:tcBorders>
              <w:top w:val="single" w:sz="4" w:space="0" w:color="auto"/>
              <w:left w:val="single" w:sz="4" w:space="0" w:color="auto"/>
              <w:bottom w:val="single" w:sz="4" w:space="0" w:color="auto"/>
              <w:right w:val="single" w:sz="4" w:space="0" w:color="auto"/>
            </w:tcBorders>
            <w:vAlign w:val="center"/>
          </w:tcPr>
          <w:p w:rsidR="001E4756" w:rsidRDefault="001E4756">
            <w:pPr>
              <w:widowControl/>
              <w:jc w:val="left"/>
              <w:rPr>
                <w:rFonts w:ascii="宋体" w:eastAsia="宋体" w:hAnsi="宋体" w:cs="宋体" w:hint="default"/>
                <w:color w:val="000000"/>
                <w:kern w:val="0"/>
                <w:sz w:val="18"/>
                <w:szCs w:val="18"/>
              </w:rPr>
            </w:pP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质量指标</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47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提案办复率</w:t>
            </w:r>
          </w:p>
        </w:tc>
        <w:tc>
          <w:tcPr>
            <w:tcW w:w="786"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6</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6</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1E4756">
        <w:trPr>
          <w:trHeight w:val="398"/>
          <w:jc w:val="center"/>
        </w:trPr>
        <w:tc>
          <w:tcPr>
            <w:tcW w:w="990" w:type="dxa"/>
            <w:vMerge/>
            <w:tcBorders>
              <w:top w:val="single" w:sz="4" w:space="0" w:color="auto"/>
              <w:left w:val="single" w:sz="4" w:space="0" w:color="auto"/>
              <w:bottom w:val="single" w:sz="4" w:space="0" w:color="auto"/>
              <w:right w:val="single" w:sz="4" w:space="0" w:color="auto"/>
            </w:tcBorders>
            <w:vAlign w:val="center"/>
          </w:tcPr>
          <w:p w:rsidR="001E4756" w:rsidRDefault="001E4756">
            <w:pPr>
              <w:widowControl/>
              <w:jc w:val="left"/>
              <w:rPr>
                <w:rFonts w:ascii="宋体" w:eastAsia="宋体" w:hAnsi="宋体" w:cs="宋体" w:hint="default"/>
                <w:color w:val="000000"/>
                <w:kern w:val="0"/>
                <w:sz w:val="18"/>
                <w:szCs w:val="18"/>
              </w:rPr>
            </w:pPr>
          </w:p>
        </w:tc>
        <w:tc>
          <w:tcPr>
            <w:tcW w:w="986" w:type="dxa"/>
            <w:vMerge/>
            <w:tcBorders>
              <w:top w:val="single" w:sz="4" w:space="0" w:color="auto"/>
              <w:left w:val="single" w:sz="4" w:space="0" w:color="auto"/>
              <w:bottom w:val="single" w:sz="4" w:space="0" w:color="auto"/>
              <w:right w:val="single" w:sz="4" w:space="0" w:color="auto"/>
            </w:tcBorders>
            <w:vAlign w:val="center"/>
          </w:tcPr>
          <w:p w:rsidR="001E4756" w:rsidRDefault="001E4756">
            <w:pPr>
              <w:widowControl/>
              <w:jc w:val="left"/>
              <w:rPr>
                <w:rFonts w:ascii="宋体" w:eastAsia="宋体" w:hAnsi="宋体" w:cs="宋体" w:hint="default"/>
                <w:color w:val="000000"/>
                <w:kern w:val="0"/>
                <w:sz w:val="18"/>
                <w:szCs w:val="18"/>
              </w:rPr>
            </w:pP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时效指标</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47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会议按期完成率</w:t>
            </w:r>
          </w:p>
        </w:tc>
        <w:tc>
          <w:tcPr>
            <w:tcW w:w="786"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1E4756">
        <w:trPr>
          <w:trHeight w:val="398"/>
          <w:jc w:val="center"/>
        </w:trPr>
        <w:tc>
          <w:tcPr>
            <w:tcW w:w="990" w:type="dxa"/>
            <w:vMerge/>
            <w:tcBorders>
              <w:top w:val="single" w:sz="4" w:space="0" w:color="auto"/>
              <w:left w:val="single" w:sz="4" w:space="0" w:color="auto"/>
              <w:bottom w:val="single" w:sz="4" w:space="0" w:color="auto"/>
              <w:right w:val="single" w:sz="4" w:space="0" w:color="auto"/>
            </w:tcBorders>
            <w:vAlign w:val="center"/>
          </w:tcPr>
          <w:p w:rsidR="001E4756" w:rsidRDefault="001E4756">
            <w:pPr>
              <w:widowControl/>
              <w:jc w:val="left"/>
              <w:rPr>
                <w:rFonts w:ascii="宋体" w:eastAsia="宋体" w:hAnsi="宋体" w:cs="宋体" w:hint="default"/>
                <w:color w:val="000000"/>
                <w:kern w:val="0"/>
                <w:sz w:val="18"/>
                <w:szCs w:val="18"/>
              </w:rPr>
            </w:pPr>
          </w:p>
        </w:tc>
        <w:tc>
          <w:tcPr>
            <w:tcW w:w="986" w:type="dxa"/>
            <w:vMerge/>
            <w:tcBorders>
              <w:top w:val="single" w:sz="4" w:space="0" w:color="auto"/>
              <w:left w:val="single" w:sz="4" w:space="0" w:color="auto"/>
              <w:bottom w:val="single" w:sz="4" w:space="0" w:color="auto"/>
              <w:right w:val="single" w:sz="4" w:space="0" w:color="auto"/>
            </w:tcBorders>
            <w:vAlign w:val="center"/>
          </w:tcPr>
          <w:p w:rsidR="001E4756" w:rsidRDefault="001E4756">
            <w:pPr>
              <w:widowControl/>
              <w:jc w:val="left"/>
              <w:rPr>
                <w:rFonts w:ascii="宋体" w:eastAsia="宋体" w:hAnsi="宋体" w:cs="宋体" w:hint="default"/>
                <w:color w:val="000000"/>
                <w:kern w:val="0"/>
                <w:sz w:val="18"/>
                <w:szCs w:val="18"/>
              </w:rPr>
            </w:pP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成本指标</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47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会议住宿费</w:t>
            </w:r>
          </w:p>
        </w:tc>
        <w:tc>
          <w:tcPr>
            <w:tcW w:w="786"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&lt;=27.27万元</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17.74万元</w:t>
            </w:r>
          </w:p>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1E4756">
        <w:trPr>
          <w:trHeight w:val="398"/>
          <w:jc w:val="center"/>
        </w:trPr>
        <w:tc>
          <w:tcPr>
            <w:tcW w:w="990" w:type="dxa"/>
            <w:vMerge/>
            <w:tcBorders>
              <w:top w:val="single" w:sz="4" w:space="0" w:color="auto"/>
              <w:left w:val="single" w:sz="4" w:space="0" w:color="auto"/>
              <w:bottom w:val="single" w:sz="4" w:space="0" w:color="auto"/>
              <w:right w:val="single" w:sz="4" w:space="0" w:color="auto"/>
            </w:tcBorders>
            <w:vAlign w:val="center"/>
          </w:tcPr>
          <w:p w:rsidR="001E4756" w:rsidRDefault="001E4756">
            <w:pPr>
              <w:widowControl/>
              <w:jc w:val="left"/>
              <w:rPr>
                <w:rFonts w:ascii="宋体" w:eastAsia="宋体" w:hAnsi="宋体" w:cs="宋体" w:hint="default"/>
                <w:color w:val="000000"/>
                <w:kern w:val="0"/>
                <w:sz w:val="18"/>
                <w:szCs w:val="18"/>
              </w:rPr>
            </w:pPr>
          </w:p>
        </w:tc>
        <w:tc>
          <w:tcPr>
            <w:tcW w:w="986" w:type="dxa"/>
            <w:vMerge/>
            <w:tcBorders>
              <w:top w:val="single" w:sz="4" w:space="0" w:color="auto"/>
              <w:left w:val="single" w:sz="4" w:space="0" w:color="auto"/>
              <w:bottom w:val="single" w:sz="4" w:space="0" w:color="auto"/>
              <w:right w:val="single" w:sz="4" w:space="0" w:color="auto"/>
            </w:tcBorders>
            <w:vAlign w:val="center"/>
          </w:tcPr>
          <w:p w:rsidR="001E4756" w:rsidRDefault="001E4756">
            <w:pPr>
              <w:widowControl/>
              <w:jc w:val="left"/>
              <w:rPr>
                <w:rFonts w:ascii="宋体" w:eastAsia="宋体" w:hAnsi="宋体" w:cs="宋体" w:hint="default"/>
                <w:color w:val="000000"/>
                <w:kern w:val="0"/>
                <w:sz w:val="18"/>
                <w:szCs w:val="18"/>
              </w:rPr>
            </w:pP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成本指标</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47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就餐费</w:t>
            </w:r>
          </w:p>
        </w:tc>
        <w:tc>
          <w:tcPr>
            <w:tcW w:w="786"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&lt;=10.91万元</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7.51万元</w:t>
            </w:r>
          </w:p>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1E4756">
        <w:trPr>
          <w:trHeight w:val="398"/>
          <w:jc w:val="center"/>
        </w:trPr>
        <w:tc>
          <w:tcPr>
            <w:tcW w:w="990" w:type="dxa"/>
            <w:vMerge/>
            <w:tcBorders>
              <w:top w:val="single" w:sz="4" w:space="0" w:color="auto"/>
              <w:left w:val="single" w:sz="4" w:space="0" w:color="auto"/>
              <w:bottom w:val="single" w:sz="4" w:space="0" w:color="auto"/>
              <w:right w:val="single" w:sz="4" w:space="0" w:color="auto"/>
            </w:tcBorders>
            <w:vAlign w:val="center"/>
          </w:tcPr>
          <w:p w:rsidR="001E4756" w:rsidRDefault="001E4756">
            <w:pPr>
              <w:widowControl/>
              <w:jc w:val="left"/>
              <w:rPr>
                <w:rFonts w:ascii="宋体" w:eastAsia="宋体" w:hAnsi="宋体" w:cs="宋体" w:hint="default"/>
                <w:color w:val="000000"/>
                <w:kern w:val="0"/>
                <w:sz w:val="18"/>
                <w:szCs w:val="18"/>
              </w:rPr>
            </w:pPr>
          </w:p>
        </w:tc>
        <w:tc>
          <w:tcPr>
            <w:tcW w:w="986" w:type="dxa"/>
            <w:vMerge/>
            <w:tcBorders>
              <w:top w:val="single" w:sz="4" w:space="0" w:color="auto"/>
              <w:left w:val="single" w:sz="4" w:space="0" w:color="auto"/>
              <w:bottom w:val="single" w:sz="4" w:space="0" w:color="auto"/>
              <w:right w:val="single" w:sz="4" w:space="0" w:color="auto"/>
            </w:tcBorders>
            <w:vAlign w:val="center"/>
          </w:tcPr>
          <w:p w:rsidR="001E4756" w:rsidRDefault="001E4756">
            <w:pPr>
              <w:widowControl/>
              <w:jc w:val="left"/>
              <w:rPr>
                <w:rFonts w:ascii="宋体" w:eastAsia="宋体" w:hAnsi="宋体" w:cs="宋体" w:hint="default"/>
                <w:color w:val="000000"/>
                <w:kern w:val="0"/>
                <w:sz w:val="18"/>
                <w:szCs w:val="18"/>
              </w:rPr>
            </w:pP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成本指标</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47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农牧民误工补贴</w:t>
            </w:r>
          </w:p>
        </w:tc>
        <w:tc>
          <w:tcPr>
            <w:tcW w:w="786"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&lt;=0.18万元</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0.036万元</w:t>
            </w:r>
          </w:p>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1E4756">
        <w:trPr>
          <w:trHeight w:val="398"/>
          <w:jc w:val="center"/>
        </w:trPr>
        <w:tc>
          <w:tcPr>
            <w:tcW w:w="990" w:type="dxa"/>
            <w:vMerge/>
            <w:tcBorders>
              <w:top w:val="single" w:sz="4" w:space="0" w:color="auto"/>
              <w:left w:val="single" w:sz="4" w:space="0" w:color="auto"/>
              <w:bottom w:val="single" w:sz="4" w:space="0" w:color="auto"/>
              <w:right w:val="single" w:sz="4" w:space="0" w:color="auto"/>
            </w:tcBorders>
            <w:vAlign w:val="center"/>
          </w:tcPr>
          <w:p w:rsidR="001E4756" w:rsidRDefault="001E4756">
            <w:pPr>
              <w:widowControl/>
              <w:jc w:val="left"/>
              <w:rPr>
                <w:rFonts w:ascii="宋体" w:eastAsia="宋体" w:hAnsi="宋体" w:cs="宋体" w:hint="default"/>
                <w:color w:val="000000"/>
                <w:kern w:val="0"/>
                <w:sz w:val="18"/>
                <w:szCs w:val="18"/>
              </w:rPr>
            </w:pPr>
          </w:p>
        </w:tc>
        <w:tc>
          <w:tcPr>
            <w:tcW w:w="9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效益指标</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经济效益指标</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47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86"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1E4756">
        <w:trPr>
          <w:trHeight w:val="398"/>
          <w:jc w:val="center"/>
        </w:trPr>
        <w:tc>
          <w:tcPr>
            <w:tcW w:w="990" w:type="dxa"/>
            <w:vMerge/>
            <w:tcBorders>
              <w:top w:val="single" w:sz="4" w:space="0" w:color="auto"/>
              <w:left w:val="single" w:sz="4" w:space="0" w:color="auto"/>
              <w:bottom w:val="single" w:sz="4" w:space="0" w:color="auto"/>
              <w:right w:val="single" w:sz="4" w:space="0" w:color="auto"/>
            </w:tcBorders>
            <w:vAlign w:val="center"/>
          </w:tcPr>
          <w:p w:rsidR="001E4756" w:rsidRDefault="001E4756">
            <w:pPr>
              <w:widowControl/>
              <w:jc w:val="left"/>
              <w:rPr>
                <w:rFonts w:ascii="宋体" w:eastAsia="宋体" w:hAnsi="宋体" w:cs="宋体" w:hint="default"/>
                <w:color w:val="000000"/>
                <w:kern w:val="0"/>
                <w:sz w:val="18"/>
                <w:szCs w:val="18"/>
              </w:rPr>
            </w:pPr>
          </w:p>
        </w:tc>
        <w:tc>
          <w:tcPr>
            <w:tcW w:w="986" w:type="dxa"/>
            <w:vMerge/>
            <w:tcBorders>
              <w:top w:val="single" w:sz="4" w:space="0" w:color="auto"/>
              <w:left w:val="single" w:sz="4" w:space="0" w:color="auto"/>
              <w:bottom w:val="single" w:sz="4" w:space="0" w:color="auto"/>
              <w:right w:val="single" w:sz="4" w:space="0" w:color="auto"/>
            </w:tcBorders>
            <w:vAlign w:val="center"/>
          </w:tcPr>
          <w:p w:rsidR="001E4756" w:rsidRDefault="001E4756">
            <w:pPr>
              <w:widowControl/>
              <w:jc w:val="left"/>
              <w:rPr>
                <w:rFonts w:ascii="宋体" w:eastAsia="宋体" w:hAnsi="宋体" w:cs="宋体" w:hint="default"/>
                <w:color w:val="000000"/>
                <w:kern w:val="0"/>
                <w:sz w:val="18"/>
                <w:szCs w:val="18"/>
              </w:rPr>
            </w:pP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社会效益指标</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47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畅通民主渠道，有效组织各党派、各</w:t>
            </w:r>
            <w:r>
              <w:rPr>
                <w:rFonts w:ascii="宋体" w:eastAsia="宋体" w:hAnsi="宋体" w:cs="宋体"/>
                <w:color w:val="000000"/>
                <w:kern w:val="0"/>
                <w:sz w:val="18"/>
                <w:szCs w:val="18"/>
              </w:rPr>
              <w:lastRenderedPageBreak/>
              <w:t>团体、各民族、各阶层、各界人士共同参政议政</w:t>
            </w:r>
          </w:p>
        </w:tc>
        <w:tc>
          <w:tcPr>
            <w:tcW w:w="786"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lastRenderedPageBreak/>
              <w:t>有效畅通</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有效畅通</w:t>
            </w:r>
          </w:p>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1E4756">
        <w:trPr>
          <w:trHeight w:val="398"/>
          <w:jc w:val="center"/>
        </w:trPr>
        <w:tc>
          <w:tcPr>
            <w:tcW w:w="990" w:type="dxa"/>
            <w:vMerge/>
            <w:tcBorders>
              <w:top w:val="single" w:sz="4" w:space="0" w:color="auto"/>
              <w:left w:val="single" w:sz="4" w:space="0" w:color="auto"/>
              <w:bottom w:val="single" w:sz="4" w:space="0" w:color="auto"/>
              <w:right w:val="single" w:sz="4" w:space="0" w:color="auto"/>
            </w:tcBorders>
            <w:vAlign w:val="center"/>
          </w:tcPr>
          <w:p w:rsidR="001E4756" w:rsidRDefault="001E4756">
            <w:pPr>
              <w:widowControl/>
              <w:jc w:val="left"/>
              <w:rPr>
                <w:rFonts w:ascii="宋体" w:eastAsia="宋体" w:hAnsi="宋体" w:cs="宋体" w:hint="default"/>
                <w:color w:val="000000"/>
                <w:kern w:val="0"/>
                <w:sz w:val="18"/>
                <w:szCs w:val="18"/>
              </w:rPr>
            </w:pPr>
          </w:p>
        </w:tc>
        <w:tc>
          <w:tcPr>
            <w:tcW w:w="986" w:type="dxa"/>
            <w:vMerge/>
            <w:tcBorders>
              <w:top w:val="single" w:sz="4" w:space="0" w:color="auto"/>
              <w:left w:val="single" w:sz="4" w:space="0" w:color="auto"/>
              <w:bottom w:val="single" w:sz="4" w:space="0" w:color="auto"/>
              <w:right w:val="single" w:sz="4" w:space="0" w:color="auto"/>
            </w:tcBorders>
            <w:vAlign w:val="center"/>
          </w:tcPr>
          <w:p w:rsidR="001E4756" w:rsidRDefault="001E4756">
            <w:pPr>
              <w:widowControl/>
              <w:jc w:val="left"/>
              <w:rPr>
                <w:rFonts w:ascii="宋体" w:eastAsia="宋体" w:hAnsi="宋体" w:cs="宋体" w:hint="default"/>
                <w:color w:val="000000"/>
                <w:kern w:val="0"/>
                <w:sz w:val="18"/>
                <w:szCs w:val="18"/>
              </w:rPr>
            </w:pP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生态效益指标</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47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86"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1E4756">
        <w:trPr>
          <w:trHeight w:val="398"/>
          <w:jc w:val="center"/>
        </w:trPr>
        <w:tc>
          <w:tcPr>
            <w:tcW w:w="990" w:type="dxa"/>
            <w:vMerge/>
            <w:tcBorders>
              <w:top w:val="single" w:sz="4" w:space="0" w:color="auto"/>
              <w:left w:val="single" w:sz="4" w:space="0" w:color="auto"/>
              <w:bottom w:val="single" w:sz="4" w:space="0" w:color="auto"/>
              <w:right w:val="single" w:sz="4" w:space="0" w:color="auto"/>
            </w:tcBorders>
            <w:vAlign w:val="center"/>
          </w:tcPr>
          <w:p w:rsidR="001E4756" w:rsidRDefault="001E4756">
            <w:pPr>
              <w:widowControl/>
              <w:jc w:val="left"/>
              <w:rPr>
                <w:rFonts w:ascii="宋体" w:eastAsia="宋体" w:hAnsi="宋体" w:cs="宋体" w:hint="default"/>
                <w:color w:val="000000"/>
                <w:kern w:val="0"/>
                <w:sz w:val="18"/>
                <w:szCs w:val="18"/>
              </w:rPr>
            </w:pPr>
          </w:p>
        </w:tc>
        <w:tc>
          <w:tcPr>
            <w:tcW w:w="986" w:type="dxa"/>
            <w:vMerge/>
            <w:tcBorders>
              <w:top w:val="single" w:sz="4" w:space="0" w:color="auto"/>
              <w:left w:val="single" w:sz="4" w:space="0" w:color="auto"/>
              <w:bottom w:val="single" w:sz="4" w:space="0" w:color="auto"/>
              <w:right w:val="single" w:sz="4" w:space="0" w:color="auto"/>
            </w:tcBorders>
            <w:vAlign w:val="center"/>
          </w:tcPr>
          <w:p w:rsidR="001E4756" w:rsidRDefault="001E4756">
            <w:pPr>
              <w:widowControl/>
              <w:jc w:val="left"/>
              <w:rPr>
                <w:rFonts w:ascii="宋体" w:eastAsia="宋体" w:hAnsi="宋体" w:cs="宋体" w:hint="default"/>
                <w:color w:val="000000"/>
                <w:kern w:val="0"/>
                <w:sz w:val="18"/>
                <w:szCs w:val="18"/>
              </w:rPr>
            </w:pP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可持续影响指标</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47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推动实现广泛有效的人民民主</w:t>
            </w:r>
          </w:p>
        </w:tc>
        <w:tc>
          <w:tcPr>
            <w:tcW w:w="786"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长期推动</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完全达到预期效果</w:t>
            </w:r>
          </w:p>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1E4756">
        <w:trPr>
          <w:trHeight w:val="398"/>
          <w:jc w:val="center"/>
        </w:trPr>
        <w:tc>
          <w:tcPr>
            <w:tcW w:w="990" w:type="dxa"/>
            <w:vMerge/>
            <w:tcBorders>
              <w:top w:val="single" w:sz="4" w:space="0" w:color="auto"/>
              <w:left w:val="single" w:sz="4" w:space="0" w:color="auto"/>
              <w:bottom w:val="single" w:sz="4" w:space="0" w:color="auto"/>
              <w:right w:val="single" w:sz="4" w:space="0" w:color="auto"/>
            </w:tcBorders>
            <w:vAlign w:val="center"/>
          </w:tcPr>
          <w:p w:rsidR="001E4756" w:rsidRDefault="001E4756">
            <w:pPr>
              <w:widowControl/>
              <w:jc w:val="left"/>
              <w:rPr>
                <w:rFonts w:ascii="宋体" w:eastAsia="宋体" w:hAnsi="宋体" w:cs="宋体" w:hint="default"/>
                <w:color w:val="000000"/>
                <w:kern w:val="0"/>
                <w:sz w:val="18"/>
                <w:szCs w:val="18"/>
              </w:rPr>
            </w:pP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47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参会人员满意度</w:t>
            </w:r>
          </w:p>
        </w:tc>
        <w:tc>
          <w:tcPr>
            <w:tcW w:w="786"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1E4756">
        <w:trPr>
          <w:trHeight w:val="398"/>
          <w:jc w:val="center"/>
        </w:trPr>
        <w:tc>
          <w:tcPr>
            <w:tcW w:w="549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总分</w:t>
            </w:r>
          </w:p>
        </w:tc>
        <w:tc>
          <w:tcPr>
            <w:tcW w:w="629" w:type="dxa"/>
            <w:tcBorders>
              <w:top w:val="single" w:sz="4" w:space="0" w:color="auto"/>
              <w:left w:val="nil"/>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971" w:type="dxa"/>
            <w:tcBorders>
              <w:top w:val="single" w:sz="4" w:space="0" w:color="auto"/>
              <w:left w:val="nil"/>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98.88分</w:t>
            </w:r>
          </w:p>
        </w:tc>
        <w:tc>
          <w:tcPr>
            <w:tcW w:w="1215" w:type="dxa"/>
            <w:tcBorders>
              <w:top w:val="single" w:sz="4" w:space="0" w:color="auto"/>
              <w:left w:val="nil"/>
              <w:bottom w:val="single" w:sz="4" w:space="0" w:color="auto"/>
              <w:right w:val="single" w:sz="4" w:space="0" w:color="auto"/>
            </w:tcBorders>
            <w:shd w:val="clear" w:color="auto" w:fill="auto"/>
            <w:vAlign w:val="center"/>
          </w:tcPr>
          <w:p w:rsidR="001E47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bl>
    <w:p w:rsidR="001E4756" w:rsidRDefault="001E4756">
      <w:pPr>
        <w:shd w:val="clear" w:color="auto" w:fill="FFFFFF"/>
        <w:autoSpaceDE w:val="0"/>
        <w:autoSpaceDN w:val="0"/>
        <w:adjustRightInd w:val="0"/>
        <w:spacing w:before="100" w:line="520" w:lineRule="exact"/>
        <w:ind w:left="118" w:firstLine="480"/>
        <w:rPr>
          <w:rFonts w:ascii="Times New Roman" w:eastAsia="仿宋_GB2312" w:hAnsi="Times New Roman" w:hint="default"/>
          <w:kern w:val="0"/>
          <w:sz w:val="24"/>
          <w:szCs w:val="24"/>
        </w:rPr>
      </w:pPr>
    </w:p>
    <w:p w:rsidR="001E4756" w:rsidRDefault="00000000">
      <w:pPr>
        <w:shd w:val="clear" w:color="auto" w:fill="FFFFFF"/>
        <w:autoSpaceDE w:val="0"/>
        <w:autoSpaceDN w:val="0"/>
        <w:adjustRightInd w:val="0"/>
        <w:spacing w:before="100" w:after="240"/>
        <w:jc w:val="center"/>
        <w:rPr>
          <w:rFonts w:ascii="Times New Roman" w:eastAsia="黑体" w:hAnsi="Times New Roman" w:hint="default"/>
          <w:b/>
          <w:kern w:val="0"/>
          <w:sz w:val="28"/>
          <w:szCs w:val="28"/>
        </w:rPr>
      </w:pPr>
      <w:r>
        <w:rPr>
          <w:rFonts w:ascii="黑体" w:eastAsia="黑体" w:hAnsi="Times New Roman" w:cs="黑体"/>
          <w:kern w:val="0"/>
          <w:sz w:val="32"/>
          <w:szCs w:val="32"/>
        </w:rPr>
        <w:t>第三部分 专业名词解释</w:t>
      </w:r>
    </w:p>
    <w:p w:rsidR="001E475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财政拨款收入：指同级财政当年拨付的资金。</w:t>
      </w:r>
    </w:p>
    <w:p w:rsidR="001E475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上级补助收入：指事业单位从主管部门和上级单位取得的非财政补助收入。</w:t>
      </w:r>
    </w:p>
    <w:p w:rsidR="001E475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事业收入：指事业单位开展专业业务活动及其辅助活动所取得的收入。</w:t>
      </w:r>
    </w:p>
    <w:p w:rsidR="001E475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经营收入：指事业单位在专业业务活动及其辅助活动之外开展非独立核算经营活动取得的收入。</w:t>
      </w:r>
    </w:p>
    <w:p w:rsidR="001E475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附属单位上缴收入：指事业单位附属的独立核算单位按有关规定上缴的收入。</w:t>
      </w:r>
    </w:p>
    <w:p w:rsidR="001E475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其他收入：指除上述</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财政拨款收入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事业收入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经营收入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附属单位上缴收入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等之外取得的收入。</w:t>
      </w:r>
    </w:p>
    <w:p w:rsidR="001E475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年初结转和结余：指以前年度支出预算因客观条件变化未</w:t>
      </w:r>
      <w:r>
        <w:rPr>
          <w:rFonts w:ascii="仿宋_GB2312" w:eastAsia="仿宋_GB2312" w:hAnsi="Times New Roman" w:cs="仿宋_GB2312"/>
          <w:kern w:val="0"/>
          <w:sz w:val="32"/>
          <w:szCs w:val="32"/>
        </w:rPr>
        <w:lastRenderedPageBreak/>
        <w:t>执行完毕、结转到本年度按有关规定继续使用的资金，既包括财政拨款结转和结余，也包括事业收入、经营收入、其他收入的结转和结余。</w:t>
      </w:r>
    </w:p>
    <w:p w:rsidR="001E475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rsidR="001E475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基本支出：指为保障机构正常运转、完成日常工作任务而发生的人员支出和公用支出。</w:t>
      </w:r>
    </w:p>
    <w:p w:rsidR="001E475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项目支出：指在基本支出之外为完成特定行政任务和事业发展目标所发生的支出。</w:t>
      </w:r>
    </w:p>
    <w:p w:rsidR="001E475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经营支出：指事业单位在专业业务活动及其辅助活动之外开展非独立核算经营活动发生的支出。</w:t>
      </w:r>
    </w:p>
    <w:p w:rsidR="001E475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对附属单位补助支出：指事业单位发生的用非财政预算资金对附属单位的补助支出。</w:t>
      </w:r>
    </w:p>
    <w:p w:rsidR="001E4756" w:rsidRDefault="00000000">
      <w:pPr>
        <w:autoSpaceDE w:val="0"/>
        <w:autoSpaceDN w:val="0"/>
        <w:adjustRightInd w:val="0"/>
        <w:spacing w:line="360" w:lineRule="auto"/>
        <w:ind w:firstLine="640"/>
        <w:rPr>
          <w:rFonts w:ascii="Times New Roman" w:eastAsia="仿宋_GB2312" w:hAnsi="Times New Roman" w:hint="default"/>
          <w:sz w:val="32"/>
          <w:szCs w:val="32"/>
        </w:rPr>
      </w:pP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经费：指用财政拨款安排的因公出国（境）费、公务用车购置及运行费和公务接待费。其中，因公出国（境）</w:t>
      </w:r>
      <w:proofErr w:type="gramStart"/>
      <w:r>
        <w:rPr>
          <w:rFonts w:ascii="仿宋_GB2312" w:eastAsia="仿宋_GB2312" w:hAnsi="Times New Roman" w:cs="仿宋_GB2312"/>
          <w:sz w:val="32"/>
          <w:szCs w:val="32"/>
        </w:rPr>
        <w:t>费反映</w:t>
      </w:r>
      <w:proofErr w:type="gramEnd"/>
      <w:r>
        <w:rPr>
          <w:rFonts w:ascii="仿宋_GB2312" w:eastAsia="仿宋_GB2312" w:hAnsi="Times New Roman" w:cs="仿宋_GB2312"/>
          <w:sz w:val="32"/>
          <w:szCs w:val="32"/>
        </w:rPr>
        <w:t>单位公务出国（境）的国际旅费、国外城市间交通费、住宿费、伙食费、培训费、公杂费等支出；公务用车购置</w:t>
      </w:r>
      <w:proofErr w:type="gramStart"/>
      <w:r>
        <w:rPr>
          <w:rFonts w:ascii="仿宋_GB2312" w:eastAsia="仿宋_GB2312" w:hAnsi="Times New Roman" w:cs="仿宋_GB2312"/>
          <w:sz w:val="32"/>
          <w:szCs w:val="32"/>
        </w:rPr>
        <w:t>费反映</w:t>
      </w:r>
      <w:proofErr w:type="gramEnd"/>
      <w:r>
        <w:rPr>
          <w:rFonts w:ascii="仿宋_GB2312" w:eastAsia="仿宋_GB2312" w:hAnsi="Times New Roman" w:cs="仿宋_GB2312"/>
          <w:sz w:val="32"/>
          <w:szCs w:val="32"/>
        </w:rPr>
        <w:t>公务用车购置支出（</w:t>
      </w:r>
      <w:proofErr w:type="gramStart"/>
      <w:r>
        <w:rPr>
          <w:rFonts w:ascii="仿宋_GB2312" w:eastAsia="仿宋_GB2312" w:hAnsi="Times New Roman" w:cs="仿宋_GB2312"/>
          <w:sz w:val="32"/>
          <w:szCs w:val="32"/>
        </w:rPr>
        <w:t>含车辆</w:t>
      </w:r>
      <w:proofErr w:type="gramEnd"/>
      <w:r>
        <w:rPr>
          <w:rFonts w:ascii="仿宋_GB2312" w:eastAsia="仿宋_GB2312" w:hAnsi="Times New Roman" w:cs="仿宋_GB2312"/>
          <w:sz w:val="32"/>
          <w:szCs w:val="32"/>
        </w:rPr>
        <w:t>购置税、牌照费）；公务用车运行维护费反映单位按规定保留的公务用车燃料费、维修费、过路过</w:t>
      </w:r>
      <w:r>
        <w:rPr>
          <w:rFonts w:ascii="仿宋_GB2312" w:eastAsia="仿宋_GB2312" w:hAnsi="Times New Roman" w:cs="仿宋_GB2312"/>
          <w:sz w:val="32"/>
          <w:szCs w:val="32"/>
        </w:rPr>
        <w:lastRenderedPageBreak/>
        <w:t>桥费、保险费、安全奖励费用等支出；公务接待</w:t>
      </w:r>
      <w:proofErr w:type="gramStart"/>
      <w:r>
        <w:rPr>
          <w:rFonts w:ascii="仿宋_GB2312" w:eastAsia="仿宋_GB2312" w:hAnsi="Times New Roman" w:cs="仿宋_GB2312"/>
          <w:sz w:val="32"/>
          <w:szCs w:val="32"/>
        </w:rPr>
        <w:t>费反映</w:t>
      </w:r>
      <w:proofErr w:type="gramEnd"/>
      <w:r>
        <w:rPr>
          <w:rFonts w:ascii="仿宋_GB2312" w:eastAsia="仿宋_GB2312" w:hAnsi="Times New Roman" w:cs="仿宋_GB2312"/>
          <w:sz w:val="32"/>
          <w:szCs w:val="32"/>
        </w:rPr>
        <w:t>单位按规定开支的各类公务接待（含外宾接待）费用。</w:t>
      </w:r>
    </w:p>
    <w:p w:rsidR="001E4756" w:rsidRDefault="00000000">
      <w:pPr>
        <w:autoSpaceDE w:val="0"/>
        <w:autoSpaceDN w:val="0"/>
        <w:adjustRightInd w:val="0"/>
        <w:spacing w:line="360" w:lineRule="auto"/>
        <w:ind w:firstLine="640"/>
        <w:rPr>
          <w:rFonts w:ascii="Times New Roman" w:eastAsia="仿宋_GB2312" w:hAnsi="Times New Roman" w:hint="default"/>
          <w:sz w:val="32"/>
          <w:szCs w:val="32"/>
        </w:rPr>
      </w:pPr>
      <w:r>
        <w:rPr>
          <w:rFonts w:ascii="仿宋_GB2312" w:eastAsia="仿宋_GB2312" w:hAnsi="Times New Roman" w:cs="仿宋_GB2312"/>
          <w:sz w:val="32"/>
          <w:szCs w:val="32"/>
        </w:rPr>
        <w:t>机关运行经费：行政单位和参照公务员法管理的事业单位财政拨款基本支出中的公用经费支出。</w:t>
      </w:r>
    </w:p>
    <w:p w:rsidR="001E4756" w:rsidRDefault="001E4756">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p>
    <w:p w:rsidR="001E4756" w:rsidRDefault="001E4756">
      <w:pPr>
        <w:shd w:val="clear" w:color="auto" w:fill="FFFFFF"/>
        <w:autoSpaceDE w:val="0"/>
        <w:autoSpaceDN w:val="0"/>
        <w:adjustRightInd w:val="0"/>
        <w:spacing w:before="100" w:line="520" w:lineRule="exact"/>
        <w:rPr>
          <w:rFonts w:ascii="Times New Roman" w:eastAsia="仿宋_GB2312" w:hAnsi="Times New Roman" w:hint="default"/>
          <w:kern w:val="0"/>
          <w:sz w:val="24"/>
          <w:szCs w:val="24"/>
        </w:rPr>
      </w:pPr>
    </w:p>
    <w:p w:rsidR="001E4756" w:rsidRDefault="00000000">
      <w:pPr>
        <w:shd w:val="clear" w:color="auto" w:fill="FFFFFF"/>
        <w:autoSpaceDE w:val="0"/>
        <w:autoSpaceDN w:val="0"/>
        <w:adjustRightInd w:val="0"/>
        <w:spacing w:before="100" w:after="240"/>
        <w:jc w:val="center"/>
        <w:rPr>
          <w:rFonts w:ascii="Times New Roman" w:eastAsia="黑体" w:hAnsi="Times New Roman" w:hint="default"/>
          <w:kern w:val="0"/>
          <w:sz w:val="32"/>
          <w:szCs w:val="32"/>
        </w:rPr>
      </w:pPr>
      <w:r>
        <w:rPr>
          <w:rFonts w:ascii="黑体" w:eastAsia="黑体" w:hAnsi="Times New Roman" w:cs="黑体"/>
          <w:kern w:val="0"/>
          <w:sz w:val="32"/>
          <w:szCs w:val="32"/>
        </w:rPr>
        <w:t>第四部分 部门决算报表（见附表）</w:t>
      </w:r>
    </w:p>
    <w:p w:rsidR="001E4756"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一、《收入支出决算总表》</w:t>
      </w:r>
    </w:p>
    <w:p w:rsidR="001E4756"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二、《收入决算表》</w:t>
      </w:r>
    </w:p>
    <w:p w:rsidR="001E4756"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三、《支出决算表》</w:t>
      </w:r>
    </w:p>
    <w:p w:rsidR="001E4756"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四、《财政拨款收入支出决算总表》</w:t>
      </w:r>
    </w:p>
    <w:p w:rsidR="001E4756"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五、《一般公共预算财政拨款支出决算表》</w:t>
      </w:r>
    </w:p>
    <w:p w:rsidR="001E4756"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六、《一般公共预算财政拨款基本支出决算表》</w:t>
      </w:r>
    </w:p>
    <w:p w:rsidR="001E4756"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七、《财政拨款</w:t>
      </w:r>
      <w:r>
        <w:rPr>
          <w:rFonts w:ascii="Times New Roman" w:eastAsia="黑体" w:hAnsi="Times New Roman" w:cs="黑体" w:hint="default"/>
          <w:sz w:val="32"/>
          <w:szCs w:val="32"/>
        </w:rPr>
        <w:t>“</w:t>
      </w:r>
      <w:r>
        <w:rPr>
          <w:rFonts w:ascii="黑体" w:eastAsia="黑体" w:hAnsi="Times New Roman" w:cs="黑体"/>
          <w:sz w:val="32"/>
          <w:szCs w:val="32"/>
        </w:rPr>
        <w:t>三公</w:t>
      </w:r>
      <w:r>
        <w:rPr>
          <w:rFonts w:ascii="Times New Roman" w:eastAsia="黑体" w:hAnsi="Times New Roman" w:cs="黑体" w:hint="default"/>
          <w:sz w:val="32"/>
          <w:szCs w:val="32"/>
        </w:rPr>
        <w:t>”</w:t>
      </w:r>
      <w:r>
        <w:rPr>
          <w:rFonts w:ascii="黑体" w:eastAsia="黑体" w:hAnsi="Times New Roman" w:cs="黑体"/>
          <w:sz w:val="32"/>
          <w:szCs w:val="32"/>
        </w:rPr>
        <w:t>经费支出决算表》</w:t>
      </w:r>
    </w:p>
    <w:p w:rsidR="001E4756" w:rsidRDefault="00000000">
      <w:pPr>
        <w:autoSpaceDE w:val="0"/>
        <w:autoSpaceDN w:val="0"/>
        <w:adjustRightInd w:val="0"/>
        <w:spacing w:line="540" w:lineRule="exact"/>
        <w:ind w:firstLine="640"/>
        <w:rPr>
          <w:rFonts w:ascii="Times New Roman" w:eastAsia="黑体" w:hAnsi="Times New Roman" w:hint="default"/>
          <w:kern w:val="0"/>
          <w:sz w:val="32"/>
          <w:szCs w:val="32"/>
        </w:rPr>
      </w:pPr>
      <w:r>
        <w:rPr>
          <w:rFonts w:ascii="黑体" w:eastAsia="黑体" w:hAnsi="Times New Roman" w:cs="黑体"/>
          <w:sz w:val="32"/>
          <w:szCs w:val="32"/>
        </w:rPr>
        <w:t>八、《政府性基金预算财政拨款收入支出决算表》</w:t>
      </w:r>
    </w:p>
    <w:p w:rsidR="001E4756" w:rsidRDefault="00000000">
      <w:pPr>
        <w:autoSpaceDE w:val="0"/>
        <w:autoSpaceDN w:val="0"/>
        <w:adjustRightInd w:val="0"/>
        <w:spacing w:line="540" w:lineRule="exact"/>
        <w:ind w:firstLine="640"/>
        <w:rPr>
          <w:rFonts w:ascii="Times New Roman" w:eastAsia="黑体" w:hAnsi="Times New Roman" w:hint="default"/>
          <w:kern w:val="0"/>
          <w:sz w:val="32"/>
          <w:szCs w:val="32"/>
        </w:rPr>
      </w:pPr>
      <w:r>
        <w:rPr>
          <w:rFonts w:ascii="黑体" w:eastAsia="黑体" w:hAnsi="Times New Roman" w:cs="黑体"/>
          <w:sz w:val="32"/>
          <w:szCs w:val="32"/>
          <w:lang w:val="zh-CN"/>
        </w:rPr>
        <w:t>九</w:t>
      </w:r>
      <w:r>
        <w:rPr>
          <w:rFonts w:ascii="黑体" w:eastAsia="黑体" w:hAnsi="Times New Roman" w:cs="黑体"/>
          <w:sz w:val="32"/>
          <w:szCs w:val="32"/>
        </w:rPr>
        <w:t>、《国有资本经营预算财政拨款收入支出决算表》</w:t>
      </w:r>
    </w:p>
    <w:p w:rsidR="001E4756" w:rsidRDefault="001E4756">
      <w:pPr>
        <w:autoSpaceDE w:val="0"/>
        <w:autoSpaceDN w:val="0"/>
        <w:adjustRightInd w:val="0"/>
        <w:jc w:val="left"/>
        <w:rPr>
          <w:rFonts w:ascii="Times New Roman" w:eastAsia="黑体" w:hAnsi="Times New Roman" w:hint="default"/>
          <w:kern w:val="36"/>
          <w:sz w:val="40"/>
          <w:szCs w:val="40"/>
          <w:lang w:val="zh-CN"/>
        </w:rPr>
      </w:pPr>
    </w:p>
    <w:p w:rsidR="001E4756" w:rsidRDefault="001E4756">
      <w:pPr>
        <w:autoSpaceDE w:val="0"/>
        <w:autoSpaceDN w:val="0"/>
        <w:adjustRightInd w:val="0"/>
        <w:rPr>
          <w:rFonts w:ascii="Times New Roman" w:eastAsia="黑体" w:hAnsi="Times New Roman" w:hint="default"/>
          <w:szCs w:val="21"/>
        </w:rPr>
      </w:pPr>
    </w:p>
    <w:p w:rsidR="001E4756" w:rsidRDefault="001E4756">
      <w:pPr>
        <w:autoSpaceDE w:val="0"/>
        <w:autoSpaceDN w:val="0"/>
        <w:adjustRightInd w:val="0"/>
        <w:jc w:val="left"/>
        <w:rPr>
          <w:rFonts w:ascii="Times New Roman" w:eastAsia="黑体" w:hAnsi="Times New Roman" w:hint="default"/>
          <w:kern w:val="36"/>
          <w:sz w:val="40"/>
          <w:szCs w:val="40"/>
          <w:lang w:val="zh-CN"/>
        </w:rPr>
      </w:pPr>
    </w:p>
    <w:p w:rsidR="001E4756" w:rsidRDefault="001E4756">
      <w:pPr>
        <w:autoSpaceDE w:val="0"/>
        <w:autoSpaceDN w:val="0"/>
        <w:adjustRightInd w:val="0"/>
        <w:rPr>
          <w:rFonts w:ascii="Times New Roman" w:eastAsia="黑体" w:hAnsi="Times New Roman" w:hint="default"/>
          <w:szCs w:val="21"/>
        </w:rPr>
      </w:pPr>
    </w:p>
    <w:p w:rsidR="001E4756" w:rsidRDefault="001E4756">
      <w:pPr>
        <w:autoSpaceDE w:val="0"/>
        <w:autoSpaceDN w:val="0"/>
        <w:adjustRightInd w:val="0"/>
        <w:jc w:val="left"/>
        <w:rPr>
          <w:rFonts w:ascii="Times New Roman" w:eastAsia="黑体" w:hAnsi="Times New Roman" w:hint="default"/>
          <w:kern w:val="36"/>
          <w:sz w:val="40"/>
          <w:szCs w:val="40"/>
          <w:lang w:val="zh-CN"/>
        </w:rPr>
      </w:pPr>
    </w:p>
    <w:sectPr w:rsidR="001E4756">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dkZGMyOWI2OTRjOWQ4ZTEzMzkxOGQzMTU2NTIzNjEifQ=="/>
  </w:docVars>
  <w:rsids>
    <w:rsidRoot w:val="00172A27"/>
    <w:rsid w:val="000E7816"/>
    <w:rsid w:val="00106ED9"/>
    <w:rsid w:val="00172A27"/>
    <w:rsid w:val="001E4756"/>
    <w:rsid w:val="002E19CF"/>
    <w:rsid w:val="002F243E"/>
    <w:rsid w:val="004077CB"/>
    <w:rsid w:val="00446E89"/>
    <w:rsid w:val="0053643D"/>
    <w:rsid w:val="007C0237"/>
    <w:rsid w:val="00AE690C"/>
    <w:rsid w:val="00BF32DB"/>
    <w:rsid w:val="00EE23C5"/>
    <w:rsid w:val="00F44EDD"/>
    <w:rsid w:val="00F80EBD"/>
    <w:rsid w:val="00FC40AD"/>
    <w:rsid w:val="066F282A"/>
    <w:rsid w:val="07A66D58"/>
    <w:rsid w:val="206F216A"/>
    <w:rsid w:val="2E216197"/>
    <w:rsid w:val="3B941D34"/>
    <w:rsid w:val="3BE9109A"/>
    <w:rsid w:val="48F22A13"/>
    <w:rsid w:val="7DEB7E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AD02C8"/>
  <w15:docId w15:val="{362B5EBB-629D-4117-AF0D-0F2B111A6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unhideWhenUsed="1"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10"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nhideWhenUsed="1"/>
    <w:lsdException w:name="HTML Bottom of Form" w:semiHidden="1" w:unhideWhenUsed="1"/>
    <w:lsdException w:name="Normal (Web)"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qFormat="1"/>
    <w:lsdException w:name="Table Grid" w:uiPriority="39" w:qFormat="1"/>
    <w:lsdException w:name="Table Theme" w:semiHidden="1" w:unhideWhenUsed="1"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nhideWhenUsed/>
    <w:qFormat/>
    <w:pPr>
      <w:widowControl w:val="0"/>
      <w:jc w:val="both"/>
    </w:pPr>
    <w:rPr>
      <w:rFonts w:ascii="等线" w:eastAsia="等线" w:hAnsi="等线" w:hint="eastAsia"/>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16</Pages>
  <Words>1106</Words>
  <Characters>6310</Characters>
  <Application>Microsoft Office Word</Application>
  <DocSecurity>0</DocSecurity>
  <Lines>52</Lines>
  <Paragraphs>14</Paragraphs>
  <ScaleCrop>false</ScaleCrop>
  <Company/>
  <LinksUpToDate>false</LinksUpToDate>
  <CharactersWithSpaces>7402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5869</cp:lastModifiedBy>
  <cp:revision>25</cp:revision>
  <dcterms:created xsi:type="dcterms:W3CDTF">2023-08-22T09:27:00Z</dcterms:created>
  <dcterms:modified xsi:type="dcterms:W3CDTF">2023-08-31T02:59:00Z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09A74A5A47DB45D28F1B2B73F76A8F79_13</vt:lpwstr>
  </property>
</Properties>
</file>