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rsidR="00585495" w:rsidRDefault="00585495">
      <w:pPr>
        <w:shd w:val="clear" w:color="auto" w:fill="FFFFFF"/>
        <w:autoSpaceDE w:val="0"/>
        <w:autoSpaceDN w:val="0"/>
        <w:adjustRightInd w:val="0"/>
        <w:spacing w:before="240" w:after="240"/>
        <w:jc w:val="center"/>
        <w:rPr>
          <w:rFonts w:ascii="Times New Roman" w:hint="default"/>
          <w:kern w:val="36"/>
          <w:sz w:val="40"/>
          <w:szCs w:val="40"/>
          <w:lang w:val="zh-CN"/>
        </w:rPr>
      </w:pPr>
    </w:p>
    <w:p w:rsidR="00585495" w:rsidRDefault="00585495">
      <w:pPr>
        <w:shd w:val="clear" w:color="auto" w:fill="FFFFFF"/>
        <w:autoSpaceDE w:val="0"/>
        <w:autoSpaceDN w:val="0"/>
        <w:adjustRightInd w:val="0"/>
        <w:spacing w:before="240" w:after="240"/>
        <w:jc w:val="center"/>
        <w:rPr>
          <w:rFonts w:ascii="Times New Roman" w:hint="default"/>
          <w:kern w:val="36"/>
          <w:sz w:val="40"/>
          <w:szCs w:val="40"/>
          <w:lang w:val="zh-CN"/>
        </w:rPr>
      </w:pPr>
    </w:p>
    <w:p w:rsidR="00585495" w:rsidRDefault="00000000">
      <w:pPr>
        <w:autoSpaceDE w:val="0"/>
        <w:autoSpaceDN w:val="0"/>
        <w:adjustRightInd w:val="0"/>
        <w:jc w:val="center"/>
        <w:outlineLvl w:val="0"/>
        <w:rPr>
          <w:rFonts w:ascii="方正小标宋_GBK" w:eastAsia="方正小标宋_GBK" w:hAnsi="Times New Roman" w:cs="方正小标宋_GBK" w:hint="default"/>
          <w:sz w:val="44"/>
          <w:szCs w:val="44"/>
        </w:rPr>
      </w:pPr>
      <w:r>
        <w:rPr>
          <w:rFonts w:ascii="方正小标宋_GBK" w:eastAsia="方正小标宋_GBK" w:hAnsi="Times New Roman" w:cs="方正小标宋_GBK"/>
          <w:sz w:val="44"/>
          <w:szCs w:val="44"/>
        </w:rPr>
        <w:t>乌鲁木齐市米东区中医医院</w:t>
      </w:r>
    </w:p>
    <w:p w:rsidR="00585495" w:rsidRDefault="00000000">
      <w:pPr>
        <w:autoSpaceDE w:val="0"/>
        <w:autoSpaceDN w:val="0"/>
        <w:adjustRightInd w:val="0"/>
        <w:jc w:val="center"/>
        <w:rPr>
          <w:rFonts w:ascii="Times New Roman" w:eastAsia="方正小标宋_GBK" w:hAnsi="Times New Roman" w:hint="default"/>
          <w:kern w:val="36"/>
          <w:sz w:val="40"/>
          <w:szCs w:val="40"/>
          <w:lang w:val="zh-CN"/>
        </w:rPr>
      </w:pPr>
      <w:r>
        <w:rPr>
          <w:rFonts w:ascii="方正小标宋_GBK" w:eastAsia="方正小标宋_GBK" w:hAnsi="Times New Roman" w:cs="方正小标宋_GBK"/>
          <w:sz w:val="44"/>
          <w:szCs w:val="44"/>
        </w:rPr>
        <w:t>2022年度部门决算公开说明</w:t>
      </w:r>
    </w:p>
    <w:p w:rsidR="00585495" w:rsidRDefault="00585495">
      <w:pPr>
        <w:shd w:val="clear" w:color="auto" w:fill="FFFFFF"/>
        <w:autoSpaceDE w:val="0"/>
        <w:autoSpaceDN w:val="0"/>
        <w:adjustRightInd w:val="0"/>
        <w:spacing w:before="240" w:after="240"/>
        <w:jc w:val="center"/>
        <w:rPr>
          <w:rFonts w:ascii="Times New Roman" w:eastAsia="宋体" w:hAnsi="Times New Roman" w:hint="default"/>
          <w:kern w:val="36"/>
          <w:sz w:val="40"/>
          <w:szCs w:val="40"/>
          <w:lang w:val="zh-CN"/>
        </w:rPr>
      </w:pPr>
    </w:p>
    <w:p w:rsidR="00585495" w:rsidRDefault="00000000">
      <w:pPr>
        <w:autoSpaceDE w:val="0"/>
        <w:autoSpaceDN w:val="0"/>
        <w:adjustRightInd w:val="0"/>
        <w:spacing w:line="540" w:lineRule="exact"/>
        <w:jc w:val="center"/>
        <w:rPr>
          <w:rFonts w:ascii="Times New Roman" w:eastAsia="仿宋_GB2312" w:hAnsi="Times New Roman" w:hint="default"/>
          <w:b/>
          <w:kern w:val="0"/>
          <w:sz w:val="24"/>
          <w:szCs w:val="24"/>
        </w:rPr>
      </w:pPr>
      <w:r>
        <w:rPr>
          <w:rFonts w:ascii="Times New Roman" w:eastAsia="宋体" w:hAnsi="Times New Roman" w:hint="default"/>
          <w:b/>
          <w:kern w:val="36"/>
          <w:sz w:val="36"/>
          <w:szCs w:val="36"/>
        </w:rPr>
        <w:br w:type="page"/>
      </w:r>
      <w:r>
        <w:rPr>
          <w:rFonts w:ascii="仿宋_GB2312" w:eastAsia="仿宋_GB2312" w:hAnsi="Times New Roman" w:cs="仿宋_GB2312"/>
          <w:b/>
          <w:kern w:val="0"/>
          <w:sz w:val="36"/>
          <w:szCs w:val="36"/>
        </w:rPr>
        <w:lastRenderedPageBreak/>
        <w:t>目  录</w:t>
      </w:r>
    </w:p>
    <w:p w:rsidR="00585495" w:rsidRDefault="00000000">
      <w:pPr>
        <w:autoSpaceDE w:val="0"/>
        <w:autoSpaceDN w:val="0"/>
        <w:adjustRightInd w:val="0"/>
        <w:spacing w:line="540" w:lineRule="exact"/>
        <w:outlineLvl w:val="0"/>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第一部分 单位概况</w:t>
      </w:r>
    </w:p>
    <w:p w:rsidR="00585495" w:rsidRDefault="00000000">
      <w:pPr>
        <w:autoSpaceDE w:val="0"/>
        <w:autoSpaceDN w:val="0"/>
        <w:adjustRightInd w:val="0"/>
        <w:spacing w:line="540" w:lineRule="exact"/>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一、主要职能</w:t>
      </w:r>
    </w:p>
    <w:p w:rsidR="00585495" w:rsidRDefault="00000000">
      <w:pPr>
        <w:autoSpaceDE w:val="0"/>
        <w:autoSpaceDN w:val="0"/>
        <w:adjustRightInd w:val="0"/>
        <w:spacing w:line="540" w:lineRule="exact"/>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二、</w:t>
      </w:r>
      <w:r>
        <w:rPr>
          <w:rFonts w:ascii="仿宋_GB2312" w:eastAsia="仿宋_GB2312" w:hAnsi="Times New Roman" w:cs="仿宋_GB2312"/>
          <w:sz w:val="32"/>
          <w:szCs w:val="32"/>
        </w:rPr>
        <w:t>机构设置及人员情况</w:t>
      </w:r>
    </w:p>
    <w:p w:rsidR="00585495" w:rsidRDefault="00000000">
      <w:pPr>
        <w:autoSpaceDE w:val="0"/>
        <w:autoSpaceDN w:val="0"/>
        <w:adjustRightInd w:val="0"/>
        <w:spacing w:line="540" w:lineRule="exact"/>
        <w:outlineLvl w:val="0"/>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第二部分 部门决算情况说明</w:t>
      </w:r>
    </w:p>
    <w:p w:rsidR="00585495"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一、收入支出决算总体情况说明</w:t>
      </w:r>
    </w:p>
    <w:p w:rsidR="00585495"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二、收入决算情况说明</w:t>
      </w:r>
    </w:p>
    <w:p w:rsidR="00585495"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三、支出决算情况说明</w:t>
      </w:r>
    </w:p>
    <w:p w:rsidR="00585495"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四、财政拨款收入支出决算总体情况说明</w:t>
      </w:r>
    </w:p>
    <w:p w:rsidR="00585495"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五、一般公共预算财政拨款支出决算情况说明</w:t>
      </w:r>
    </w:p>
    <w:p w:rsidR="00585495"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六、一般公共预算财政拨款基本支出决算情况说明</w:t>
      </w:r>
    </w:p>
    <w:p w:rsidR="00585495"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经费支出决算情况说明</w:t>
      </w:r>
    </w:p>
    <w:p w:rsidR="00585495"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w:t>
      </w:r>
      <w:r>
        <w:rPr>
          <w:rFonts w:ascii="仿宋_GB2312" w:eastAsia="仿宋_GB2312" w:hAnsi="Times New Roman" w:cs="仿宋_GB2312"/>
          <w:sz w:val="32"/>
          <w:szCs w:val="32"/>
          <w:lang w:val="zh-CN"/>
        </w:rPr>
        <w:t>财政拨款</w:t>
      </w:r>
      <w:r>
        <w:rPr>
          <w:rFonts w:ascii="仿宋_GB2312" w:eastAsia="仿宋_GB2312" w:hAnsi="Times New Roman" w:cs="仿宋_GB2312"/>
          <w:sz w:val="32"/>
          <w:szCs w:val="32"/>
        </w:rPr>
        <w:t>收入支出决算情况说明</w:t>
      </w:r>
    </w:p>
    <w:p w:rsidR="00585495"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九、国有资本经营预算财政拨款收入支出决算情况说明</w:t>
      </w:r>
    </w:p>
    <w:p w:rsidR="00585495"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十、其他重要事项的情况说明</w:t>
      </w:r>
    </w:p>
    <w:p w:rsidR="00585495"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（一）机关运行经费支出情况</w:t>
      </w:r>
    </w:p>
    <w:p w:rsidR="00585495"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（二）政府采购情况</w:t>
      </w:r>
    </w:p>
    <w:p w:rsidR="00585495"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（三）国有资产占用情况说明</w:t>
      </w:r>
    </w:p>
    <w:p w:rsidR="00585495" w:rsidRDefault="00000000">
      <w:pPr>
        <w:autoSpaceDE w:val="0"/>
        <w:autoSpaceDN w:val="0"/>
        <w:adjustRightInd w:val="0"/>
        <w:spacing w:line="540" w:lineRule="exact"/>
        <w:outlineLvl w:val="1"/>
        <w:rPr>
          <w:rFonts w:ascii="Times New Roman" w:eastAsia="仿宋_GB2312" w:hAnsi="Times New Roman" w:hint="default"/>
          <w:sz w:val="32"/>
          <w:szCs w:val="32"/>
        </w:rPr>
      </w:pPr>
      <w:r>
        <w:rPr>
          <w:rFonts w:ascii="仿宋_GB2312" w:eastAsia="仿宋_GB2312" w:hAnsi="Times New Roman" w:cs="仿宋_GB2312"/>
          <w:sz w:val="32"/>
          <w:szCs w:val="32"/>
        </w:rPr>
        <w:t>十</w:t>
      </w:r>
      <w:r>
        <w:rPr>
          <w:rFonts w:ascii="仿宋_GB2312" w:eastAsia="仿宋_GB2312" w:hAnsi="Times New Roman" w:cs="仿宋_GB2312"/>
          <w:sz w:val="32"/>
          <w:szCs w:val="32"/>
          <w:lang w:val="zh-CN"/>
        </w:rPr>
        <w:t>一</w:t>
      </w:r>
      <w:r>
        <w:rPr>
          <w:rFonts w:ascii="仿宋_GB2312" w:eastAsia="仿宋_GB2312" w:hAnsi="Times New Roman" w:cs="仿宋_GB2312"/>
          <w:sz w:val="32"/>
          <w:szCs w:val="32"/>
        </w:rPr>
        <w:t>、预算绩效的情况说明</w:t>
      </w:r>
    </w:p>
    <w:p w:rsidR="00585495" w:rsidRDefault="00000000">
      <w:pPr>
        <w:autoSpaceDE w:val="0"/>
        <w:autoSpaceDN w:val="0"/>
        <w:adjustRightInd w:val="0"/>
        <w:spacing w:line="540" w:lineRule="exact"/>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第三部分 专业名词解释</w:t>
      </w:r>
    </w:p>
    <w:p w:rsidR="00585495" w:rsidRDefault="00000000">
      <w:pPr>
        <w:autoSpaceDE w:val="0"/>
        <w:autoSpaceDN w:val="0"/>
        <w:adjustRightInd w:val="0"/>
        <w:spacing w:line="540" w:lineRule="exact"/>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第四部分 部</w:t>
      </w:r>
      <w:r>
        <w:rPr>
          <w:rFonts w:ascii="仿宋_GB2312" w:eastAsia="仿宋_GB2312" w:hAnsi="Times New Roman" w:cs="仿宋_GB2312"/>
          <w:b/>
          <w:sz w:val="32"/>
          <w:szCs w:val="32"/>
        </w:rPr>
        <w:t>门决算报表（见附表）</w:t>
      </w:r>
    </w:p>
    <w:p w:rsidR="00585495"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一、《收入支出决算总表》</w:t>
      </w:r>
    </w:p>
    <w:p w:rsidR="00585495"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二、《收入决算表》</w:t>
      </w:r>
    </w:p>
    <w:p w:rsidR="00585495"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三、《支出决算表》</w:t>
      </w:r>
    </w:p>
    <w:p w:rsidR="00585495"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lastRenderedPageBreak/>
        <w:t>四、《财政拨款收入支出决算总表》</w:t>
      </w:r>
    </w:p>
    <w:p w:rsidR="00585495"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五、《一般公共预算财政拨款支出决算表》</w:t>
      </w:r>
    </w:p>
    <w:p w:rsidR="00585495"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六、《一般公共预算财政拨款基本支出决算表》</w:t>
      </w:r>
    </w:p>
    <w:p w:rsidR="00585495"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经费支出决算表》</w:t>
      </w:r>
    </w:p>
    <w:p w:rsidR="00585495"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八、《政府性基金预算财政拨款收入支出决算表》</w:t>
      </w:r>
    </w:p>
    <w:p w:rsidR="00585495"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九、《国有资本经营预算财政拨款收入支出决算表》</w:t>
      </w:r>
    </w:p>
    <w:p w:rsidR="00585495" w:rsidRDefault="00585495">
      <w:pPr>
        <w:autoSpaceDE w:val="0"/>
        <w:autoSpaceDN w:val="0"/>
        <w:adjustRightInd w:val="0"/>
        <w:spacing w:line="540" w:lineRule="exact"/>
        <w:ind w:firstLine="640"/>
        <w:rPr>
          <w:rFonts w:ascii="Times New Roman" w:eastAsia="仿宋_GB2312" w:hAnsi="Times New Roman" w:hint="default"/>
          <w:b/>
          <w:kern w:val="0"/>
          <w:sz w:val="28"/>
          <w:szCs w:val="28"/>
        </w:rPr>
      </w:pPr>
    </w:p>
    <w:p w:rsidR="00585495" w:rsidRDefault="00585495">
      <w:pPr>
        <w:shd w:val="clear" w:color="auto" w:fill="FFFFFF"/>
        <w:autoSpaceDE w:val="0"/>
        <w:autoSpaceDN w:val="0"/>
        <w:adjustRightInd w:val="0"/>
        <w:spacing w:line="360" w:lineRule="auto"/>
        <w:jc w:val="center"/>
        <w:rPr>
          <w:rFonts w:ascii="Times New Roman" w:eastAsia="仿宋_GB2312" w:hAnsi="Times New Roman" w:hint="default"/>
          <w:kern w:val="0"/>
          <w:sz w:val="32"/>
          <w:szCs w:val="32"/>
        </w:rPr>
      </w:pPr>
    </w:p>
    <w:p w:rsidR="00585495" w:rsidRDefault="00000000">
      <w:pPr>
        <w:shd w:val="clear" w:color="auto" w:fill="FFFFFF"/>
        <w:autoSpaceDE w:val="0"/>
        <w:autoSpaceDN w:val="0"/>
        <w:adjustRightInd w:val="0"/>
        <w:spacing w:line="360" w:lineRule="auto"/>
        <w:jc w:val="center"/>
        <w:outlineLvl w:val="0"/>
        <w:rPr>
          <w:rFonts w:eastAsia="黑体" w:cs="黑体" w:hint="default"/>
          <w:kern w:val="0"/>
          <w:sz w:val="32"/>
          <w:szCs w:val="32"/>
          <w:rtl/>
          <w:lang w:val="ar-SA"/>
        </w:rPr>
      </w:pPr>
      <w:r>
        <w:rPr>
          <w:rFonts w:ascii="Times New Roman" w:eastAsia="仿宋_GB2312" w:hAnsi="Times New Roman" w:hint="default"/>
          <w:kern w:val="0"/>
          <w:sz w:val="32"/>
          <w:szCs w:val="32"/>
        </w:rPr>
        <w:br w:type="page"/>
      </w:r>
      <w:r>
        <w:rPr>
          <w:rFonts w:ascii="黑体" w:eastAsia="黑体" w:hAnsi="Times New Roman" w:cs="黑体"/>
          <w:kern w:val="0"/>
          <w:sz w:val="32"/>
          <w:szCs w:val="32"/>
        </w:rPr>
        <w:lastRenderedPageBreak/>
        <w:t>第一部分 单位概况</w:t>
      </w:r>
    </w:p>
    <w:p w:rsidR="00585495"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一、主要职能</w:t>
      </w:r>
    </w:p>
    <w:p w:rsidR="00585495"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1.贯彻执行国家、自治区卫生工作方针、政策、法律、法规和相关标准，为人民健康提供医疗与护理保健服务。</w:t>
      </w:r>
    </w:p>
    <w:p w:rsidR="00585495"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2.加强医疗质量管理确保医疗安全和服务质量，不断提高服务水平，保障人民身体健康，并开展诊疗护理、康复等服务。</w:t>
      </w:r>
    </w:p>
    <w:p w:rsidR="00585495" w:rsidRDefault="00000000">
      <w:pPr>
        <w:autoSpaceDE w:val="0"/>
        <w:autoSpaceDN w:val="0"/>
        <w:adjustRightInd w:val="0"/>
        <w:spacing w:line="360" w:lineRule="auto"/>
        <w:ind w:firstLineChars="200" w:firstLine="640"/>
        <w:rPr>
          <w:rFonts w:ascii="Times New Roman" w:eastAsia="仿宋_GB2312" w:hAnsi="Times New Roman" w:hint="default"/>
          <w:sz w:val="32"/>
          <w:szCs w:val="32"/>
          <w:lang w:val="zh-CN"/>
        </w:rPr>
      </w:pPr>
      <w:r>
        <w:rPr>
          <w:rFonts w:ascii="仿宋_GB2312" w:eastAsia="仿宋_GB2312" w:hAnsi="Times New Roman" w:cs="仿宋_GB2312"/>
          <w:kern w:val="0"/>
          <w:sz w:val="32"/>
          <w:szCs w:val="32"/>
        </w:rPr>
        <w:t>3.对医务人员进行经常性的培训与考核，同时开展社区公共卫生服务工作及全民免费体检工作，群众突发公共卫生事件应急处置等工作，保障全区人民的健康。</w:t>
      </w:r>
    </w:p>
    <w:p w:rsidR="00585495"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二、机构设置及人员情况</w:t>
      </w:r>
    </w:p>
    <w:p w:rsidR="00585495"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乌鲁木齐市米东区中医医院2022年度，实有人数268人，其中：在职人员178人，离休人员0人，退休人员90人。</w:t>
      </w:r>
    </w:p>
    <w:p w:rsidR="00585495" w:rsidRDefault="00000000">
      <w:pPr>
        <w:shd w:val="clear" w:color="auto" w:fill="FFFFFF"/>
        <w:autoSpaceDE w:val="0"/>
        <w:autoSpaceDN w:val="0"/>
        <w:adjustRightInd w:val="0"/>
        <w:spacing w:line="360" w:lineRule="auto"/>
        <w:ind w:firstLine="640"/>
        <w:rPr>
          <w:rFonts w:ascii="Times New Roman" w:hint="default"/>
          <w:kern w:val="0"/>
          <w:sz w:val="24"/>
          <w:szCs w:val="24"/>
          <w:rtl/>
          <w:lang w:val="zh-CN" w:bidi="zh-CN"/>
        </w:rPr>
      </w:pPr>
      <w:r>
        <w:rPr>
          <w:rFonts w:ascii="仿宋_GB2312" w:eastAsia="仿宋_GB2312" w:hAnsi="Times New Roman" w:cs="仿宋_GB2312"/>
          <w:kern w:val="0"/>
          <w:sz w:val="32"/>
          <w:szCs w:val="32"/>
        </w:rPr>
        <w:t>从部门决算单位构成看，乌鲁木齐市米东区中医医院部门决算包括：乌鲁木齐市米东区中医医院</w:t>
      </w:r>
      <w:r>
        <w:rPr>
          <w:rFonts w:ascii="仿宋_GB2312" w:eastAsia="仿宋_GB2312" w:hAnsi="Times New Roman" w:cs="仿宋_GB2312"/>
          <w:kern w:val="0"/>
          <w:sz w:val="32"/>
          <w:szCs w:val="32"/>
          <w:lang w:val="zh-CN"/>
        </w:rPr>
        <w:t>决算。单位无下属预算单位，下设</w:t>
      </w:r>
      <w:r>
        <w:rPr>
          <w:rFonts w:ascii="仿宋_GB2312" w:eastAsia="仿宋_GB2312" w:hAnsi="Times New Roman" w:cs="仿宋_GB2312"/>
          <w:kern w:val="0"/>
          <w:sz w:val="32"/>
          <w:szCs w:val="32"/>
        </w:rPr>
        <w:t>20</w:t>
      </w:r>
      <w:r>
        <w:rPr>
          <w:rFonts w:ascii="仿宋_GB2312" w:eastAsia="仿宋_GB2312" w:hAnsi="Times New Roman" w:cs="仿宋_GB2312"/>
          <w:kern w:val="0"/>
          <w:sz w:val="32"/>
          <w:szCs w:val="32"/>
          <w:lang w:val="zh-CN"/>
        </w:rPr>
        <w:t>个科室，分别是：</w:t>
      </w:r>
      <w:r>
        <w:rPr>
          <w:rFonts w:ascii="仿宋_GB2312" w:eastAsia="仿宋_GB2312" w:hAnsi="黑体" w:cs="宋体"/>
          <w:kern w:val="0"/>
          <w:sz w:val="32"/>
          <w:szCs w:val="32"/>
        </w:rPr>
        <w:t>手麻科、康复科、妇科、儿科、产科、外科、内</w:t>
      </w:r>
      <w:proofErr w:type="gramStart"/>
      <w:r>
        <w:rPr>
          <w:rFonts w:ascii="仿宋_GB2312" w:eastAsia="仿宋_GB2312" w:hAnsi="黑体" w:cs="宋体"/>
          <w:kern w:val="0"/>
          <w:sz w:val="32"/>
          <w:szCs w:val="32"/>
        </w:rPr>
        <w:t>一</w:t>
      </w:r>
      <w:proofErr w:type="gramEnd"/>
      <w:r>
        <w:rPr>
          <w:rFonts w:ascii="仿宋_GB2312" w:eastAsia="仿宋_GB2312" w:hAnsi="黑体" w:cs="宋体"/>
          <w:kern w:val="0"/>
          <w:sz w:val="32"/>
          <w:szCs w:val="32"/>
        </w:rPr>
        <w:t>科、内二科、内三科、</w:t>
      </w:r>
      <w:proofErr w:type="gramStart"/>
      <w:r>
        <w:rPr>
          <w:rFonts w:ascii="仿宋_GB2312" w:eastAsia="仿宋_GB2312" w:hAnsi="黑体" w:cs="宋体"/>
          <w:kern w:val="0"/>
          <w:sz w:val="32"/>
          <w:szCs w:val="32"/>
        </w:rPr>
        <w:t>针推科</w:t>
      </w:r>
      <w:proofErr w:type="gramEnd"/>
      <w:r>
        <w:rPr>
          <w:rFonts w:ascii="仿宋_GB2312" w:eastAsia="仿宋_GB2312" w:hAnsi="黑体" w:cs="宋体"/>
          <w:kern w:val="0"/>
          <w:sz w:val="32"/>
          <w:szCs w:val="32"/>
        </w:rPr>
        <w:t>、皮肤科、体检中心、功能科、检验科、护理门诊、急诊科、财务科、药械科、放射科、病理科</w:t>
      </w:r>
      <w:r>
        <w:rPr>
          <w:rFonts w:ascii="仿宋_GB2312" w:eastAsia="仿宋_GB2312" w:hAnsi="Times New Roman" w:cs="仿宋_GB2312"/>
          <w:kern w:val="0"/>
          <w:sz w:val="32"/>
          <w:szCs w:val="32"/>
          <w:highlight w:val="white"/>
          <w:lang w:val="zh-CN"/>
        </w:rPr>
        <w:t>。</w:t>
      </w:r>
    </w:p>
    <w:p w:rsidR="00585495" w:rsidRDefault="00000000">
      <w:pPr>
        <w:shd w:val="clear" w:color="auto" w:fill="FFFFFF"/>
        <w:autoSpaceDE w:val="0"/>
        <w:autoSpaceDN w:val="0"/>
        <w:adjustRightInd w:val="0"/>
        <w:spacing w:before="100" w:after="240"/>
        <w:jc w:val="center"/>
        <w:outlineLvl w:val="0"/>
        <w:rPr>
          <w:rFonts w:ascii="Times New Roman" w:hint="default"/>
          <w:kern w:val="0"/>
          <w:sz w:val="28"/>
          <w:szCs w:val="28"/>
          <w:rtl/>
          <w:lang w:val="ar-SA"/>
        </w:rPr>
      </w:pPr>
      <w:r>
        <w:rPr>
          <w:rFonts w:ascii="黑体" w:eastAsia="黑体" w:hAnsi="Times New Roman" w:cs="黑体"/>
          <w:kern w:val="0"/>
          <w:sz w:val="32"/>
          <w:szCs w:val="32"/>
        </w:rPr>
        <w:t>第二部分 部门决算情况说明</w:t>
      </w:r>
    </w:p>
    <w:p w:rsidR="00585495"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一、收入支出决算总体情况说明</w:t>
      </w:r>
    </w:p>
    <w:p w:rsidR="00585495"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lastRenderedPageBreak/>
        <w:t>2022年度收入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35,608.20万元，</w:t>
      </w:r>
      <w:r>
        <w:rPr>
          <w:rFonts w:ascii="仿宋_GB2312" w:eastAsia="仿宋_GB2312" w:hAnsi="Times New Roman" w:cs="仿宋_GB2312"/>
          <w:sz w:val="32"/>
          <w:szCs w:val="32"/>
        </w:rPr>
        <w:t>其中：本年收入合计</w:t>
      </w:r>
      <w:r>
        <w:rPr>
          <w:rFonts w:ascii="仿宋_GB2312" w:eastAsia="仿宋_GB2312" w:hAnsi="Times New Roman" w:cs="仿宋_GB2312"/>
          <w:kern w:val="0"/>
          <w:sz w:val="32"/>
          <w:szCs w:val="32"/>
        </w:rPr>
        <w:t>35,108.02</w:t>
      </w:r>
      <w:r>
        <w:rPr>
          <w:rFonts w:ascii="仿宋_GB2312" w:eastAsia="仿宋_GB2312" w:hAnsi="Times New Roman" w:cs="仿宋_GB2312"/>
          <w:sz w:val="32"/>
          <w:szCs w:val="32"/>
        </w:rPr>
        <w:t>万元，使用非财政拨款结余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万元，年初结转和结余</w:t>
      </w:r>
      <w:r>
        <w:rPr>
          <w:rFonts w:ascii="仿宋_GB2312" w:eastAsia="仿宋_GB2312" w:hAnsi="Times New Roman" w:cs="仿宋_GB2312"/>
          <w:kern w:val="0"/>
          <w:sz w:val="32"/>
          <w:szCs w:val="32"/>
        </w:rPr>
        <w:t>500.18</w:t>
      </w:r>
      <w:r>
        <w:rPr>
          <w:rFonts w:ascii="仿宋_GB2312" w:eastAsia="仿宋_GB2312" w:hAnsi="Times New Roman" w:cs="仿宋_GB2312"/>
          <w:sz w:val="32"/>
          <w:szCs w:val="32"/>
        </w:rPr>
        <w:t>万元。收入总计</w:t>
      </w:r>
      <w:r>
        <w:rPr>
          <w:rFonts w:ascii="仿宋_GB2312" w:eastAsia="仿宋_GB2312" w:hAnsi="Times New Roman" w:cs="仿宋_GB2312"/>
          <w:kern w:val="0"/>
          <w:sz w:val="32"/>
          <w:szCs w:val="32"/>
        </w:rPr>
        <w:t>与上年相比，增加3,603.41万元，增长11.26%，主要原因是：医院开展新医疗服务项目，导致就诊人次增加，医疗收入增加。</w:t>
      </w:r>
    </w:p>
    <w:p w:rsidR="00585495"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highlight w:val="yellow"/>
        </w:rPr>
      </w:pPr>
      <w:r>
        <w:rPr>
          <w:rFonts w:ascii="仿宋_GB2312" w:eastAsia="仿宋_GB2312" w:hAnsi="Times New Roman" w:cs="仿宋_GB2312"/>
          <w:sz w:val="32"/>
          <w:szCs w:val="32"/>
        </w:rPr>
        <w:t>本年支出总计</w:t>
      </w:r>
      <w:r>
        <w:rPr>
          <w:rFonts w:ascii="仿宋_GB2312" w:eastAsia="仿宋_GB2312" w:hAnsi="Times New Roman" w:cs="仿宋_GB2312"/>
          <w:kern w:val="0"/>
          <w:sz w:val="32"/>
          <w:szCs w:val="32"/>
        </w:rPr>
        <w:t>35,608.20万元，</w:t>
      </w:r>
      <w:r>
        <w:rPr>
          <w:rFonts w:ascii="仿宋_GB2312" w:eastAsia="仿宋_GB2312" w:hAnsi="Times New Roman" w:cs="仿宋_GB2312"/>
          <w:sz w:val="32"/>
          <w:szCs w:val="32"/>
        </w:rPr>
        <w:t>其中：本年支出合计</w:t>
      </w:r>
      <w:r>
        <w:rPr>
          <w:rFonts w:ascii="仿宋_GB2312" w:eastAsia="仿宋_GB2312" w:hAnsi="Times New Roman" w:cs="仿宋_GB2312"/>
          <w:kern w:val="0"/>
          <w:sz w:val="32"/>
          <w:szCs w:val="32"/>
        </w:rPr>
        <w:t>35,265.26</w:t>
      </w:r>
      <w:r>
        <w:rPr>
          <w:rFonts w:ascii="仿宋_GB2312" w:eastAsia="仿宋_GB2312" w:hAnsi="Times New Roman" w:cs="仿宋_GB2312"/>
          <w:sz w:val="32"/>
          <w:szCs w:val="32"/>
        </w:rPr>
        <w:t>万元，结余分配</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万元，年末结转和结余</w:t>
      </w:r>
      <w:r>
        <w:rPr>
          <w:rFonts w:ascii="仿宋_GB2312" w:eastAsia="仿宋_GB2312" w:hAnsi="Times New Roman" w:cs="仿宋_GB2312"/>
          <w:kern w:val="0"/>
          <w:sz w:val="32"/>
          <w:szCs w:val="32"/>
        </w:rPr>
        <w:t>342.94</w:t>
      </w:r>
      <w:r>
        <w:rPr>
          <w:rFonts w:ascii="仿宋_GB2312" w:eastAsia="仿宋_GB2312" w:hAnsi="Times New Roman" w:cs="仿宋_GB2312"/>
          <w:sz w:val="32"/>
          <w:szCs w:val="32"/>
        </w:rPr>
        <w:t>万元。支出总计</w:t>
      </w:r>
      <w:r>
        <w:rPr>
          <w:rFonts w:ascii="仿宋_GB2312" w:eastAsia="仿宋_GB2312" w:hAnsi="Times New Roman" w:cs="仿宋_GB2312"/>
          <w:kern w:val="0"/>
          <w:sz w:val="32"/>
          <w:szCs w:val="32"/>
        </w:rPr>
        <w:t>与上年相比，增加3,603.41万元，增长11.26%，主要原因是：医院由于开展新医疗业务，新增医护人员，导致人员经费支出增加。</w:t>
      </w:r>
    </w:p>
    <w:p w:rsidR="00585495" w:rsidRDefault="00000000">
      <w:pPr>
        <w:autoSpaceDE w:val="0"/>
        <w:autoSpaceDN w:val="0"/>
        <w:adjustRightInd w:val="0"/>
        <w:spacing w:line="360" w:lineRule="auto"/>
        <w:ind w:firstLine="640"/>
        <w:outlineLvl w:val="1"/>
        <w:rPr>
          <w:rFonts w:ascii="Times New Roman" w:eastAsia="黑体" w:hAnsi="Times New Roman" w:hint="default"/>
          <w:sz w:val="32"/>
          <w:szCs w:val="32"/>
        </w:rPr>
      </w:pPr>
      <w:r>
        <w:rPr>
          <w:rFonts w:ascii="黑体" w:eastAsia="黑体" w:hAnsi="Times New Roman" w:cs="黑体"/>
          <w:sz w:val="32"/>
          <w:szCs w:val="32"/>
          <w:lang w:val="zh-CN"/>
        </w:rPr>
        <w:t>二、收入决算情况说明</w:t>
      </w:r>
    </w:p>
    <w:p w:rsidR="00585495"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收入35,108.02万元，其中：财政拨款收入1,765.85万元，占5.03%；上级补助收入0.00万元，占0.00%；事业收入27,547.60万元，占78.47%；经营收入0.00万元，占0.00%；附属单位上缴收入0.00万元，占0.00%；其他收入5,794.57万元，占16.50%。</w:t>
      </w:r>
    </w:p>
    <w:p w:rsidR="00585495" w:rsidRDefault="00000000">
      <w:pPr>
        <w:autoSpaceDE w:val="0"/>
        <w:autoSpaceDN w:val="0"/>
        <w:adjustRightInd w:val="0"/>
        <w:spacing w:line="360" w:lineRule="auto"/>
        <w:ind w:firstLine="640"/>
        <w:outlineLvl w:val="1"/>
        <w:rPr>
          <w:rFonts w:ascii="Times New Roman" w:eastAsia="黑体" w:hAnsi="Times New Roman" w:hint="default"/>
          <w:sz w:val="32"/>
          <w:szCs w:val="32"/>
        </w:rPr>
      </w:pPr>
      <w:r>
        <w:rPr>
          <w:rFonts w:ascii="黑体" w:eastAsia="黑体" w:hAnsi="Times New Roman" w:cs="黑体"/>
          <w:sz w:val="32"/>
          <w:szCs w:val="32"/>
          <w:lang w:val="zh-CN"/>
        </w:rPr>
        <w:t>三、支出决算情况说明</w:t>
      </w:r>
    </w:p>
    <w:p w:rsidR="00585495"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2022年度本年支出35,265.26万元，其中：基本支出26,863.21万元，占76.17%；项目支出8,402.05万元，占23.83%；上缴上级支出0.00万元，占0.00%；经营支出0.00万元，占0.00%；对附属单位补助支出0.00万元，占0.00%。</w:t>
      </w:r>
    </w:p>
    <w:p w:rsidR="00585495"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lastRenderedPageBreak/>
        <w:t>四、财政拨款收入支出决算总体情况说明</w:t>
      </w:r>
    </w:p>
    <w:p w:rsidR="00585495"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1,880.65万元，</w:t>
      </w:r>
      <w:r>
        <w:rPr>
          <w:rFonts w:ascii="仿宋_GB2312" w:eastAsia="仿宋_GB2312" w:hAnsi="Times New Roman" w:cs="仿宋_GB2312"/>
          <w:sz w:val="32"/>
          <w:szCs w:val="32"/>
        </w:rPr>
        <w:t>其中：年初财政拨款结转和结余</w:t>
      </w:r>
      <w:r>
        <w:rPr>
          <w:rFonts w:ascii="仿宋_GB2312" w:eastAsia="仿宋_GB2312" w:hAnsi="Times New Roman" w:cs="仿宋_GB2312"/>
          <w:kern w:val="0"/>
          <w:sz w:val="32"/>
          <w:szCs w:val="32"/>
        </w:rPr>
        <w:t>114.80</w:t>
      </w:r>
      <w:r>
        <w:rPr>
          <w:rFonts w:ascii="仿宋_GB2312" w:eastAsia="仿宋_GB2312" w:hAnsi="Times New Roman" w:cs="仿宋_GB2312"/>
          <w:sz w:val="32"/>
          <w:szCs w:val="32"/>
        </w:rPr>
        <w:t>万元，财政拨款本年收入</w:t>
      </w:r>
      <w:r>
        <w:rPr>
          <w:rFonts w:ascii="仿宋_GB2312" w:eastAsia="仿宋_GB2312" w:hAnsi="Times New Roman" w:cs="仿宋_GB2312"/>
          <w:kern w:val="0"/>
          <w:sz w:val="32"/>
          <w:szCs w:val="32"/>
        </w:rPr>
        <w:t>1,765.85</w:t>
      </w:r>
      <w:r>
        <w:rPr>
          <w:rFonts w:ascii="仿宋_GB2312" w:eastAsia="仿宋_GB2312" w:hAnsi="Times New Roman" w:cs="仿宋_GB2312"/>
          <w:sz w:val="32"/>
          <w:szCs w:val="32"/>
        </w:rPr>
        <w:t>万元。财政拨款收入总计</w:t>
      </w:r>
      <w:r>
        <w:rPr>
          <w:rFonts w:ascii="仿宋_GB2312" w:eastAsia="仿宋_GB2312" w:hAnsi="Times New Roman" w:cs="仿宋_GB2312"/>
          <w:kern w:val="0"/>
          <w:sz w:val="32"/>
          <w:szCs w:val="32"/>
        </w:rPr>
        <w:t>与上年相比，减少3,896.71万元，下降67.45%，主要原因是：</w:t>
      </w:r>
      <w:r w:rsidR="00D56A2B">
        <w:rPr>
          <w:rFonts w:ascii="仿宋_GB2312" w:eastAsia="仿宋_GB2312" w:hAnsi="Times New Roman" w:cs="仿宋_GB2312"/>
          <w:kern w:val="0"/>
          <w:sz w:val="32"/>
          <w:szCs w:val="32"/>
        </w:rPr>
        <w:t>本年减少核心机房及软件系统、中医院改扩建</w:t>
      </w:r>
      <w:r w:rsidR="00810B20">
        <w:rPr>
          <w:rFonts w:ascii="仿宋_GB2312" w:eastAsia="仿宋_GB2312" w:hAnsi="Times New Roman" w:cs="仿宋_GB2312"/>
          <w:kern w:val="0"/>
          <w:sz w:val="32"/>
          <w:szCs w:val="32"/>
        </w:rPr>
        <w:t>等</w:t>
      </w:r>
      <w:r w:rsidR="00D56A2B">
        <w:rPr>
          <w:rFonts w:ascii="仿宋_GB2312" w:eastAsia="仿宋_GB2312" w:hAnsi="Times New Roman" w:cs="仿宋_GB2312"/>
          <w:kern w:val="0"/>
          <w:sz w:val="32"/>
          <w:szCs w:val="32"/>
        </w:rPr>
        <w:t>项目经费收入</w:t>
      </w:r>
      <w:r>
        <w:rPr>
          <w:rFonts w:ascii="仿宋_GB2312" w:eastAsia="仿宋_GB2312" w:hAnsi="Times New Roman" w:cs="仿宋_GB2312"/>
          <w:kern w:val="0"/>
          <w:sz w:val="32"/>
          <w:szCs w:val="32"/>
        </w:rPr>
        <w:t>。</w:t>
      </w:r>
    </w:p>
    <w:p w:rsidR="00D56A2B" w:rsidRDefault="00000000" w:rsidP="00D56A2B">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sidRPr="00456A0E">
        <w:rPr>
          <w:rFonts w:ascii="仿宋_GB2312" w:eastAsia="仿宋_GB2312" w:hAnsi="Times New Roman" w:cs="仿宋_GB2312"/>
          <w:kern w:val="0"/>
          <w:sz w:val="32"/>
          <w:szCs w:val="32"/>
        </w:rPr>
        <w:t>财政拨款支出</w:t>
      </w:r>
      <w:r w:rsidRPr="00456A0E">
        <w:rPr>
          <w:rFonts w:ascii="仿宋_GB2312" w:eastAsia="仿宋_GB2312" w:hAnsi="Times New Roman" w:cs="仿宋_GB2312"/>
          <w:sz w:val="32"/>
          <w:szCs w:val="32"/>
        </w:rPr>
        <w:t>总计</w:t>
      </w:r>
      <w:r w:rsidRPr="00456A0E">
        <w:rPr>
          <w:rFonts w:ascii="仿宋_GB2312" w:eastAsia="仿宋_GB2312" w:hAnsi="Times New Roman" w:cs="仿宋_GB2312"/>
          <w:kern w:val="0"/>
          <w:sz w:val="32"/>
          <w:szCs w:val="32"/>
        </w:rPr>
        <w:t>1,880.65万元，</w:t>
      </w:r>
      <w:r w:rsidRPr="00456A0E">
        <w:rPr>
          <w:rFonts w:ascii="仿宋_GB2312" w:eastAsia="仿宋_GB2312" w:hAnsi="Times New Roman" w:cs="仿宋_GB2312"/>
          <w:sz w:val="32"/>
          <w:szCs w:val="32"/>
        </w:rPr>
        <w:t>其中：年末财政拨款结转和结余</w:t>
      </w:r>
      <w:r w:rsidRPr="00456A0E">
        <w:rPr>
          <w:rFonts w:ascii="仿宋_GB2312" w:eastAsia="仿宋_GB2312" w:hAnsi="Times New Roman" w:cs="仿宋_GB2312"/>
          <w:kern w:val="0"/>
          <w:sz w:val="32"/>
          <w:szCs w:val="32"/>
        </w:rPr>
        <w:t>114.80</w:t>
      </w:r>
      <w:r w:rsidRPr="00456A0E">
        <w:rPr>
          <w:rFonts w:ascii="仿宋_GB2312" w:eastAsia="仿宋_GB2312" w:hAnsi="Times New Roman" w:cs="仿宋_GB2312"/>
          <w:sz w:val="32"/>
          <w:szCs w:val="32"/>
        </w:rPr>
        <w:t>万元，财政拨款本年支出</w:t>
      </w:r>
      <w:r w:rsidRPr="00456A0E">
        <w:rPr>
          <w:rFonts w:ascii="仿宋_GB2312" w:eastAsia="仿宋_GB2312" w:hAnsi="Times New Roman" w:cs="仿宋_GB2312"/>
          <w:kern w:val="0"/>
          <w:sz w:val="32"/>
          <w:szCs w:val="32"/>
        </w:rPr>
        <w:t>1,765.85</w:t>
      </w:r>
      <w:r w:rsidRPr="00456A0E">
        <w:rPr>
          <w:rFonts w:ascii="仿宋_GB2312" w:eastAsia="仿宋_GB2312" w:hAnsi="Times New Roman" w:cs="仿宋_GB2312"/>
          <w:sz w:val="32"/>
          <w:szCs w:val="32"/>
        </w:rPr>
        <w:t>万元。财政拨款支出总计</w:t>
      </w:r>
      <w:r w:rsidRPr="00456A0E">
        <w:rPr>
          <w:rFonts w:ascii="仿宋_GB2312" w:eastAsia="仿宋_GB2312" w:hAnsi="Times New Roman" w:cs="仿宋_GB2312"/>
          <w:kern w:val="0"/>
          <w:sz w:val="32"/>
          <w:szCs w:val="32"/>
        </w:rPr>
        <w:t>与上年相比，减少3,896.71万元，下降67.45%，主要原因是：</w:t>
      </w:r>
      <w:r w:rsidR="00D56A2B" w:rsidRPr="00456A0E">
        <w:rPr>
          <w:rFonts w:ascii="仿宋_GB2312" w:eastAsia="仿宋_GB2312" w:hAnsi="Times New Roman" w:cs="仿宋_GB2312"/>
          <w:kern w:val="0"/>
          <w:sz w:val="32"/>
          <w:szCs w:val="32"/>
        </w:rPr>
        <w:t>本年减少核心机房及软件系统、中医院改扩建</w:t>
      </w:r>
      <w:r w:rsidR="00810B20" w:rsidRPr="00456A0E">
        <w:rPr>
          <w:rFonts w:ascii="仿宋_GB2312" w:eastAsia="仿宋_GB2312" w:hAnsi="Times New Roman" w:cs="仿宋_GB2312"/>
          <w:kern w:val="0"/>
          <w:sz w:val="32"/>
          <w:szCs w:val="32"/>
        </w:rPr>
        <w:t>等</w:t>
      </w:r>
      <w:r w:rsidR="00D56A2B" w:rsidRPr="00456A0E">
        <w:rPr>
          <w:rFonts w:ascii="仿宋_GB2312" w:eastAsia="仿宋_GB2312" w:hAnsi="Times New Roman" w:cs="仿宋_GB2312"/>
          <w:kern w:val="0"/>
          <w:sz w:val="32"/>
          <w:szCs w:val="32"/>
        </w:rPr>
        <w:t>项目经费</w:t>
      </w:r>
      <w:r w:rsidR="00D56A2B" w:rsidRPr="00456A0E">
        <w:rPr>
          <w:rFonts w:ascii="仿宋_GB2312" w:eastAsia="仿宋_GB2312" w:hAnsi="Times New Roman" w:cs="仿宋_GB2312"/>
          <w:kern w:val="0"/>
          <w:sz w:val="32"/>
          <w:szCs w:val="32"/>
        </w:rPr>
        <w:t>支出</w:t>
      </w:r>
      <w:r w:rsidR="00D56A2B" w:rsidRPr="00456A0E">
        <w:rPr>
          <w:rFonts w:ascii="仿宋_GB2312" w:eastAsia="仿宋_GB2312" w:hAnsi="Times New Roman" w:cs="仿宋_GB2312"/>
          <w:kern w:val="0"/>
          <w:sz w:val="32"/>
          <w:szCs w:val="32"/>
        </w:rPr>
        <w:t>。</w:t>
      </w:r>
    </w:p>
    <w:p w:rsidR="00585495"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与年初预算数相比情况：财政拨款收入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年初预算数1,616.36万元，决算数1,880.65万元，预决算差异率16.35%，主要原因是：年初增资追加津贴补贴、追加新增</w:t>
      </w:r>
      <w:r w:rsidR="00D56A2B">
        <w:rPr>
          <w:rFonts w:ascii="仿宋_GB2312" w:eastAsia="仿宋_GB2312" w:hAnsi="Times New Roman" w:cs="仿宋_GB2312"/>
          <w:kern w:val="0"/>
          <w:sz w:val="32"/>
          <w:szCs w:val="32"/>
        </w:rPr>
        <w:t>聘用</w:t>
      </w:r>
      <w:r>
        <w:rPr>
          <w:rFonts w:ascii="仿宋_GB2312" w:eastAsia="仿宋_GB2312" w:hAnsi="Times New Roman" w:cs="仿宋_GB2312"/>
          <w:kern w:val="0"/>
          <w:sz w:val="32"/>
          <w:szCs w:val="32"/>
        </w:rPr>
        <w:t>人员经费</w:t>
      </w:r>
      <w:r w:rsidR="00D56A2B">
        <w:rPr>
          <w:rFonts w:ascii="仿宋_GB2312" w:eastAsia="仿宋_GB2312" w:hAnsi="Times New Roman" w:cs="仿宋_GB2312"/>
          <w:kern w:val="0"/>
          <w:sz w:val="32"/>
          <w:szCs w:val="32"/>
        </w:rPr>
        <w:t>，导致预决算存在差异</w:t>
      </w:r>
      <w:r>
        <w:rPr>
          <w:rFonts w:ascii="仿宋_GB2312" w:eastAsia="仿宋_GB2312" w:hAnsi="Times New Roman" w:cs="仿宋_GB2312"/>
          <w:kern w:val="0"/>
          <w:sz w:val="32"/>
          <w:szCs w:val="32"/>
        </w:rPr>
        <w:t>。财政拨款支出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年初预算数1,616.36万元，决算数1,880.65万元，预决算差异率16.35%，主要原因是：</w:t>
      </w:r>
      <w:r w:rsidR="00D56A2B">
        <w:rPr>
          <w:rFonts w:ascii="仿宋_GB2312" w:eastAsia="仿宋_GB2312" w:hAnsi="Times New Roman" w:cs="仿宋_GB2312"/>
          <w:kern w:val="0"/>
          <w:sz w:val="32"/>
          <w:szCs w:val="32"/>
        </w:rPr>
        <w:t>初增资追加津贴补贴、追加新增聘用人员经费，导致预决算存在差异</w:t>
      </w:r>
      <w:r w:rsidR="00D56A2B">
        <w:rPr>
          <w:rFonts w:ascii="仿宋_GB2312" w:eastAsia="仿宋_GB2312" w:hAnsi="Times New Roman" w:cs="仿宋_GB2312"/>
          <w:kern w:val="0"/>
          <w:sz w:val="32"/>
          <w:szCs w:val="32"/>
        </w:rPr>
        <w:t>。</w:t>
      </w:r>
    </w:p>
    <w:p w:rsidR="00585495"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五、一般公共预算财政拨款支出决算情况说明</w:t>
      </w:r>
    </w:p>
    <w:p w:rsidR="00585495" w:rsidRDefault="00000000">
      <w:pPr>
        <w:autoSpaceDE w:val="0"/>
        <w:autoSpaceDN w:val="0"/>
        <w:adjustRightInd w:val="0"/>
        <w:ind w:firstLine="640"/>
        <w:outlineLvl w:val="2"/>
        <w:rPr>
          <w:rFonts w:ascii="Times New Roman" w:eastAsia="黑体" w:hAnsi="Times New Roman" w:hint="default"/>
          <w:sz w:val="32"/>
          <w:szCs w:val="32"/>
        </w:rPr>
      </w:pPr>
      <w:r>
        <w:rPr>
          <w:rFonts w:ascii="黑体" w:eastAsia="黑体" w:hAnsi="Times New Roman" w:cs="黑体"/>
          <w:sz w:val="32"/>
          <w:szCs w:val="32"/>
        </w:rPr>
        <w:t>（一）一般公共预算财政拨款支出决算总体情况</w:t>
      </w:r>
    </w:p>
    <w:p w:rsidR="00585495" w:rsidRDefault="00000000">
      <w:pPr>
        <w:autoSpaceDE w:val="0"/>
        <w:autoSpaceDN w:val="0"/>
        <w:adjustRightInd w:val="0"/>
        <w:spacing w:line="600" w:lineRule="exact"/>
        <w:ind w:firstLine="640"/>
        <w:rPr>
          <w:rFonts w:ascii="仿宋_GB2312" w:eastAsia="仿宋_GB2312" w:hAnsi="Times New Roman" w:cs="仿宋_GB2312" w:hint="default"/>
          <w:kern w:val="0"/>
          <w:sz w:val="32"/>
          <w:szCs w:val="32"/>
        </w:rPr>
      </w:pPr>
      <w:r>
        <w:rPr>
          <w:rFonts w:ascii="仿宋_GB2312" w:eastAsia="仿宋_GB2312" w:hAnsi="Times New Roman" w:cs="仿宋_GB2312"/>
          <w:sz w:val="32"/>
          <w:szCs w:val="32"/>
        </w:rPr>
        <w:t>2022年度一般公共预算财政拨款支出</w:t>
      </w:r>
      <w:r>
        <w:rPr>
          <w:rFonts w:ascii="仿宋_GB2312" w:eastAsia="仿宋_GB2312" w:hAnsi="Times New Roman" w:cs="仿宋_GB2312"/>
          <w:kern w:val="0"/>
          <w:sz w:val="32"/>
          <w:szCs w:val="32"/>
        </w:rPr>
        <w:t>1,765.85</w:t>
      </w:r>
      <w:r>
        <w:rPr>
          <w:rFonts w:ascii="仿宋_GB2312" w:eastAsia="仿宋_GB2312" w:hAnsi="Times New Roman" w:cs="仿宋_GB2312"/>
          <w:sz w:val="32"/>
          <w:szCs w:val="32"/>
        </w:rPr>
        <w:t>万元，占本</w:t>
      </w:r>
      <w:r>
        <w:rPr>
          <w:rFonts w:ascii="仿宋_GB2312" w:eastAsia="仿宋_GB2312" w:hAnsi="Times New Roman" w:cs="仿宋_GB2312"/>
          <w:sz w:val="32"/>
          <w:szCs w:val="32"/>
        </w:rPr>
        <w:lastRenderedPageBreak/>
        <w:t>年支出合计的</w:t>
      </w:r>
      <w:r>
        <w:rPr>
          <w:rFonts w:ascii="仿宋_GB2312" w:eastAsia="仿宋_GB2312" w:hAnsi="Times New Roman" w:cs="仿宋_GB2312"/>
          <w:kern w:val="0"/>
          <w:sz w:val="32"/>
          <w:szCs w:val="32"/>
        </w:rPr>
        <w:t>100.00%</w:t>
      </w:r>
      <w:r>
        <w:rPr>
          <w:rFonts w:ascii="仿宋_GB2312" w:eastAsia="仿宋_GB2312" w:hAnsi="Times New Roman" w:cs="仿宋_GB2312"/>
          <w:sz w:val="32"/>
          <w:szCs w:val="32"/>
        </w:rPr>
        <w:t>，与上年相比，</w:t>
      </w:r>
      <w:r>
        <w:rPr>
          <w:rFonts w:ascii="仿宋_GB2312" w:eastAsia="仿宋_GB2312" w:hAnsi="Times New Roman" w:cs="仿宋_GB2312"/>
          <w:kern w:val="0"/>
          <w:sz w:val="32"/>
          <w:szCs w:val="32"/>
        </w:rPr>
        <w:t>增加184.29万元，增长11.65%，主要原因是：调资、增资及新增</w:t>
      </w:r>
      <w:r w:rsidR="00456A0E">
        <w:rPr>
          <w:rFonts w:ascii="仿宋_GB2312" w:eastAsia="仿宋_GB2312" w:hAnsi="Times New Roman" w:cs="仿宋_GB2312"/>
          <w:kern w:val="0"/>
          <w:sz w:val="32"/>
          <w:szCs w:val="32"/>
        </w:rPr>
        <w:t>聘用</w:t>
      </w:r>
      <w:r>
        <w:rPr>
          <w:rFonts w:ascii="仿宋_GB2312" w:eastAsia="仿宋_GB2312" w:hAnsi="Times New Roman" w:cs="仿宋_GB2312"/>
          <w:kern w:val="0"/>
          <w:sz w:val="32"/>
          <w:szCs w:val="32"/>
        </w:rPr>
        <w:t>人员所致人员支出增加。</w:t>
      </w:r>
    </w:p>
    <w:p w:rsidR="00585495" w:rsidRDefault="00000000">
      <w:pPr>
        <w:autoSpaceDE w:val="0"/>
        <w:autoSpaceDN w:val="0"/>
        <w:adjustRightInd w:val="0"/>
        <w:ind w:firstLine="640"/>
        <w:outlineLvl w:val="2"/>
        <w:rPr>
          <w:rFonts w:ascii="Times New Roman" w:eastAsia="黑体" w:hAnsi="Times New Roman" w:hint="default"/>
          <w:sz w:val="32"/>
          <w:szCs w:val="32"/>
        </w:rPr>
      </w:pPr>
      <w:r>
        <w:rPr>
          <w:rFonts w:ascii="黑体" w:eastAsia="黑体" w:hAnsi="Times New Roman" w:cs="黑体"/>
          <w:sz w:val="32"/>
          <w:szCs w:val="32"/>
        </w:rPr>
        <w:t>（二）一般公共预算财政拨款支出决算结构情况</w:t>
      </w:r>
    </w:p>
    <w:p w:rsidR="00585495" w:rsidRDefault="00000000">
      <w:pPr>
        <w:autoSpaceDE w:val="0"/>
        <w:autoSpaceDN w:val="0"/>
        <w:adjustRightInd w:val="0"/>
        <w:spacing w:line="600" w:lineRule="exact"/>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1.社会保障和就业支出（类）243.10万元，占13.77%；</w:t>
      </w:r>
    </w:p>
    <w:p w:rsidR="00585495" w:rsidRDefault="00000000">
      <w:pPr>
        <w:autoSpaceDE w:val="0"/>
        <w:autoSpaceDN w:val="0"/>
        <w:adjustRightInd w:val="0"/>
        <w:spacing w:line="600" w:lineRule="exact"/>
        <w:ind w:firstLine="640"/>
        <w:rPr>
          <w:rFonts w:ascii="Times New Roman" w:eastAsia="仿宋_GB2312" w:hAnsi="Times New Roman" w:hint="default"/>
          <w:kern w:val="0"/>
          <w:sz w:val="32"/>
          <w:szCs w:val="32"/>
          <w:highlight w:val="yellow"/>
        </w:rPr>
      </w:pPr>
      <w:r>
        <w:rPr>
          <w:rFonts w:ascii="仿宋_GB2312" w:eastAsia="仿宋_GB2312" w:hAnsi="Times New Roman" w:cs="仿宋_GB2312"/>
          <w:kern w:val="0"/>
          <w:sz w:val="32"/>
          <w:szCs w:val="32"/>
        </w:rPr>
        <w:t>2.卫生健康支出（类）1,522.75万元，占86.23%。</w:t>
      </w:r>
    </w:p>
    <w:p w:rsidR="00585495" w:rsidRDefault="00000000">
      <w:pPr>
        <w:autoSpaceDE w:val="0"/>
        <w:autoSpaceDN w:val="0"/>
        <w:adjustRightInd w:val="0"/>
        <w:ind w:firstLine="640"/>
        <w:outlineLvl w:val="2"/>
        <w:rPr>
          <w:rFonts w:ascii="Times New Roman" w:eastAsia="黑体" w:hAnsi="Times New Roman" w:hint="default"/>
          <w:sz w:val="32"/>
          <w:szCs w:val="32"/>
        </w:rPr>
      </w:pPr>
      <w:r>
        <w:rPr>
          <w:rFonts w:ascii="黑体" w:eastAsia="黑体" w:hAnsi="Times New Roman" w:cs="黑体"/>
          <w:sz w:val="32"/>
          <w:szCs w:val="32"/>
        </w:rPr>
        <w:t>（三）一般公共预算财政拨款支出决算具体情况</w:t>
      </w:r>
    </w:p>
    <w:p w:rsidR="00585495"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1.社会保障和就业支出（类）民政管理事务（款）基层政权建设和社区治理（项）:支出决算数为0.00万元，比上年决算减少42.87万元，下降100.00%，主要原因是：我院中医人才培训项目经费较2021年减少；</w:t>
      </w:r>
    </w:p>
    <w:p w:rsidR="00585495"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2.社会保障和就业支出（类）行政事业单位养老支出（款）机关事业单位基本养老保险缴费支出（项）:支出决算数为170.78万元，比上年决算增加7.48万元，增长4.58%，主要原因是：</w:t>
      </w:r>
      <w:r>
        <w:rPr>
          <w:rFonts w:ascii="仿宋_GB2312" w:eastAsia="仿宋_GB2312" w:hAnsi="仿宋_GB2312"/>
          <w:kern w:val="0"/>
          <w:sz w:val="32"/>
          <w:szCs w:val="24"/>
        </w:rPr>
        <w:t>人员工资调整，人员社保、公积金缴费基数增加</w:t>
      </w:r>
      <w:r>
        <w:rPr>
          <w:rFonts w:ascii="仿宋_GB2312" w:eastAsia="仿宋_GB2312" w:hAnsi="Times New Roman" w:cs="仿宋_GB2312"/>
          <w:sz w:val="32"/>
          <w:szCs w:val="32"/>
        </w:rPr>
        <w:t>；</w:t>
      </w:r>
    </w:p>
    <w:p w:rsidR="00585495"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3.社会保障和就业支出（类）行政事业单位养老支出（款）机关事业单位职业年金缴费支出（项）:支出决算数为72.32万元，比上年决算减少9.33万元，下降11.43%，主要原因是：2022年下半</w:t>
      </w:r>
      <w:proofErr w:type="gramStart"/>
      <w:r>
        <w:rPr>
          <w:rFonts w:ascii="仿宋_GB2312" w:eastAsia="仿宋_GB2312" w:hAnsi="Times New Roman" w:cs="仿宋_GB2312"/>
          <w:sz w:val="32"/>
          <w:szCs w:val="32"/>
        </w:rPr>
        <w:t>年部分</w:t>
      </w:r>
      <w:proofErr w:type="gramEnd"/>
      <w:r>
        <w:rPr>
          <w:rFonts w:ascii="仿宋_GB2312" w:eastAsia="仿宋_GB2312" w:hAnsi="Times New Roman" w:cs="仿宋_GB2312"/>
          <w:sz w:val="32"/>
          <w:szCs w:val="32"/>
        </w:rPr>
        <w:t>机关事业单位职业年金未支出；</w:t>
      </w:r>
    </w:p>
    <w:p w:rsidR="00585495"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4.卫生健康支出（类）公立医院（款）中医（民族）医院（项）:支出决算数为1,522.75万元，比上年决算增加254.26万元，增长20.04%，主要原因是：人员方面的调资、增资所致</w:t>
      </w:r>
      <w:r>
        <w:rPr>
          <w:rFonts w:ascii="仿宋_GB2312" w:eastAsia="仿宋_GB2312" w:hAnsi="Times New Roman" w:cs="仿宋_GB2312"/>
          <w:sz w:val="32"/>
          <w:szCs w:val="32"/>
        </w:rPr>
        <w:lastRenderedPageBreak/>
        <w:t>人员支出增加；</w:t>
      </w:r>
    </w:p>
    <w:p w:rsidR="00585495"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5.卫生健康支出（类）公共卫生（款）基本公共卫生服务（项）:支出决算数为0.00万元，比上年决算减少3.00万元，下降100.00%，主要原因是：2022年</w:t>
      </w:r>
      <w:r w:rsidR="009960DC">
        <w:rPr>
          <w:rFonts w:ascii="仿宋_GB2312" w:eastAsia="仿宋_GB2312" w:hAnsi="Times New Roman" w:cs="仿宋_GB2312"/>
          <w:sz w:val="32"/>
          <w:szCs w:val="32"/>
        </w:rPr>
        <w:t>减少</w:t>
      </w:r>
      <w:r>
        <w:rPr>
          <w:rFonts w:ascii="仿宋_GB2312" w:eastAsia="仿宋_GB2312" w:hAnsi="Times New Roman" w:cs="仿宋_GB2312"/>
          <w:sz w:val="32"/>
          <w:szCs w:val="32"/>
        </w:rPr>
        <w:t>中医临床特色技术传承骨干人才项目经费；</w:t>
      </w:r>
    </w:p>
    <w:p w:rsidR="00585495"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6.卫生健康支出（类）公共卫生（款）重大公共卫生服务（项）:支出决算数为0.00万元，比上年决算减少12.25万元，下降100.00%，主要原因是：重大公共卫生服务专用设备</w:t>
      </w:r>
      <w:proofErr w:type="gramStart"/>
      <w:r>
        <w:rPr>
          <w:rFonts w:ascii="仿宋_GB2312" w:eastAsia="仿宋_GB2312" w:hAnsi="Times New Roman" w:cs="仿宋_GB2312"/>
          <w:sz w:val="32"/>
          <w:szCs w:val="32"/>
        </w:rPr>
        <w:t>购置款</w:t>
      </w:r>
      <w:proofErr w:type="gramEnd"/>
      <w:r>
        <w:rPr>
          <w:rFonts w:ascii="仿宋_GB2312" w:eastAsia="仿宋_GB2312" w:hAnsi="Times New Roman" w:cs="仿宋_GB2312"/>
          <w:sz w:val="32"/>
          <w:szCs w:val="32"/>
        </w:rPr>
        <w:t>减少；</w:t>
      </w:r>
    </w:p>
    <w:p w:rsidR="00585495"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7.卫生健康支出（类）中医药（款）中医（民族</w:t>
      </w:r>
      <w:proofErr w:type="gramStart"/>
      <w:r>
        <w:rPr>
          <w:rFonts w:ascii="仿宋_GB2312" w:eastAsia="仿宋_GB2312" w:hAnsi="Times New Roman" w:cs="仿宋_GB2312"/>
          <w:sz w:val="32"/>
          <w:szCs w:val="32"/>
        </w:rPr>
        <w:t>医</w:t>
      </w:r>
      <w:proofErr w:type="gramEnd"/>
      <w:r>
        <w:rPr>
          <w:rFonts w:ascii="仿宋_GB2312" w:eastAsia="仿宋_GB2312" w:hAnsi="Times New Roman" w:cs="仿宋_GB2312"/>
          <w:sz w:val="32"/>
          <w:szCs w:val="32"/>
        </w:rPr>
        <w:t>）药专项（项）:支出决算数为0.00万元，比上年决算减少10.00万元，下降100.00%，主要原因是：2022年</w:t>
      </w:r>
      <w:r w:rsidR="009960DC">
        <w:rPr>
          <w:rFonts w:ascii="仿宋_GB2312" w:eastAsia="仿宋_GB2312" w:hAnsi="Times New Roman" w:cs="仿宋_GB2312"/>
          <w:sz w:val="32"/>
          <w:szCs w:val="32"/>
        </w:rPr>
        <w:t>减少</w:t>
      </w:r>
      <w:r>
        <w:rPr>
          <w:rFonts w:ascii="仿宋_GB2312" w:eastAsia="仿宋_GB2312" w:hAnsi="Times New Roman" w:cs="仿宋_GB2312"/>
          <w:sz w:val="32"/>
          <w:szCs w:val="32"/>
        </w:rPr>
        <w:t>自治区中医临床重点专病建设项目；</w:t>
      </w:r>
    </w:p>
    <w:p w:rsidR="00585495"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8.抗</w:t>
      </w:r>
      <w:proofErr w:type="gramStart"/>
      <w:r>
        <w:rPr>
          <w:rFonts w:ascii="仿宋_GB2312" w:eastAsia="仿宋_GB2312" w:hAnsi="Times New Roman" w:cs="仿宋_GB2312"/>
          <w:sz w:val="32"/>
          <w:szCs w:val="32"/>
        </w:rPr>
        <w:t>疫</w:t>
      </w:r>
      <w:proofErr w:type="gramEnd"/>
      <w:r>
        <w:rPr>
          <w:rFonts w:ascii="仿宋_GB2312" w:eastAsia="仿宋_GB2312" w:hAnsi="Times New Roman" w:cs="仿宋_GB2312"/>
          <w:sz w:val="32"/>
          <w:szCs w:val="32"/>
        </w:rPr>
        <w:t>特别国债安排的支出（类）基础设施建设（款）公共卫生体系建设（项）:支出决算数为0.00万元，比上年决算增加0.00万元，增长100.00%，主要原因是：米东区中医医院改扩建财政拨款项目资金（跨年）于2021年支付完毕，2022年无该项目资金支出。</w:t>
      </w:r>
    </w:p>
    <w:p w:rsidR="00585495"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六、一般公共预算财政拨款基本支出决算情况说明</w:t>
      </w:r>
    </w:p>
    <w:p w:rsidR="00585495"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highlight w:val="yellow"/>
        </w:rPr>
      </w:pPr>
      <w:r>
        <w:rPr>
          <w:rFonts w:ascii="仿宋_GB2312" w:eastAsia="仿宋_GB2312" w:hAnsi="Times New Roman" w:cs="仿宋_GB2312"/>
          <w:kern w:val="0"/>
          <w:sz w:val="32"/>
          <w:szCs w:val="32"/>
        </w:rPr>
        <w:t>2022年度一般公共预算财政拨款基本支出1,765.85万元，其中：</w:t>
      </w:r>
    </w:p>
    <w:p w:rsidR="00585495"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lastRenderedPageBreak/>
        <w:t>人员经费1,745.85万元，包括：基本工资、津贴补贴、奖金、绩效工资、机关事业单位基本养老保险缴费、职业年金缴费、其他社会保障缴费、退休费、抚恤金、奖励金。</w:t>
      </w:r>
    </w:p>
    <w:p w:rsidR="00585495" w:rsidRDefault="00000000">
      <w:pPr>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公用经费20.00万元，包括：专用材料费。</w:t>
      </w:r>
    </w:p>
    <w:p w:rsidR="00585495" w:rsidRDefault="00000000">
      <w:pPr>
        <w:autoSpaceDE w:val="0"/>
        <w:autoSpaceDN w:val="0"/>
        <w:adjustRightInd w:val="0"/>
        <w:spacing w:line="360" w:lineRule="auto"/>
        <w:ind w:firstLine="640"/>
        <w:outlineLvl w:val="1"/>
        <w:rPr>
          <w:rFonts w:ascii="Times New Roman" w:eastAsia="黑体" w:hAnsi="Times New Roman" w:hint="default"/>
          <w:sz w:val="32"/>
          <w:szCs w:val="32"/>
        </w:rPr>
      </w:pPr>
      <w:r>
        <w:rPr>
          <w:rFonts w:ascii="黑体" w:eastAsia="黑体" w:hAnsi="Times New Roman" w:cs="黑体"/>
          <w:sz w:val="32"/>
          <w:szCs w:val="32"/>
          <w:lang w:val="zh-CN"/>
        </w:rPr>
        <w:t>七、财政拨款</w:t>
      </w:r>
      <w:r>
        <w:rPr>
          <w:rFonts w:ascii="Times New Roman" w:eastAsia="黑体" w:hAnsi="Times New Roman" w:cs="黑体" w:hint="default"/>
          <w:kern w:val="0"/>
          <w:sz w:val="32"/>
          <w:szCs w:val="32"/>
        </w:rPr>
        <w:t>“</w:t>
      </w:r>
      <w:r>
        <w:rPr>
          <w:rFonts w:ascii="黑体" w:eastAsia="黑体" w:hAnsi="Times New Roman" w:cs="黑体"/>
          <w:kern w:val="0"/>
          <w:sz w:val="32"/>
          <w:szCs w:val="32"/>
        </w:rPr>
        <w:t>三公</w:t>
      </w:r>
      <w:r>
        <w:rPr>
          <w:rFonts w:ascii="Times New Roman" w:eastAsia="黑体" w:hAnsi="Times New Roman" w:cs="黑体" w:hint="default"/>
          <w:kern w:val="0"/>
          <w:sz w:val="32"/>
          <w:szCs w:val="32"/>
        </w:rPr>
        <w:t>”</w:t>
      </w:r>
      <w:r>
        <w:rPr>
          <w:rFonts w:ascii="黑体" w:eastAsia="黑体" w:hAnsi="Times New Roman" w:cs="黑体"/>
          <w:sz w:val="32"/>
          <w:szCs w:val="32"/>
          <w:lang w:val="zh-CN"/>
        </w:rPr>
        <w:t>经费支出决算情况说明</w:t>
      </w:r>
    </w:p>
    <w:p w:rsidR="00585495"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w:t>
      </w:r>
      <w:r>
        <w:rPr>
          <w:rFonts w:ascii="仿宋_GB2312" w:eastAsia="仿宋_GB2312" w:hAnsi="Times New Roman" w:cs="仿宋_GB2312"/>
          <w:sz w:val="32"/>
          <w:szCs w:val="32"/>
        </w:rPr>
        <w:t>财政拨款</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经费支出决算0.00万元，比上年增加0.00万元，增长0.00%，主要原因是：本年单位无</w:t>
      </w:r>
      <w:r w:rsidR="003810B0">
        <w:rPr>
          <w:rFonts w:ascii="Times New Roman" w:eastAsia="仿宋_GB2312" w:hAnsi="Times New Roman" w:cs="仿宋_GB2312"/>
          <w:kern w:val="0"/>
          <w:sz w:val="32"/>
          <w:szCs w:val="32"/>
        </w:rPr>
        <w:t>此项</w:t>
      </w:r>
      <w:r>
        <w:rPr>
          <w:rFonts w:ascii="仿宋_GB2312" w:eastAsia="仿宋_GB2312" w:hAnsi="Times New Roman" w:cs="仿宋_GB2312"/>
          <w:kern w:val="0"/>
          <w:sz w:val="32"/>
          <w:szCs w:val="32"/>
        </w:rPr>
        <w:t>支出。其中：因公出国（境）费支出0.00万元，占0.00%，比上年增加0.00万元，增长0.00%，主要原因是：本年单位无因公出国（境）费支出；公务用车购置及运行维护费支出0.00万元，占0.00%，比上年增加0.00万元，增长0.00%，主要原因是：</w:t>
      </w:r>
      <w:r w:rsidR="003810B0">
        <w:rPr>
          <w:rFonts w:ascii="仿宋_GB2312" w:eastAsia="仿宋_GB2312" w:hAnsi="Times New Roman" w:cs="仿宋_GB2312"/>
          <w:kern w:val="0"/>
          <w:sz w:val="32"/>
          <w:szCs w:val="32"/>
        </w:rPr>
        <w:t>本年单位无</w:t>
      </w:r>
      <w:r w:rsidR="003810B0">
        <w:rPr>
          <w:rFonts w:ascii="Times New Roman" w:eastAsia="仿宋_GB2312" w:hAnsi="Times New Roman" w:cs="仿宋_GB2312"/>
          <w:kern w:val="0"/>
          <w:sz w:val="32"/>
          <w:szCs w:val="32"/>
        </w:rPr>
        <w:t>此项</w:t>
      </w:r>
      <w:r w:rsidR="003810B0">
        <w:rPr>
          <w:rFonts w:ascii="仿宋_GB2312" w:eastAsia="仿宋_GB2312" w:hAnsi="Times New Roman" w:cs="仿宋_GB2312"/>
          <w:kern w:val="0"/>
          <w:sz w:val="32"/>
          <w:szCs w:val="32"/>
        </w:rPr>
        <w:t>支出</w:t>
      </w:r>
      <w:r>
        <w:rPr>
          <w:rFonts w:ascii="仿宋_GB2312" w:eastAsia="仿宋_GB2312" w:hAnsi="Times New Roman" w:cs="仿宋_GB2312"/>
          <w:kern w:val="0"/>
          <w:sz w:val="32"/>
          <w:szCs w:val="32"/>
        </w:rPr>
        <w:t>；公务接待费支出0.00万元，占0.00%，比上年增加0.00万元，增长0.00%，主要原因是：</w:t>
      </w:r>
      <w:r w:rsidR="003810B0">
        <w:rPr>
          <w:rFonts w:ascii="仿宋_GB2312" w:eastAsia="仿宋_GB2312" w:hAnsi="Times New Roman" w:cs="仿宋_GB2312"/>
          <w:kern w:val="0"/>
          <w:sz w:val="32"/>
          <w:szCs w:val="32"/>
        </w:rPr>
        <w:t>本年单位无</w:t>
      </w:r>
      <w:r w:rsidR="003810B0">
        <w:rPr>
          <w:rFonts w:ascii="Times New Roman" w:eastAsia="仿宋_GB2312" w:hAnsi="Times New Roman" w:cs="仿宋_GB2312"/>
          <w:kern w:val="0"/>
          <w:sz w:val="32"/>
          <w:szCs w:val="32"/>
        </w:rPr>
        <w:t>此项</w:t>
      </w:r>
      <w:r w:rsidR="003810B0">
        <w:rPr>
          <w:rFonts w:ascii="仿宋_GB2312" w:eastAsia="仿宋_GB2312" w:hAnsi="Times New Roman" w:cs="仿宋_GB2312"/>
          <w:kern w:val="0"/>
          <w:sz w:val="32"/>
          <w:szCs w:val="32"/>
        </w:rPr>
        <w:t>支出</w:t>
      </w:r>
      <w:r>
        <w:rPr>
          <w:rFonts w:ascii="仿宋_GB2312" w:eastAsia="仿宋_GB2312" w:hAnsi="Times New Roman" w:cs="仿宋_GB2312"/>
          <w:kern w:val="0"/>
          <w:sz w:val="32"/>
          <w:szCs w:val="32"/>
        </w:rPr>
        <w:t>。具体情况如下：</w:t>
      </w:r>
    </w:p>
    <w:p w:rsidR="00585495"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因公出国（境）费支出0.00万元，开支内容包括本年单位无因公出国（境）费支出。单位全年安排的因公出国（境）团组0个，因公出国（境）0人次。</w:t>
      </w:r>
    </w:p>
    <w:p w:rsidR="00585495"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公务用车购置及运行维护费0.00万元，其中：公务用车购置费0.00万元，公务用车运行维护费0.00万元。公务用车运行维护费开支内容包括本年单位无此项支出。公务用车购置数0辆，公务用车保有量0辆。</w:t>
      </w:r>
    </w:p>
    <w:p w:rsidR="00585495"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lastRenderedPageBreak/>
        <w:t>公务接待费0.00万元，开支内容包括</w:t>
      </w:r>
      <w:r w:rsidR="003810B0">
        <w:rPr>
          <w:rFonts w:ascii="仿宋_GB2312" w:eastAsia="仿宋_GB2312" w:hAnsi="Times New Roman" w:cs="仿宋_GB2312"/>
          <w:kern w:val="0"/>
          <w:sz w:val="32"/>
          <w:szCs w:val="32"/>
        </w:rPr>
        <w:t>本年单位无</w:t>
      </w:r>
      <w:r w:rsidR="003810B0">
        <w:rPr>
          <w:rFonts w:ascii="Times New Roman" w:eastAsia="仿宋_GB2312" w:hAnsi="Times New Roman" w:cs="仿宋_GB2312"/>
          <w:kern w:val="0"/>
          <w:sz w:val="32"/>
          <w:szCs w:val="32"/>
        </w:rPr>
        <w:t>此项</w:t>
      </w:r>
      <w:r w:rsidR="003810B0">
        <w:rPr>
          <w:rFonts w:ascii="仿宋_GB2312" w:eastAsia="仿宋_GB2312" w:hAnsi="Times New Roman" w:cs="仿宋_GB2312"/>
          <w:kern w:val="0"/>
          <w:sz w:val="32"/>
          <w:szCs w:val="32"/>
        </w:rPr>
        <w:t>支出</w:t>
      </w:r>
      <w:r>
        <w:rPr>
          <w:rFonts w:ascii="仿宋_GB2312" w:eastAsia="仿宋_GB2312" w:hAnsi="Times New Roman" w:cs="仿宋_GB2312"/>
          <w:kern w:val="0"/>
          <w:sz w:val="32"/>
          <w:szCs w:val="32"/>
        </w:rPr>
        <w:t>。单位全年安排的国内公务接待0批次，0人次。</w:t>
      </w:r>
    </w:p>
    <w:p w:rsidR="00585495"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highlight w:val="yellow"/>
        </w:rPr>
      </w:pPr>
      <w:r>
        <w:rPr>
          <w:rFonts w:ascii="仿宋_GB2312" w:eastAsia="仿宋_GB2312" w:hAnsi="Times New Roman" w:cs="仿宋_GB2312"/>
          <w:kern w:val="0"/>
          <w:sz w:val="32"/>
          <w:szCs w:val="32"/>
        </w:rPr>
        <w:t>与</w:t>
      </w:r>
      <w:r>
        <w:rPr>
          <w:rFonts w:ascii="仿宋_GB2312" w:eastAsia="仿宋_GB2312" w:hAnsi="Times New Roman" w:cs="仿宋_GB2312"/>
          <w:sz w:val="32"/>
          <w:szCs w:val="32"/>
        </w:rPr>
        <w:t>全年</w:t>
      </w:r>
      <w:r>
        <w:rPr>
          <w:rFonts w:ascii="仿宋_GB2312" w:eastAsia="仿宋_GB2312" w:hAnsi="Times New Roman" w:cs="仿宋_GB2312"/>
          <w:kern w:val="0"/>
          <w:sz w:val="32"/>
          <w:szCs w:val="32"/>
        </w:rPr>
        <w:t>预算</w:t>
      </w:r>
      <w:r>
        <w:rPr>
          <w:rFonts w:ascii="仿宋_GB2312" w:eastAsia="仿宋_GB2312" w:hAnsi="Times New Roman" w:cs="仿宋_GB2312"/>
          <w:kern w:val="0"/>
          <w:sz w:val="32"/>
          <w:szCs w:val="32"/>
          <w:lang w:val="zh-CN"/>
        </w:rPr>
        <w:t>数</w:t>
      </w:r>
      <w:r>
        <w:rPr>
          <w:rFonts w:ascii="仿宋_GB2312" w:eastAsia="仿宋_GB2312" w:hAnsi="Times New Roman" w:cs="仿宋_GB2312"/>
          <w:kern w:val="0"/>
          <w:sz w:val="32"/>
          <w:szCs w:val="32"/>
        </w:rPr>
        <w:t>相比情况</w:t>
      </w:r>
      <w:r>
        <w:rPr>
          <w:rFonts w:ascii="仿宋_GB2312" w:eastAsia="仿宋_GB2312" w:hAnsi="Times New Roman" w:cs="仿宋_GB2312"/>
          <w:sz w:val="32"/>
          <w:szCs w:val="32"/>
        </w:rPr>
        <w:t>：</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经费支出</w:t>
      </w:r>
      <w:r>
        <w:rPr>
          <w:rFonts w:ascii="仿宋_GB2312" w:eastAsia="仿宋_GB2312" w:hAnsi="Times New Roman" w:cs="仿宋_GB2312"/>
          <w:sz w:val="32"/>
          <w:szCs w:val="32"/>
        </w:rPr>
        <w:t>全年预算数</w:t>
      </w:r>
      <w:r>
        <w:rPr>
          <w:rFonts w:ascii="仿宋_GB2312" w:eastAsia="仿宋_GB2312" w:hAnsi="Times New Roman" w:cs="仿宋_GB2312"/>
          <w:kern w:val="0"/>
          <w:sz w:val="32"/>
          <w:szCs w:val="32"/>
        </w:rPr>
        <w:t>0.00万元，决算数0.00万元，预决算差异率0.00%，主要原因是：</w:t>
      </w:r>
      <w:r w:rsidR="003810B0">
        <w:rPr>
          <w:rFonts w:ascii="仿宋_GB2312" w:eastAsia="仿宋_GB2312" w:hAnsi="Times New Roman" w:cs="仿宋_GB2312"/>
          <w:kern w:val="0"/>
          <w:sz w:val="32"/>
          <w:szCs w:val="32"/>
        </w:rPr>
        <w:t>本年单位无</w:t>
      </w:r>
      <w:r w:rsidR="003810B0">
        <w:rPr>
          <w:rFonts w:ascii="Times New Roman" w:eastAsia="仿宋_GB2312" w:hAnsi="Times New Roman" w:cs="仿宋_GB2312"/>
          <w:kern w:val="0"/>
          <w:sz w:val="32"/>
          <w:szCs w:val="32"/>
        </w:rPr>
        <w:t>此项</w:t>
      </w:r>
      <w:r w:rsidR="003810B0">
        <w:rPr>
          <w:rFonts w:ascii="仿宋_GB2312" w:eastAsia="仿宋_GB2312" w:hAnsi="Times New Roman" w:cs="仿宋_GB2312"/>
          <w:kern w:val="0"/>
          <w:sz w:val="32"/>
          <w:szCs w:val="32"/>
        </w:rPr>
        <w:t>支出</w:t>
      </w:r>
      <w:r>
        <w:rPr>
          <w:rFonts w:ascii="仿宋_GB2312" w:eastAsia="仿宋_GB2312" w:hAnsi="Times New Roman" w:cs="仿宋_GB2312"/>
          <w:kern w:val="0"/>
          <w:sz w:val="32"/>
          <w:szCs w:val="32"/>
        </w:rPr>
        <w:t>。其中：因公出国（境）费全年预算数0.00万元，决算数0.00万元，预决算差异率0.00%，主要原因是：本年单位无因公出国（境）费支出；公务用车购置费全年预算数0.00万元，决算数0.00万元，预决算差异率0.00%，主要原因是：</w:t>
      </w:r>
      <w:r w:rsidR="003810B0">
        <w:rPr>
          <w:rFonts w:ascii="仿宋_GB2312" w:eastAsia="仿宋_GB2312" w:hAnsi="Times New Roman" w:cs="仿宋_GB2312"/>
          <w:kern w:val="0"/>
          <w:sz w:val="32"/>
          <w:szCs w:val="32"/>
        </w:rPr>
        <w:t>本年单位无</w:t>
      </w:r>
      <w:r w:rsidR="003810B0">
        <w:rPr>
          <w:rFonts w:ascii="Times New Roman" w:eastAsia="仿宋_GB2312" w:hAnsi="Times New Roman" w:cs="仿宋_GB2312"/>
          <w:kern w:val="0"/>
          <w:sz w:val="32"/>
          <w:szCs w:val="32"/>
        </w:rPr>
        <w:t>此项</w:t>
      </w:r>
      <w:r w:rsidR="003810B0">
        <w:rPr>
          <w:rFonts w:ascii="仿宋_GB2312" w:eastAsia="仿宋_GB2312" w:hAnsi="Times New Roman" w:cs="仿宋_GB2312"/>
          <w:kern w:val="0"/>
          <w:sz w:val="32"/>
          <w:szCs w:val="32"/>
        </w:rPr>
        <w:t>支出</w:t>
      </w:r>
      <w:r>
        <w:rPr>
          <w:rFonts w:ascii="仿宋_GB2312" w:eastAsia="仿宋_GB2312" w:hAnsi="Times New Roman" w:cs="仿宋_GB2312"/>
          <w:kern w:val="0"/>
          <w:sz w:val="32"/>
          <w:szCs w:val="32"/>
        </w:rPr>
        <w:t>；公务用车运行费全年预算数0.00万元，决算数0.00万元，预决算差异率0.00%，主要原因是：</w:t>
      </w:r>
      <w:r w:rsidR="003810B0">
        <w:rPr>
          <w:rFonts w:ascii="仿宋_GB2312" w:eastAsia="仿宋_GB2312" w:hAnsi="Times New Roman" w:cs="仿宋_GB2312"/>
          <w:kern w:val="0"/>
          <w:sz w:val="32"/>
          <w:szCs w:val="32"/>
        </w:rPr>
        <w:t>本年单位无</w:t>
      </w:r>
      <w:r w:rsidR="003810B0">
        <w:rPr>
          <w:rFonts w:ascii="Times New Roman" w:eastAsia="仿宋_GB2312" w:hAnsi="Times New Roman" w:cs="仿宋_GB2312"/>
          <w:kern w:val="0"/>
          <w:sz w:val="32"/>
          <w:szCs w:val="32"/>
        </w:rPr>
        <w:t>此项</w:t>
      </w:r>
      <w:r w:rsidR="003810B0">
        <w:rPr>
          <w:rFonts w:ascii="仿宋_GB2312" w:eastAsia="仿宋_GB2312" w:hAnsi="Times New Roman" w:cs="仿宋_GB2312"/>
          <w:kern w:val="0"/>
          <w:sz w:val="32"/>
          <w:szCs w:val="32"/>
        </w:rPr>
        <w:t>支出</w:t>
      </w:r>
      <w:r>
        <w:rPr>
          <w:rFonts w:ascii="仿宋_GB2312" w:eastAsia="仿宋_GB2312" w:hAnsi="Times New Roman" w:cs="仿宋_GB2312"/>
          <w:kern w:val="0"/>
          <w:sz w:val="32"/>
          <w:szCs w:val="32"/>
        </w:rPr>
        <w:t>；公务接待费全年预算数0.00万元，决算数0.00万元，预决算差异率0.00%，主要原因是：</w:t>
      </w:r>
      <w:r w:rsidR="003810B0">
        <w:rPr>
          <w:rFonts w:ascii="仿宋_GB2312" w:eastAsia="仿宋_GB2312" w:hAnsi="Times New Roman" w:cs="仿宋_GB2312"/>
          <w:kern w:val="0"/>
          <w:sz w:val="32"/>
          <w:szCs w:val="32"/>
        </w:rPr>
        <w:t>本年单位无</w:t>
      </w:r>
      <w:r w:rsidR="003810B0">
        <w:rPr>
          <w:rFonts w:ascii="Times New Roman" w:eastAsia="仿宋_GB2312" w:hAnsi="Times New Roman" w:cs="仿宋_GB2312"/>
          <w:kern w:val="0"/>
          <w:sz w:val="32"/>
          <w:szCs w:val="32"/>
        </w:rPr>
        <w:t>此项</w:t>
      </w:r>
      <w:r w:rsidR="003810B0">
        <w:rPr>
          <w:rFonts w:ascii="仿宋_GB2312" w:eastAsia="仿宋_GB2312" w:hAnsi="Times New Roman" w:cs="仿宋_GB2312"/>
          <w:kern w:val="0"/>
          <w:sz w:val="32"/>
          <w:szCs w:val="32"/>
        </w:rPr>
        <w:t>支出</w:t>
      </w:r>
      <w:r>
        <w:rPr>
          <w:rFonts w:ascii="仿宋_GB2312" w:eastAsia="仿宋_GB2312" w:hAnsi="Times New Roman" w:cs="仿宋_GB2312"/>
          <w:kern w:val="0"/>
          <w:sz w:val="32"/>
          <w:szCs w:val="32"/>
        </w:rPr>
        <w:t>。</w:t>
      </w:r>
    </w:p>
    <w:p w:rsidR="00585495"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八、政府性基金预算财政拨款收入支出决算情况说明</w:t>
      </w:r>
    </w:p>
    <w:p w:rsidR="00585495" w:rsidRDefault="00000000">
      <w:pPr>
        <w:autoSpaceDE w:val="0"/>
        <w:autoSpaceDN w:val="0"/>
        <w:adjustRightInd w:val="0"/>
        <w:spacing w:line="360" w:lineRule="auto"/>
        <w:ind w:firstLine="640"/>
        <w:outlineLvl w:val="1"/>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我单位本年度无政府性基金预算财政拨款收入支出，政府性基金预算财政拨款收入支出决算表反映年初结转和结余114.80万元，年末结转和结余114.80万元。</w:t>
      </w:r>
    </w:p>
    <w:p w:rsidR="00585495"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九、国有资本经营预算财政拨款收入支出决算情况说明</w:t>
      </w:r>
    </w:p>
    <w:p w:rsidR="00585495"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我单位本年度无国有资本经营预算财政拨款收入、支出及结转和结余，国有资本经营预算财政拨款收入支出决算表为空表。</w:t>
      </w:r>
    </w:p>
    <w:p w:rsidR="00585495"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十、其他重要事项的情况说明</w:t>
      </w:r>
    </w:p>
    <w:p w:rsidR="00585495" w:rsidRDefault="00000000">
      <w:pPr>
        <w:autoSpaceDE w:val="0"/>
        <w:autoSpaceDN w:val="0"/>
        <w:adjustRightInd w:val="0"/>
        <w:spacing w:line="360" w:lineRule="auto"/>
        <w:ind w:firstLine="640"/>
        <w:outlineLvl w:val="2"/>
        <w:rPr>
          <w:rFonts w:ascii="Times New Roman" w:eastAsia="黑体" w:hAnsi="Times New Roman" w:hint="default"/>
          <w:sz w:val="32"/>
          <w:szCs w:val="32"/>
          <w:lang w:val="zh-CN"/>
        </w:rPr>
      </w:pPr>
      <w:r>
        <w:rPr>
          <w:rFonts w:ascii="黑体" w:eastAsia="黑体" w:hAnsi="Times New Roman" w:cs="黑体"/>
          <w:sz w:val="32"/>
          <w:szCs w:val="32"/>
          <w:lang w:val="zh-CN"/>
        </w:rPr>
        <w:lastRenderedPageBreak/>
        <w:t>（一）机关运行经费支出情况</w:t>
      </w:r>
    </w:p>
    <w:p w:rsidR="00585495" w:rsidRDefault="00000000">
      <w:pPr>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2022年度乌鲁木齐市米东区中医医院单位公用经费20.00万元，比上年减少77.34万元，下降79.45%，主要原因是：</w:t>
      </w:r>
      <w:r>
        <w:rPr>
          <w:rFonts w:ascii="仿宋_GB2312" w:eastAsia="仿宋_GB2312" w:hAnsi="Times New Roman"/>
          <w:kern w:val="0"/>
          <w:sz w:val="32"/>
          <w:szCs w:val="24"/>
        </w:rPr>
        <w:t>本年</w:t>
      </w:r>
      <w:r w:rsidR="00073D02">
        <w:rPr>
          <w:rFonts w:ascii="仿宋_GB2312" w:eastAsia="仿宋_GB2312" w:hAnsi="Times New Roman"/>
          <w:kern w:val="0"/>
          <w:sz w:val="32"/>
          <w:szCs w:val="24"/>
        </w:rPr>
        <w:t>办公费、维修费、培训费等经费支出较上年减少</w:t>
      </w:r>
      <w:r>
        <w:rPr>
          <w:rFonts w:ascii="仿宋_GB2312" w:eastAsia="仿宋_GB2312" w:hAnsi="Times New Roman" w:cs="仿宋_GB2312"/>
          <w:kern w:val="0"/>
          <w:sz w:val="32"/>
          <w:szCs w:val="32"/>
        </w:rPr>
        <w:t>。</w:t>
      </w:r>
    </w:p>
    <w:p w:rsidR="00585495" w:rsidRDefault="00000000">
      <w:pPr>
        <w:autoSpaceDE w:val="0"/>
        <w:autoSpaceDN w:val="0"/>
        <w:adjustRightInd w:val="0"/>
        <w:spacing w:line="360" w:lineRule="auto"/>
        <w:ind w:firstLine="640"/>
        <w:outlineLvl w:val="2"/>
        <w:rPr>
          <w:rFonts w:ascii="Times New Roman" w:eastAsia="黑体" w:hAnsi="Times New Roman" w:hint="default"/>
          <w:sz w:val="32"/>
          <w:szCs w:val="32"/>
        </w:rPr>
      </w:pPr>
      <w:r>
        <w:rPr>
          <w:rFonts w:ascii="黑体" w:eastAsia="黑体" w:hAnsi="Times New Roman" w:cs="黑体"/>
          <w:sz w:val="32"/>
          <w:szCs w:val="32"/>
        </w:rPr>
        <w:t>（</w:t>
      </w:r>
      <w:r>
        <w:rPr>
          <w:rFonts w:ascii="黑体" w:eastAsia="黑体" w:hAnsi="Times New Roman" w:cs="黑体"/>
          <w:sz w:val="32"/>
          <w:szCs w:val="32"/>
          <w:lang w:val="zh-CN"/>
        </w:rPr>
        <w:t>二</w:t>
      </w:r>
      <w:r>
        <w:rPr>
          <w:rFonts w:ascii="黑体" w:eastAsia="黑体" w:hAnsi="Times New Roman" w:cs="黑体"/>
          <w:sz w:val="32"/>
          <w:szCs w:val="32"/>
        </w:rPr>
        <w:t>）</w:t>
      </w:r>
      <w:r>
        <w:rPr>
          <w:rFonts w:ascii="黑体" w:eastAsia="黑体" w:hAnsi="Times New Roman" w:cs="黑体"/>
          <w:sz w:val="32"/>
          <w:szCs w:val="32"/>
          <w:lang w:val="zh-CN"/>
        </w:rPr>
        <w:t>政府采购情况</w:t>
      </w:r>
    </w:p>
    <w:p w:rsidR="00585495"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2022年度政府采购支出总额0.00万元，其中：政府采购货物支出0.00万元、政府采购工程支出0.00万元、政府采购服务支出0.00万元。</w:t>
      </w:r>
    </w:p>
    <w:p w:rsidR="00585495"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授予中小企业合同金额0.00万元，占政府采购支出总额的0.00%，其中：授予小</w:t>
      </w:r>
      <w:proofErr w:type="gramStart"/>
      <w:r>
        <w:rPr>
          <w:rFonts w:ascii="仿宋_GB2312" w:eastAsia="仿宋_GB2312" w:hAnsi="Times New Roman" w:cs="仿宋_GB2312"/>
          <w:kern w:val="0"/>
          <w:sz w:val="32"/>
          <w:szCs w:val="32"/>
        </w:rPr>
        <w:t>微企业</w:t>
      </w:r>
      <w:proofErr w:type="gramEnd"/>
      <w:r>
        <w:rPr>
          <w:rFonts w:ascii="仿宋_GB2312" w:eastAsia="仿宋_GB2312" w:hAnsi="Times New Roman" w:cs="仿宋_GB2312"/>
          <w:kern w:val="0"/>
          <w:sz w:val="32"/>
          <w:szCs w:val="32"/>
        </w:rPr>
        <w:t>合同金额0.00万元，占政府采购支出总额的0.00%。</w:t>
      </w:r>
    </w:p>
    <w:p w:rsidR="00585495" w:rsidRDefault="00000000">
      <w:pPr>
        <w:autoSpaceDE w:val="0"/>
        <w:autoSpaceDN w:val="0"/>
        <w:adjustRightInd w:val="0"/>
        <w:spacing w:line="360" w:lineRule="auto"/>
        <w:ind w:firstLine="640"/>
        <w:outlineLvl w:val="2"/>
        <w:rPr>
          <w:rFonts w:ascii="Times New Roman" w:eastAsia="黑体" w:hAnsi="Times New Roman" w:hint="default"/>
          <w:sz w:val="32"/>
          <w:szCs w:val="32"/>
          <w:lang w:val="zh-CN"/>
        </w:rPr>
      </w:pPr>
      <w:r>
        <w:rPr>
          <w:rFonts w:ascii="黑体" w:eastAsia="黑体" w:hAnsi="Times New Roman" w:cs="黑体"/>
          <w:sz w:val="32"/>
          <w:szCs w:val="32"/>
          <w:lang w:val="zh-CN"/>
        </w:rPr>
        <w:t>（三）国有资产占用情况说明</w:t>
      </w:r>
    </w:p>
    <w:p w:rsidR="00585495"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截止2022年12月31日，</w:t>
      </w:r>
      <w:r>
        <w:rPr>
          <w:rFonts w:ascii="仿宋_GB2312" w:eastAsia="仿宋_GB2312" w:hAnsi="Times New Roman" w:cs="仿宋_GB2312"/>
          <w:sz w:val="32"/>
          <w:szCs w:val="32"/>
        </w:rPr>
        <w:t>固定资产原值</w:t>
      </w:r>
      <w:r>
        <w:rPr>
          <w:rFonts w:ascii="仿宋_GB2312" w:eastAsia="仿宋_GB2312" w:hAnsi="Times New Roman" w:cs="仿宋_GB2312"/>
          <w:kern w:val="0"/>
          <w:sz w:val="32"/>
          <w:szCs w:val="32"/>
        </w:rPr>
        <w:t>14,707.71</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房屋5,619.59平方米，价值727.08万元。车辆7辆，价值154.06万元，其中：副部（省）级及以上领导用车0辆、主要领导干部用车0辆、机要通信用车0辆、应急保障用车0辆、执法执勤用车0辆、特种专业技术用车6辆、离退休干部用车0辆、其他用车1辆，其他用车主要是：</w:t>
      </w:r>
      <w:r>
        <w:rPr>
          <w:rFonts w:ascii="仿宋_GB2312" w:eastAsia="仿宋_GB2312" w:hAnsi="仿宋_GB2312"/>
          <w:kern w:val="0"/>
          <w:sz w:val="32"/>
          <w:szCs w:val="24"/>
        </w:rPr>
        <w:t>单位外出业务用车</w:t>
      </w:r>
      <w:r>
        <w:rPr>
          <w:rFonts w:ascii="仿宋_GB2312" w:eastAsia="仿宋_GB2312" w:hAnsi="Times New Roman" w:cs="仿宋_GB2312"/>
          <w:kern w:val="0"/>
          <w:sz w:val="32"/>
          <w:szCs w:val="32"/>
        </w:rPr>
        <w:t>；单价100</w:t>
      </w:r>
      <w:r>
        <w:rPr>
          <w:rFonts w:ascii="仿宋_GB2312" w:eastAsia="仿宋_GB2312" w:hAnsi="Times New Roman" w:cs="仿宋_GB2312"/>
          <w:sz w:val="32"/>
          <w:szCs w:val="32"/>
        </w:rPr>
        <w:t>万元（含）以上设备（不含车辆）</w:t>
      </w:r>
      <w:r>
        <w:rPr>
          <w:rFonts w:ascii="仿宋_GB2312" w:eastAsia="仿宋_GB2312" w:hAnsi="Times New Roman" w:cs="仿宋_GB2312"/>
          <w:kern w:val="0"/>
          <w:sz w:val="32"/>
          <w:szCs w:val="32"/>
        </w:rPr>
        <w:t>25台（套）。</w:t>
      </w:r>
    </w:p>
    <w:p w:rsidR="00585495"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十一、预算绩效的情况说明</w:t>
      </w:r>
    </w:p>
    <w:p w:rsidR="00585495"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根据预算绩效管理要求，我单位2022年度开展预算绩效评</w:t>
      </w:r>
      <w:r>
        <w:rPr>
          <w:rFonts w:ascii="仿宋_GB2312" w:eastAsia="仿宋_GB2312" w:hAnsi="Times New Roman" w:cs="仿宋_GB2312"/>
          <w:kern w:val="0"/>
          <w:sz w:val="32"/>
          <w:szCs w:val="32"/>
        </w:rPr>
        <w:lastRenderedPageBreak/>
        <w:t>价项目1个，</w:t>
      </w:r>
      <w:r>
        <w:rPr>
          <w:rFonts w:ascii="仿宋_GB2312" w:eastAsia="仿宋_GB2312" w:hAnsi="Times New Roman" w:cs="仿宋_GB2312"/>
          <w:sz w:val="32"/>
          <w:szCs w:val="32"/>
        </w:rPr>
        <w:t>全年预算数253.26万元，全年执行数253.26万元。</w:t>
      </w:r>
      <w:r>
        <w:rPr>
          <w:rFonts w:ascii="仿宋_GB2312" w:eastAsia="仿宋_GB2312" w:hAnsi="Times New Roman" w:cs="仿宋_GB2312"/>
          <w:kern w:val="0"/>
          <w:sz w:val="32"/>
          <w:szCs w:val="32"/>
        </w:rPr>
        <w:t>预算绩效管理取得的成效：一是项目支出符合部门预算批复的用途，资金使用无截留、挤占、挪用、虚列支出等情况；二是本年度支出的所有资金均由财政局国库支付，支出符合国家财经法规和财务管理制度规定以及有关专项资金管理办法的规定。发现的问题及原因：一是加强预算制定过程的科学性管理，提升预算方案的质量，在预算管细上，加强预算编制的合理性及会计核算的规范性；二是加强预算制定过程的科学性管理，提升预算方案的质量。下一步改进措施：一是是加强项目资金管理，严格规范项目资金使用，严格规范专项资金的支出范围，切实做好专项资金专款专用，严禁专项资金挪作他用；二是是加强预算制定过程的科学性管理，提升预算方案的质量。具体项目自评情况</w:t>
      </w:r>
      <w:proofErr w:type="gramStart"/>
      <w:r>
        <w:rPr>
          <w:rFonts w:ascii="仿宋_GB2312" w:eastAsia="仿宋_GB2312" w:hAnsi="Times New Roman" w:cs="仿宋_GB2312"/>
          <w:kern w:val="0"/>
          <w:sz w:val="32"/>
          <w:szCs w:val="32"/>
        </w:rPr>
        <w:t>附项目</w:t>
      </w:r>
      <w:proofErr w:type="gramEnd"/>
      <w:r>
        <w:rPr>
          <w:rFonts w:ascii="仿宋_GB2312" w:eastAsia="仿宋_GB2312" w:hAnsi="Times New Roman" w:cs="仿宋_GB2312"/>
          <w:kern w:val="0"/>
          <w:sz w:val="32"/>
          <w:szCs w:val="32"/>
        </w:rPr>
        <w:t>支出绩效自评表。</w:t>
      </w:r>
    </w:p>
    <w:tbl>
      <w:tblPr>
        <w:tblW w:w="4865" w:type="pct"/>
        <w:jc w:val="center"/>
        <w:tblLayout w:type="fixed"/>
        <w:tblLook w:val="04A0" w:firstRow="1" w:lastRow="0" w:firstColumn="1" w:lastColumn="0" w:noHBand="0" w:noVBand="1"/>
      </w:tblPr>
      <w:tblGrid>
        <w:gridCol w:w="940"/>
        <w:gridCol w:w="998"/>
        <w:gridCol w:w="998"/>
        <w:gridCol w:w="1011"/>
        <w:gridCol w:w="969"/>
        <w:gridCol w:w="914"/>
        <w:gridCol w:w="680"/>
        <w:gridCol w:w="831"/>
        <w:gridCol w:w="355"/>
        <w:gridCol w:w="921"/>
      </w:tblGrid>
      <w:tr w:rsidR="00585495">
        <w:trPr>
          <w:trHeight w:val="405"/>
          <w:jc w:val="center"/>
        </w:trPr>
        <w:tc>
          <w:tcPr>
            <w:tcW w:w="8293" w:type="dxa"/>
            <w:gridSpan w:val="10"/>
            <w:tcBorders>
              <w:top w:val="nil"/>
              <w:left w:val="nil"/>
              <w:bottom w:val="nil"/>
              <w:right w:val="nil"/>
            </w:tcBorders>
            <w:shd w:val="clear" w:color="auto" w:fill="auto"/>
            <w:vAlign w:val="center"/>
          </w:tcPr>
          <w:p w:rsidR="00585495" w:rsidRDefault="00000000">
            <w:pPr>
              <w:widowControl/>
              <w:jc w:val="center"/>
              <w:rPr>
                <w:rFonts w:ascii="宋体" w:eastAsia="宋体" w:hAnsi="宋体" w:cs="宋体" w:hint="default"/>
                <w:b/>
                <w:bCs/>
                <w:color w:val="000000"/>
                <w:kern w:val="0"/>
                <w:sz w:val="32"/>
                <w:szCs w:val="32"/>
              </w:rPr>
            </w:pPr>
            <w:r>
              <w:rPr>
                <w:rFonts w:ascii="宋体" w:eastAsia="宋体" w:hAnsi="宋体" w:cs="宋体"/>
                <w:b/>
                <w:bCs/>
                <w:color w:val="000000"/>
                <w:kern w:val="0"/>
                <w:sz w:val="32"/>
                <w:szCs w:val="32"/>
              </w:rPr>
              <w:t>项目支出绩效自评表</w:t>
            </w:r>
          </w:p>
        </w:tc>
      </w:tr>
      <w:tr w:rsidR="00585495">
        <w:trPr>
          <w:trHeight w:val="270"/>
          <w:jc w:val="center"/>
        </w:trPr>
        <w:tc>
          <w:tcPr>
            <w:tcW w:w="8293" w:type="dxa"/>
            <w:gridSpan w:val="10"/>
            <w:tcBorders>
              <w:top w:val="nil"/>
              <w:left w:val="nil"/>
              <w:bottom w:val="single" w:sz="4" w:space="0" w:color="auto"/>
              <w:right w:val="nil"/>
            </w:tcBorders>
            <w:shd w:val="clear" w:color="auto" w:fill="auto"/>
            <w:vAlign w:val="center"/>
          </w:tcPr>
          <w:p w:rsidR="00585495" w:rsidRDefault="00000000">
            <w:pPr>
              <w:widowControl/>
              <w:jc w:val="center"/>
              <w:rPr>
                <w:rFonts w:ascii="宋体" w:eastAsia="宋体" w:hAnsi="宋体" w:cs="宋体" w:hint="default"/>
                <w:color w:val="000000"/>
                <w:kern w:val="0"/>
                <w:sz w:val="20"/>
                <w:szCs w:val="20"/>
              </w:rPr>
            </w:pPr>
            <w:r>
              <w:rPr>
                <w:rFonts w:ascii="宋体" w:eastAsia="宋体" w:hAnsi="宋体" w:cs="宋体"/>
                <w:color w:val="000000"/>
                <w:kern w:val="0"/>
                <w:sz w:val="20"/>
                <w:szCs w:val="20"/>
              </w:rPr>
              <w:t>(2022年度)</w:t>
            </w:r>
          </w:p>
        </w:tc>
      </w:tr>
      <w:tr w:rsidR="00585495">
        <w:trPr>
          <w:trHeight w:val="398"/>
          <w:jc w:val="center"/>
        </w:trPr>
        <w:tc>
          <w:tcPr>
            <w:tcW w:w="18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项目名称</w:t>
            </w:r>
          </w:p>
        </w:tc>
        <w:tc>
          <w:tcPr>
            <w:tcW w:w="6428" w:type="dxa"/>
            <w:gridSpan w:val="8"/>
            <w:tcBorders>
              <w:top w:val="single" w:sz="4" w:space="0" w:color="auto"/>
              <w:left w:val="nil"/>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乌鲁木齐市米东区基层中医能力提升项目</w:t>
            </w:r>
          </w:p>
        </w:tc>
      </w:tr>
      <w:tr w:rsidR="00585495">
        <w:trPr>
          <w:trHeight w:val="398"/>
          <w:jc w:val="center"/>
        </w:trPr>
        <w:tc>
          <w:tcPr>
            <w:tcW w:w="18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主管部门</w:t>
            </w:r>
          </w:p>
        </w:tc>
        <w:tc>
          <w:tcPr>
            <w:tcW w:w="2866" w:type="dxa"/>
            <w:gridSpan w:val="3"/>
            <w:tcBorders>
              <w:top w:val="single" w:sz="4" w:space="0" w:color="auto"/>
              <w:left w:val="nil"/>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米东区中医医院</w:t>
            </w:r>
          </w:p>
        </w:tc>
        <w:tc>
          <w:tcPr>
            <w:tcW w:w="880" w:type="dxa"/>
            <w:tcBorders>
              <w:top w:val="single" w:sz="4" w:space="0" w:color="auto"/>
              <w:left w:val="nil"/>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实施单位</w:t>
            </w:r>
          </w:p>
        </w:tc>
        <w:tc>
          <w:tcPr>
            <w:tcW w:w="2682" w:type="dxa"/>
            <w:gridSpan w:val="4"/>
            <w:tcBorders>
              <w:top w:val="single" w:sz="4" w:space="0" w:color="auto"/>
              <w:left w:val="nil"/>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米东区中医医院</w:t>
            </w:r>
          </w:p>
        </w:tc>
      </w:tr>
      <w:tr w:rsidR="00585495">
        <w:trPr>
          <w:trHeight w:val="398"/>
          <w:jc w:val="center"/>
        </w:trPr>
        <w:tc>
          <w:tcPr>
            <w:tcW w:w="186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项目资金</w:t>
            </w:r>
          </w:p>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（万元）</w:t>
            </w:r>
          </w:p>
        </w:tc>
        <w:tc>
          <w:tcPr>
            <w:tcW w:w="960" w:type="dxa"/>
            <w:tcBorders>
              <w:top w:val="single" w:sz="4" w:space="0" w:color="auto"/>
              <w:left w:val="nil"/>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73" w:type="dxa"/>
            <w:tcBorders>
              <w:top w:val="single" w:sz="4" w:space="0" w:color="auto"/>
              <w:left w:val="nil"/>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年初预算数</w:t>
            </w:r>
          </w:p>
        </w:tc>
        <w:tc>
          <w:tcPr>
            <w:tcW w:w="933" w:type="dxa"/>
            <w:tcBorders>
              <w:top w:val="single" w:sz="4" w:space="0" w:color="auto"/>
              <w:left w:val="nil"/>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全年预算数</w:t>
            </w:r>
          </w:p>
        </w:tc>
        <w:tc>
          <w:tcPr>
            <w:tcW w:w="880" w:type="dxa"/>
            <w:tcBorders>
              <w:top w:val="single" w:sz="4" w:space="0" w:color="auto"/>
              <w:left w:val="nil"/>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全年执行数</w:t>
            </w:r>
          </w:p>
        </w:tc>
        <w:tc>
          <w:tcPr>
            <w:tcW w:w="654" w:type="dxa"/>
            <w:tcBorders>
              <w:top w:val="single" w:sz="4" w:space="0" w:color="auto"/>
              <w:left w:val="nil"/>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800" w:type="dxa"/>
            <w:tcBorders>
              <w:top w:val="single" w:sz="4" w:space="0" w:color="auto"/>
              <w:left w:val="nil"/>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执行率</w:t>
            </w:r>
          </w:p>
        </w:tc>
        <w:tc>
          <w:tcPr>
            <w:tcW w:w="1228" w:type="dxa"/>
            <w:gridSpan w:val="2"/>
            <w:tcBorders>
              <w:top w:val="single" w:sz="4" w:space="0" w:color="auto"/>
              <w:left w:val="nil"/>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r>
      <w:tr w:rsidR="00585495">
        <w:trPr>
          <w:trHeight w:val="398"/>
          <w:jc w:val="center"/>
        </w:trPr>
        <w:tc>
          <w:tcPr>
            <w:tcW w:w="1865" w:type="dxa"/>
            <w:gridSpan w:val="2"/>
            <w:vMerge/>
            <w:tcBorders>
              <w:top w:val="single" w:sz="4" w:space="0" w:color="auto"/>
              <w:left w:val="single" w:sz="4" w:space="0" w:color="auto"/>
              <w:bottom w:val="single" w:sz="4" w:space="0" w:color="auto"/>
              <w:right w:val="single" w:sz="4" w:space="0" w:color="auto"/>
            </w:tcBorders>
            <w:vAlign w:val="center"/>
          </w:tcPr>
          <w:p w:rsidR="00585495" w:rsidRDefault="00585495">
            <w:pPr>
              <w:widowControl/>
              <w:jc w:val="left"/>
              <w:rPr>
                <w:rFonts w:ascii="宋体" w:eastAsia="宋体" w:hAnsi="宋体" w:cs="宋体" w:hint="default"/>
                <w:color w:val="000000"/>
                <w:kern w:val="0"/>
                <w:sz w:val="18"/>
                <w:szCs w:val="18"/>
              </w:rPr>
            </w:pPr>
          </w:p>
        </w:tc>
        <w:tc>
          <w:tcPr>
            <w:tcW w:w="960" w:type="dxa"/>
            <w:tcBorders>
              <w:top w:val="single" w:sz="4" w:space="0" w:color="auto"/>
              <w:left w:val="nil"/>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年度资金总额</w:t>
            </w:r>
          </w:p>
        </w:tc>
        <w:tc>
          <w:tcPr>
            <w:tcW w:w="973" w:type="dxa"/>
            <w:tcBorders>
              <w:top w:val="single" w:sz="4" w:space="0" w:color="auto"/>
              <w:left w:val="nil"/>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0.00</w:t>
            </w:r>
          </w:p>
        </w:tc>
        <w:tc>
          <w:tcPr>
            <w:tcW w:w="933" w:type="dxa"/>
            <w:tcBorders>
              <w:top w:val="single" w:sz="4" w:space="0" w:color="auto"/>
              <w:left w:val="nil"/>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253.26</w:t>
            </w:r>
          </w:p>
        </w:tc>
        <w:tc>
          <w:tcPr>
            <w:tcW w:w="880" w:type="dxa"/>
            <w:tcBorders>
              <w:top w:val="single" w:sz="4" w:space="0" w:color="auto"/>
              <w:left w:val="nil"/>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253.26</w:t>
            </w:r>
          </w:p>
        </w:tc>
        <w:tc>
          <w:tcPr>
            <w:tcW w:w="654" w:type="dxa"/>
            <w:tcBorders>
              <w:top w:val="single" w:sz="4" w:space="0" w:color="auto"/>
              <w:left w:val="nil"/>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800" w:type="dxa"/>
            <w:tcBorders>
              <w:top w:val="single" w:sz="4" w:space="0" w:color="auto"/>
              <w:left w:val="nil"/>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100.00%</w:t>
            </w:r>
          </w:p>
        </w:tc>
        <w:tc>
          <w:tcPr>
            <w:tcW w:w="1228" w:type="dxa"/>
            <w:gridSpan w:val="2"/>
            <w:tcBorders>
              <w:top w:val="single" w:sz="4" w:space="0" w:color="auto"/>
              <w:left w:val="nil"/>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10.00分</w:t>
            </w:r>
          </w:p>
        </w:tc>
      </w:tr>
      <w:tr w:rsidR="00585495">
        <w:trPr>
          <w:trHeight w:val="398"/>
          <w:jc w:val="center"/>
        </w:trPr>
        <w:tc>
          <w:tcPr>
            <w:tcW w:w="1865" w:type="dxa"/>
            <w:gridSpan w:val="2"/>
            <w:vMerge/>
            <w:tcBorders>
              <w:top w:val="single" w:sz="4" w:space="0" w:color="auto"/>
              <w:left w:val="single" w:sz="4" w:space="0" w:color="auto"/>
              <w:bottom w:val="single" w:sz="4" w:space="0" w:color="auto"/>
              <w:right w:val="single" w:sz="4" w:space="0" w:color="auto"/>
            </w:tcBorders>
            <w:vAlign w:val="center"/>
          </w:tcPr>
          <w:p w:rsidR="00585495" w:rsidRDefault="00585495">
            <w:pPr>
              <w:widowControl/>
              <w:jc w:val="left"/>
              <w:rPr>
                <w:rFonts w:ascii="宋体" w:eastAsia="宋体" w:hAnsi="宋体" w:cs="宋体" w:hint="default"/>
                <w:color w:val="000000"/>
                <w:kern w:val="0"/>
                <w:sz w:val="18"/>
                <w:szCs w:val="18"/>
              </w:rPr>
            </w:pPr>
          </w:p>
        </w:tc>
        <w:tc>
          <w:tcPr>
            <w:tcW w:w="960" w:type="dxa"/>
            <w:tcBorders>
              <w:top w:val="single" w:sz="4" w:space="0" w:color="auto"/>
              <w:left w:val="nil"/>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其中：当年财政拨款</w:t>
            </w:r>
          </w:p>
        </w:tc>
        <w:tc>
          <w:tcPr>
            <w:tcW w:w="973" w:type="dxa"/>
            <w:tcBorders>
              <w:top w:val="single" w:sz="4" w:space="0" w:color="auto"/>
              <w:left w:val="nil"/>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0.00</w:t>
            </w:r>
          </w:p>
        </w:tc>
        <w:tc>
          <w:tcPr>
            <w:tcW w:w="933" w:type="dxa"/>
            <w:tcBorders>
              <w:top w:val="single" w:sz="4" w:space="0" w:color="auto"/>
              <w:left w:val="nil"/>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253.26</w:t>
            </w:r>
          </w:p>
        </w:tc>
        <w:tc>
          <w:tcPr>
            <w:tcW w:w="880" w:type="dxa"/>
            <w:tcBorders>
              <w:top w:val="single" w:sz="4" w:space="0" w:color="auto"/>
              <w:left w:val="nil"/>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253.26</w:t>
            </w:r>
          </w:p>
        </w:tc>
        <w:tc>
          <w:tcPr>
            <w:tcW w:w="654" w:type="dxa"/>
            <w:tcBorders>
              <w:top w:val="single" w:sz="4" w:space="0" w:color="auto"/>
              <w:left w:val="nil"/>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800" w:type="dxa"/>
            <w:tcBorders>
              <w:top w:val="single" w:sz="4" w:space="0" w:color="auto"/>
              <w:left w:val="nil"/>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228" w:type="dxa"/>
            <w:gridSpan w:val="2"/>
            <w:tcBorders>
              <w:top w:val="single" w:sz="4" w:space="0" w:color="auto"/>
              <w:left w:val="nil"/>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585495">
        <w:trPr>
          <w:trHeight w:val="398"/>
          <w:jc w:val="center"/>
        </w:trPr>
        <w:tc>
          <w:tcPr>
            <w:tcW w:w="1865" w:type="dxa"/>
            <w:gridSpan w:val="2"/>
            <w:vMerge/>
            <w:tcBorders>
              <w:top w:val="single" w:sz="4" w:space="0" w:color="auto"/>
              <w:left w:val="single" w:sz="4" w:space="0" w:color="auto"/>
              <w:bottom w:val="single" w:sz="4" w:space="0" w:color="auto"/>
              <w:right w:val="single" w:sz="4" w:space="0" w:color="auto"/>
            </w:tcBorders>
            <w:vAlign w:val="center"/>
          </w:tcPr>
          <w:p w:rsidR="00585495" w:rsidRDefault="00585495">
            <w:pPr>
              <w:widowControl/>
              <w:jc w:val="left"/>
              <w:rPr>
                <w:rFonts w:ascii="宋体" w:eastAsia="宋体" w:hAnsi="宋体" w:cs="宋体" w:hint="default"/>
                <w:color w:val="000000"/>
                <w:kern w:val="0"/>
                <w:sz w:val="18"/>
                <w:szCs w:val="18"/>
              </w:rPr>
            </w:pPr>
          </w:p>
        </w:tc>
        <w:tc>
          <w:tcPr>
            <w:tcW w:w="960" w:type="dxa"/>
            <w:tcBorders>
              <w:top w:val="single" w:sz="4" w:space="0" w:color="auto"/>
              <w:left w:val="nil"/>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上年结转资金</w:t>
            </w:r>
          </w:p>
        </w:tc>
        <w:tc>
          <w:tcPr>
            <w:tcW w:w="973" w:type="dxa"/>
            <w:tcBorders>
              <w:top w:val="single" w:sz="4" w:space="0" w:color="auto"/>
              <w:left w:val="nil"/>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933" w:type="dxa"/>
            <w:tcBorders>
              <w:top w:val="single" w:sz="4" w:space="0" w:color="auto"/>
              <w:left w:val="nil"/>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80" w:type="dxa"/>
            <w:tcBorders>
              <w:top w:val="single" w:sz="4" w:space="0" w:color="auto"/>
              <w:left w:val="nil"/>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654" w:type="dxa"/>
            <w:tcBorders>
              <w:top w:val="single" w:sz="4" w:space="0" w:color="auto"/>
              <w:left w:val="nil"/>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800" w:type="dxa"/>
            <w:tcBorders>
              <w:top w:val="single" w:sz="4" w:space="0" w:color="auto"/>
              <w:left w:val="nil"/>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228" w:type="dxa"/>
            <w:gridSpan w:val="2"/>
            <w:tcBorders>
              <w:top w:val="single" w:sz="4" w:space="0" w:color="auto"/>
              <w:left w:val="nil"/>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585495">
        <w:trPr>
          <w:trHeight w:val="398"/>
          <w:jc w:val="center"/>
        </w:trPr>
        <w:tc>
          <w:tcPr>
            <w:tcW w:w="1865" w:type="dxa"/>
            <w:gridSpan w:val="2"/>
            <w:vMerge/>
            <w:tcBorders>
              <w:top w:val="single" w:sz="4" w:space="0" w:color="auto"/>
              <w:left w:val="single" w:sz="4" w:space="0" w:color="auto"/>
              <w:bottom w:val="single" w:sz="4" w:space="0" w:color="auto"/>
              <w:right w:val="single" w:sz="4" w:space="0" w:color="auto"/>
            </w:tcBorders>
            <w:vAlign w:val="center"/>
          </w:tcPr>
          <w:p w:rsidR="00585495" w:rsidRDefault="00585495">
            <w:pPr>
              <w:widowControl/>
              <w:jc w:val="left"/>
              <w:rPr>
                <w:rFonts w:ascii="宋体" w:eastAsia="宋体" w:hAnsi="宋体" w:cs="宋体" w:hint="default"/>
                <w:color w:val="000000"/>
                <w:kern w:val="0"/>
                <w:sz w:val="18"/>
                <w:szCs w:val="18"/>
              </w:rPr>
            </w:pPr>
          </w:p>
        </w:tc>
        <w:tc>
          <w:tcPr>
            <w:tcW w:w="960" w:type="dxa"/>
            <w:tcBorders>
              <w:top w:val="single" w:sz="4" w:space="0" w:color="auto"/>
              <w:left w:val="nil"/>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其他资金</w:t>
            </w:r>
          </w:p>
        </w:tc>
        <w:tc>
          <w:tcPr>
            <w:tcW w:w="973" w:type="dxa"/>
            <w:tcBorders>
              <w:top w:val="single" w:sz="4" w:space="0" w:color="auto"/>
              <w:left w:val="nil"/>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933" w:type="dxa"/>
            <w:tcBorders>
              <w:top w:val="single" w:sz="4" w:space="0" w:color="auto"/>
              <w:left w:val="nil"/>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80" w:type="dxa"/>
            <w:tcBorders>
              <w:top w:val="single" w:sz="4" w:space="0" w:color="auto"/>
              <w:left w:val="nil"/>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654" w:type="dxa"/>
            <w:tcBorders>
              <w:top w:val="single" w:sz="4" w:space="0" w:color="auto"/>
              <w:left w:val="nil"/>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800" w:type="dxa"/>
            <w:tcBorders>
              <w:top w:val="single" w:sz="4" w:space="0" w:color="auto"/>
              <w:left w:val="nil"/>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228" w:type="dxa"/>
            <w:gridSpan w:val="2"/>
            <w:tcBorders>
              <w:top w:val="single" w:sz="4" w:space="0" w:color="auto"/>
              <w:left w:val="nil"/>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585495">
        <w:trPr>
          <w:trHeight w:val="398"/>
          <w:jc w:val="center"/>
        </w:trPr>
        <w:tc>
          <w:tcPr>
            <w:tcW w:w="90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年度总体</w:t>
            </w:r>
            <w:r>
              <w:rPr>
                <w:rFonts w:ascii="宋体" w:eastAsia="宋体" w:hAnsi="宋体" w:cs="宋体"/>
                <w:color w:val="000000"/>
                <w:kern w:val="0"/>
                <w:sz w:val="18"/>
                <w:szCs w:val="18"/>
              </w:rPr>
              <w:lastRenderedPageBreak/>
              <w:t>目标</w:t>
            </w:r>
          </w:p>
        </w:tc>
        <w:tc>
          <w:tcPr>
            <w:tcW w:w="3826" w:type="dxa"/>
            <w:gridSpan w:val="4"/>
            <w:tcBorders>
              <w:top w:val="single" w:sz="4" w:space="0" w:color="auto"/>
              <w:left w:val="nil"/>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lastRenderedPageBreak/>
              <w:t>预期目标</w:t>
            </w:r>
          </w:p>
        </w:tc>
        <w:tc>
          <w:tcPr>
            <w:tcW w:w="3562" w:type="dxa"/>
            <w:gridSpan w:val="5"/>
            <w:tcBorders>
              <w:top w:val="single" w:sz="4" w:space="0" w:color="auto"/>
              <w:left w:val="nil"/>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实际完成情况</w:t>
            </w:r>
          </w:p>
        </w:tc>
      </w:tr>
      <w:tr w:rsidR="00585495">
        <w:trPr>
          <w:trHeight w:val="398"/>
          <w:jc w:val="center"/>
        </w:trPr>
        <w:tc>
          <w:tcPr>
            <w:tcW w:w="905" w:type="dxa"/>
            <w:vMerge/>
            <w:tcBorders>
              <w:top w:val="single" w:sz="4" w:space="0" w:color="auto"/>
              <w:left w:val="single" w:sz="4" w:space="0" w:color="auto"/>
              <w:bottom w:val="single" w:sz="4" w:space="0" w:color="auto"/>
              <w:right w:val="single" w:sz="4" w:space="0" w:color="auto"/>
            </w:tcBorders>
            <w:vAlign w:val="center"/>
          </w:tcPr>
          <w:p w:rsidR="00585495" w:rsidRDefault="00585495">
            <w:pPr>
              <w:widowControl/>
              <w:jc w:val="left"/>
              <w:rPr>
                <w:rFonts w:ascii="宋体" w:eastAsia="宋体" w:hAnsi="宋体" w:cs="宋体" w:hint="default"/>
                <w:color w:val="000000"/>
                <w:kern w:val="0"/>
                <w:sz w:val="18"/>
                <w:szCs w:val="18"/>
              </w:rPr>
            </w:pPr>
          </w:p>
        </w:tc>
        <w:tc>
          <w:tcPr>
            <w:tcW w:w="382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该项目实施用以改善米东区中医医院就诊环境，保障人民身体健康，有效提高米东区中医医院中医基层服务能力，同时提高周边民众及患者满意率。提高病人满意率。</w:t>
            </w:r>
          </w:p>
        </w:tc>
        <w:tc>
          <w:tcPr>
            <w:tcW w:w="356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该项目完成有效提高米东区民众的就医环境，保障人民身体健康.</w:t>
            </w:r>
          </w:p>
        </w:tc>
      </w:tr>
      <w:tr w:rsidR="00585495">
        <w:trPr>
          <w:trHeight w:val="398"/>
          <w:jc w:val="center"/>
        </w:trPr>
        <w:tc>
          <w:tcPr>
            <w:tcW w:w="90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一级指标</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二级指标</w:t>
            </w:r>
          </w:p>
        </w:tc>
        <w:tc>
          <w:tcPr>
            <w:tcW w:w="97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三级指标</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年度指标值</w:t>
            </w:r>
          </w:p>
        </w:tc>
        <w:tc>
          <w:tcPr>
            <w:tcW w:w="8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实际完成值</w:t>
            </w:r>
          </w:p>
        </w:tc>
        <w:tc>
          <w:tcPr>
            <w:tcW w:w="65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114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c>
          <w:tcPr>
            <w:tcW w:w="8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偏差原因分析及改进措施</w:t>
            </w:r>
          </w:p>
        </w:tc>
      </w:tr>
      <w:tr w:rsidR="00585495">
        <w:trPr>
          <w:trHeight w:val="398"/>
          <w:jc w:val="center"/>
        </w:trPr>
        <w:tc>
          <w:tcPr>
            <w:tcW w:w="905" w:type="dxa"/>
            <w:vMerge/>
            <w:tcBorders>
              <w:top w:val="single" w:sz="4" w:space="0" w:color="auto"/>
              <w:left w:val="single" w:sz="4" w:space="0" w:color="auto"/>
              <w:bottom w:val="single" w:sz="4" w:space="0" w:color="auto"/>
              <w:right w:val="single" w:sz="4" w:space="0" w:color="auto"/>
            </w:tcBorders>
            <w:vAlign w:val="center"/>
          </w:tcPr>
          <w:p w:rsidR="00585495" w:rsidRDefault="00585495">
            <w:pPr>
              <w:widowControl/>
              <w:jc w:val="left"/>
              <w:rPr>
                <w:rFonts w:ascii="宋体" w:eastAsia="宋体" w:hAnsi="宋体" w:cs="宋体" w:hint="default"/>
                <w:color w:val="000000"/>
                <w:kern w:val="0"/>
                <w:sz w:val="18"/>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585495" w:rsidRDefault="00585495">
            <w:pPr>
              <w:widowControl/>
              <w:jc w:val="left"/>
              <w:rPr>
                <w:rFonts w:ascii="宋体" w:eastAsia="宋体" w:hAnsi="宋体" w:cs="宋体" w:hint="default"/>
                <w:color w:val="000000"/>
                <w:kern w:val="0"/>
                <w:sz w:val="18"/>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585495" w:rsidRDefault="00585495">
            <w:pPr>
              <w:widowControl/>
              <w:jc w:val="left"/>
              <w:rPr>
                <w:rFonts w:ascii="宋体" w:eastAsia="宋体" w:hAnsi="宋体" w:cs="宋体" w:hint="default"/>
                <w:color w:val="000000"/>
                <w:kern w:val="0"/>
                <w:sz w:val="18"/>
                <w:szCs w:val="18"/>
              </w:rPr>
            </w:pPr>
          </w:p>
        </w:tc>
        <w:tc>
          <w:tcPr>
            <w:tcW w:w="973" w:type="dxa"/>
            <w:vMerge/>
            <w:tcBorders>
              <w:top w:val="single" w:sz="4" w:space="0" w:color="auto"/>
              <w:left w:val="single" w:sz="4" w:space="0" w:color="auto"/>
              <w:bottom w:val="single" w:sz="4" w:space="0" w:color="auto"/>
              <w:right w:val="single" w:sz="4" w:space="0" w:color="auto"/>
            </w:tcBorders>
            <w:vAlign w:val="center"/>
          </w:tcPr>
          <w:p w:rsidR="00585495" w:rsidRDefault="00585495">
            <w:pPr>
              <w:widowControl/>
              <w:jc w:val="left"/>
              <w:rPr>
                <w:rFonts w:ascii="宋体" w:eastAsia="宋体" w:hAnsi="宋体" w:cs="宋体" w:hint="default"/>
                <w:color w:val="000000"/>
                <w:kern w:val="0"/>
                <w:sz w:val="18"/>
                <w:szCs w:val="18"/>
              </w:rPr>
            </w:pPr>
          </w:p>
        </w:tc>
        <w:tc>
          <w:tcPr>
            <w:tcW w:w="933" w:type="dxa"/>
            <w:vMerge/>
            <w:tcBorders>
              <w:top w:val="single" w:sz="4" w:space="0" w:color="auto"/>
              <w:left w:val="single" w:sz="4" w:space="0" w:color="auto"/>
              <w:bottom w:val="single" w:sz="4" w:space="0" w:color="auto"/>
              <w:right w:val="single" w:sz="4" w:space="0" w:color="auto"/>
            </w:tcBorders>
            <w:vAlign w:val="center"/>
          </w:tcPr>
          <w:p w:rsidR="00585495" w:rsidRDefault="00585495">
            <w:pPr>
              <w:widowControl/>
              <w:jc w:val="left"/>
              <w:rPr>
                <w:rFonts w:ascii="宋体" w:eastAsia="宋体" w:hAnsi="宋体" w:cs="宋体" w:hint="default"/>
                <w:color w:val="000000"/>
                <w:kern w:val="0"/>
                <w:sz w:val="18"/>
                <w:szCs w:val="18"/>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585495" w:rsidRDefault="00585495">
            <w:pPr>
              <w:widowControl/>
              <w:jc w:val="left"/>
              <w:rPr>
                <w:rFonts w:ascii="宋体" w:eastAsia="宋体" w:hAnsi="宋体" w:cs="宋体" w:hint="default"/>
                <w:color w:val="000000"/>
                <w:kern w:val="0"/>
                <w:sz w:val="18"/>
                <w:szCs w:val="18"/>
              </w:rPr>
            </w:pPr>
          </w:p>
        </w:tc>
        <w:tc>
          <w:tcPr>
            <w:tcW w:w="654" w:type="dxa"/>
            <w:vMerge/>
            <w:tcBorders>
              <w:top w:val="single" w:sz="4" w:space="0" w:color="auto"/>
              <w:left w:val="single" w:sz="4" w:space="0" w:color="auto"/>
              <w:bottom w:val="single" w:sz="4" w:space="0" w:color="auto"/>
              <w:right w:val="single" w:sz="4" w:space="0" w:color="auto"/>
            </w:tcBorders>
            <w:vAlign w:val="center"/>
          </w:tcPr>
          <w:p w:rsidR="00585495" w:rsidRDefault="00585495">
            <w:pPr>
              <w:widowControl/>
              <w:jc w:val="left"/>
              <w:rPr>
                <w:rFonts w:ascii="宋体" w:eastAsia="宋体" w:hAnsi="宋体" w:cs="宋体" w:hint="default"/>
                <w:color w:val="000000"/>
                <w:kern w:val="0"/>
                <w:sz w:val="18"/>
                <w:szCs w:val="18"/>
              </w:rPr>
            </w:pPr>
          </w:p>
        </w:tc>
        <w:tc>
          <w:tcPr>
            <w:tcW w:w="1142" w:type="dxa"/>
            <w:gridSpan w:val="2"/>
            <w:vMerge/>
            <w:tcBorders>
              <w:top w:val="single" w:sz="4" w:space="0" w:color="auto"/>
              <w:left w:val="single" w:sz="4" w:space="0" w:color="auto"/>
              <w:bottom w:val="single" w:sz="4" w:space="0" w:color="auto"/>
              <w:right w:val="single" w:sz="4" w:space="0" w:color="auto"/>
            </w:tcBorders>
            <w:vAlign w:val="center"/>
          </w:tcPr>
          <w:p w:rsidR="00585495" w:rsidRDefault="00585495">
            <w:pPr>
              <w:widowControl/>
              <w:jc w:val="left"/>
              <w:rPr>
                <w:rFonts w:ascii="宋体" w:eastAsia="宋体" w:hAnsi="宋体" w:cs="宋体" w:hint="default"/>
                <w:color w:val="000000"/>
                <w:kern w:val="0"/>
                <w:sz w:val="18"/>
                <w:szCs w:val="18"/>
              </w:rPr>
            </w:pPr>
          </w:p>
        </w:tc>
        <w:tc>
          <w:tcPr>
            <w:tcW w:w="886" w:type="dxa"/>
            <w:vMerge/>
            <w:tcBorders>
              <w:top w:val="single" w:sz="4" w:space="0" w:color="auto"/>
              <w:left w:val="single" w:sz="4" w:space="0" w:color="auto"/>
              <w:bottom w:val="single" w:sz="4" w:space="0" w:color="auto"/>
              <w:right w:val="single" w:sz="4" w:space="0" w:color="auto"/>
            </w:tcBorders>
            <w:vAlign w:val="center"/>
          </w:tcPr>
          <w:p w:rsidR="00585495" w:rsidRDefault="00585495">
            <w:pPr>
              <w:widowControl/>
              <w:jc w:val="left"/>
              <w:rPr>
                <w:rFonts w:ascii="宋体" w:eastAsia="宋体" w:hAnsi="宋体" w:cs="宋体" w:hint="default"/>
                <w:color w:val="000000"/>
                <w:kern w:val="0"/>
                <w:sz w:val="18"/>
                <w:szCs w:val="18"/>
              </w:rPr>
            </w:pPr>
          </w:p>
        </w:tc>
      </w:tr>
      <w:tr w:rsidR="00585495">
        <w:trPr>
          <w:trHeight w:val="398"/>
          <w:jc w:val="center"/>
        </w:trPr>
        <w:tc>
          <w:tcPr>
            <w:tcW w:w="90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年度绩效指标完成情况</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产出指标</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5495"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土地使用面积</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=84419.96平方米</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84419.96平方米</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w:t>
            </w:r>
          </w:p>
        </w:tc>
        <w:tc>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85495">
        <w:trPr>
          <w:trHeight w:val="398"/>
          <w:jc w:val="center"/>
        </w:trPr>
        <w:tc>
          <w:tcPr>
            <w:tcW w:w="905" w:type="dxa"/>
            <w:vMerge/>
            <w:tcBorders>
              <w:top w:val="single" w:sz="4" w:space="0" w:color="auto"/>
              <w:left w:val="single" w:sz="4" w:space="0" w:color="auto"/>
              <w:bottom w:val="single" w:sz="4" w:space="0" w:color="auto"/>
              <w:right w:val="single" w:sz="4" w:space="0" w:color="auto"/>
            </w:tcBorders>
            <w:vAlign w:val="center"/>
          </w:tcPr>
          <w:p w:rsidR="00585495" w:rsidRDefault="00585495">
            <w:pPr>
              <w:widowControl/>
              <w:jc w:val="left"/>
              <w:rPr>
                <w:rFonts w:ascii="宋体" w:eastAsia="宋体" w:hAnsi="宋体" w:cs="宋体" w:hint="default"/>
                <w:color w:val="000000"/>
                <w:kern w:val="0"/>
                <w:sz w:val="18"/>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585495" w:rsidRDefault="00585495">
            <w:pPr>
              <w:widowControl/>
              <w:jc w:val="left"/>
              <w:rPr>
                <w:rFonts w:ascii="宋体" w:eastAsia="宋体" w:hAnsi="宋体" w:cs="宋体" w:hint="default"/>
                <w:color w:val="000000"/>
                <w:kern w:val="0"/>
                <w:sz w:val="18"/>
                <w:szCs w:val="18"/>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5495"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项目建设合格率</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85495">
        <w:trPr>
          <w:trHeight w:val="398"/>
          <w:jc w:val="center"/>
        </w:trPr>
        <w:tc>
          <w:tcPr>
            <w:tcW w:w="905" w:type="dxa"/>
            <w:vMerge/>
            <w:tcBorders>
              <w:top w:val="single" w:sz="4" w:space="0" w:color="auto"/>
              <w:left w:val="single" w:sz="4" w:space="0" w:color="auto"/>
              <w:bottom w:val="single" w:sz="4" w:space="0" w:color="auto"/>
              <w:right w:val="single" w:sz="4" w:space="0" w:color="auto"/>
            </w:tcBorders>
            <w:vAlign w:val="center"/>
          </w:tcPr>
          <w:p w:rsidR="00585495" w:rsidRDefault="00585495">
            <w:pPr>
              <w:widowControl/>
              <w:jc w:val="left"/>
              <w:rPr>
                <w:rFonts w:ascii="宋体" w:eastAsia="宋体" w:hAnsi="宋体" w:cs="宋体" w:hint="default"/>
                <w:color w:val="000000"/>
                <w:kern w:val="0"/>
                <w:sz w:val="18"/>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585495" w:rsidRDefault="00585495">
            <w:pPr>
              <w:widowControl/>
              <w:jc w:val="left"/>
              <w:rPr>
                <w:rFonts w:ascii="宋体" w:eastAsia="宋体" w:hAnsi="宋体" w:cs="宋体" w:hint="default"/>
                <w:color w:val="000000"/>
                <w:kern w:val="0"/>
                <w:sz w:val="18"/>
                <w:szCs w:val="18"/>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时效指标</w:t>
            </w: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5495"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项目完成及时率</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&gt;=90%</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85495">
        <w:trPr>
          <w:trHeight w:val="398"/>
          <w:jc w:val="center"/>
        </w:trPr>
        <w:tc>
          <w:tcPr>
            <w:tcW w:w="905" w:type="dxa"/>
            <w:vMerge/>
            <w:tcBorders>
              <w:top w:val="single" w:sz="4" w:space="0" w:color="auto"/>
              <w:left w:val="single" w:sz="4" w:space="0" w:color="auto"/>
              <w:bottom w:val="single" w:sz="4" w:space="0" w:color="auto"/>
              <w:right w:val="single" w:sz="4" w:space="0" w:color="auto"/>
            </w:tcBorders>
            <w:vAlign w:val="center"/>
          </w:tcPr>
          <w:p w:rsidR="00585495" w:rsidRDefault="00585495">
            <w:pPr>
              <w:widowControl/>
              <w:jc w:val="left"/>
              <w:rPr>
                <w:rFonts w:ascii="宋体" w:eastAsia="宋体" w:hAnsi="宋体" w:cs="宋体" w:hint="default"/>
                <w:color w:val="000000"/>
                <w:kern w:val="0"/>
                <w:sz w:val="18"/>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585495" w:rsidRDefault="00585495">
            <w:pPr>
              <w:widowControl/>
              <w:jc w:val="left"/>
              <w:rPr>
                <w:rFonts w:ascii="宋体" w:eastAsia="宋体" w:hAnsi="宋体" w:cs="宋体" w:hint="default"/>
                <w:color w:val="000000"/>
                <w:kern w:val="0"/>
                <w:sz w:val="18"/>
                <w:szCs w:val="18"/>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成本指标</w:t>
            </w: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5495"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项目预算控制率</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&lt;=100%</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85495">
        <w:trPr>
          <w:trHeight w:val="398"/>
          <w:jc w:val="center"/>
        </w:trPr>
        <w:tc>
          <w:tcPr>
            <w:tcW w:w="905" w:type="dxa"/>
            <w:vMerge/>
            <w:tcBorders>
              <w:top w:val="single" w:sz="4" w:space="0" w:color="auto"/>
              <w:left w:val="single" w:sz="4" w:space="0" w:color="auto"/>
              <w:bottom w:val="single" w:sz="4" w:space="0" w:color="auto"/>
              <w:right w:val="single" w:sz="4" w:space="0" w:color="auto"/>
            </w:tcBorders>
            <w:vAlign w:val="center"/>
          </w:tcPr>
          <w:p w:rsidR="00585495" w:rsidRDefault="00585495">
            <w:pPr>
              <w:widowControl/>
              <w:jc w:val="left"/>
              <w:rPr>
                <w:rFonts w:ascii="宋体" w:eastAsia="宋体" w:hAnsi="宋体" w:cs="宋体" w:hint="default"/>
                <w:color w:val="000000"/>
                <w:kern w:val="0"/>
                <w:sz w:val="18"/>
                <w:szCs w:val="18"/>
              </w:rPr>
            </w:pP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效益指标</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经济效益指标</w:t>
            </w: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5495"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85495">
        <w:trPr>
          <w:trHeight w:val="398"/>
          <w:jc w:val="center"/>
        </w:trPr>
        <w:tc>
          <w:tcPr>
            <w:tcW w:w="905" w:type="dxa"/>
            <w:vMerge/>
            <w:tcBorders>
              <w:top w:val="single" w:sz="4" w:space="0" w:color="auto"/>
              <w:left w:val="single" w:sz="4" w:space="0" w:color="auto"/>
              <w:bottom w:val="single" w:sz="4" w:space="0" w:color="auto"/>
              <w:right w:val="single" w:sz="4" w:space="0" w:color="auto"/>
            </w:tcBorders>
            <w:vAlign w:val="center"/>
          </w:tcPr>
          <w:p w:rsidR="00585495" w:rsidRDefault="00585495">
            <w:pPr>
              <w:widowControl/>
              <w:jc w:val="left"/>
              <w:rPr>
                <w:rFonts w:ascii="宋体" w:eastAsia="宋体" w:hAnsi="宋体" w:cs="宋体" w:hint="default"/>
                <w:color w:val="000000"/>
                <w:kern w:val="0"/>
                <w:sz w:val="18"/>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585495" w:rsidRDefault="00585495">
            <w:pPr>
              <w:widowControl/>
              <w:jc w:val="left"/>
              <w:rPr>
                <w:rFonts w:ascii="宋体" w:eastAsia="宋体" w:hAnsi="宋体" w:cs="宋体" w:hint="default"/>
                <w:color w:val="000000"/>
                <w:kern w:val="0"/>
                <w:sz w:val="18"/>
                <w:szCs w:val="18"/>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社会效益指标</w:t>
            </w: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5495"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提升基层中医药服务能力</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持续提升</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完全达到预期效果 </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85495">
        <w:trPr>
          <w:trHeight w:val="398"/>
          <w:jc w:val="center"/>
        </w:trPr>
        <w:tc>
          <w:tcPr>
            <w:tcW w:w="905" w:type="dxa"/>
            <w:vMerge/>
            <w:tcBorders>
              <w:top w:val="single" w:sz="4" w:space="0" w:color="auto"/>
              <w:left w:val="single" w:sz="4" w:space="0" w:color="auto"/>
              <w:bottom w:val="single" w:sz="4" w:space="0" w:color="auto"/>
              <w:right w:val="single" w:sz="4" w:space="0" w:color="auto"/>
            </w:tcBorders>
            <w:vAlign w:val="center"/>
          </w:tcPr>
          <w:p w:rsidR="00585495" w:rsidRDefault="00585495">
            <w:pPr>
              <w:widowControl/>
              <w:jc w:val="left"/>
              <w:rPr>
                <w:rFonts w:ascii="宋体" w:eastAsia="宋体" w:hAnsi="宋体" w:cs="宋体" w:hint="default"/>
                <w:color w:val="000000"/>
                <w:kern w:val="0"/>
                <w:sz w:val="18"/>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585495" w:rsidRDefault="00585495">
            <w:pPr>
              <w:widowControl/>
              <w:jc w:val="left"/>
              <w:rPr>
                <w:rFonts w:ascii="宋体" w:eastAsia="宋体" w:hAnsi="宋体" w:cs="宋体" w:hint="default"/>
                <w:color w:val="000000"/>
                <w:kern w:val="0"/>
                <w:sz w:val="18"/>
                <w:szCs w:val="18"/>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生态效益指标</w:t>
            </w: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5495"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85495">
        <w:trPr>
          <w:trHeight w:val="398"/>
          <w:jc w:val="center"/>
        </w:trPr>
        <w:tc>
          <w:tcPr>
            <w:tcW w:w="905" w:type="dxa"/>
            <w:vMerge/>
            <w:tcBorders>
              <w:top w:val="single" w:sz="4" w:space="0" w:color="auto"/>
              <w:left w:val="single" w:sz="4" w:space="0" w:color="auto"/>
              <w:bottom w:val="single" w:sz="4" w:space="0" w:color="auto"/>
              <w:right w:val="single" w:sz="4" w:space="0" w:color="auto"/>
            </w:tcBorders>
            <w:vAlign w:val="center"/>
          </w:tcPr>
          <w:p w:rsidR="00585495" w:rsidRDefault="00585495">
            <w:pPr>
              <w:widowControl/>
              <w:jc w:val="left"/>
              <w:rPr>
                <w:rFonts w:ascii="宋体" w:eastAsia="宋体" w:hAnsi="宋体" w:cs="宋体" w:hint="default"/>
                <w:color w:val="000000"/>
                <w:kern w:val="0"/>
                <w:sz w:val="18"/>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585495" w:rsidRDefault="00585495">
            <w:pPr>
              <w:widowControl/>
              <w:jc w:val="left"/>
              <w:rPr>
                <w:rFonts w:ascii="宋体" w:eastAsia="宋体" w:hAnsi="宋体" w:cs="宋体" w:hint="default"/>
                <w:color w:val="000000"/>
                <w:kern w:val="0"/>
                <w:sz w:val="18"/>
                <w:szCs w:val="18"/>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可持续影响指标</w:t>
            </w: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5495"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推动医疗救护工作正常开展</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持续推动</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完全达到预期效果 </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85495">
        <w:trPr>
          <w:trHeight w:val="398"/>
          <w:jc w:val="center"/>
        </w:trPr>
        <w:tc>
          <w:tcPr>
            <w:tcW w:w="905" w:type="dxa"/>
            <w:vMerge/>
            <w:tcBorders>
              <w:top w:val="single" w:sz="4" w:space="0" w:color="auto"/>
              <w:left w:val="single" w:sz="4" w:space="0" w:color="auto"/>
              <w:bottom w:val="single" w:sz="4" w:space="0" w:color="auto"/>
              <w:right w:val="single" w:sz="4" w:space="0" w:color="auto"/>
            </w:tcBorders>
            <w:vAlign w:val="center"/>
          </w:tcPr>
          <w:p w:rsidR="00585495" w:rsidRDefault="00585495">
            <w:pPr>
              <w:widowControl/>
              <w:jc w:val="left"/>
              <w:rPr>
                <w:rFonts w:ascii="宋体" w:eastAsia="宋体" w:hAnsi="宋体" w:cs="宋体" w:hint="default"/>
                <w:color w:val="000000"/>
                <w:kern w:val="0"/>
                <w:sz w:val="18"/>
                <w:szCs w:val="18"/>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5495"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民众调查满意度</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&gt;=90%</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85495">
        <w:trPr>
          <w:trHeight w:val="398"/>
          <w:jc w:val="center"/>
        </w:trPr>
        <w:tc>
          <w:tcPr>
            <w:tcW w:w="561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总分</w:t>
            </w:r>
          </w:p>
        </w:tc>
        <w:tc>
          <w:tcPr>
            <w:tcW w:w="654" w:type="dxa"/>
            <w:tcBorders>
              <w:top w:val="single" w:sz="4" w:space="0" w:color="auto"/>
              <w:left w:val="nil"/>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1142" w:type="dxa"/>
            <w:gridSpan w:val="2"/>
            <w:tcBorders>
              <w:top w:val="single" w:sz="4" w:space="0" w:color="auto"/>
              <w:left w:val="nil"/>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100.00分</w:t>
            </w:r>
          </w:p>
        </w:tc>
        <w:tc>
          <w:tcPr>
            <w:tcW w:w="886" w:type="dxa"/>
            <w:tcBorders>
              <w:top w:val="single" w:sz="4" w:space="0" w:color="auto"/>
              <w:left w:val="nil"/>
              <w:bottom w:val="single" w:sz="4" w:space="0" w:color="auto"/>
              <w:right w:val="single" w:sz="4" w:space="0" w:color="auto"/>
            </w:tcBorders>
            <w:shd w:val="clear" w:color="auto" w:fill="auto"/>
            <w:vAlign w:val="center"/>
          </w:tcPr>
          <w:p w:rsidR="00585495"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bl>
    <w:p w:rsidR="00585495" w:rsidRDefault="00585495">
      <w:pPr>
        <w:shd w:val="clear" w:color="auto" w:fill="FFFFFF"/>
        <w:autoSpaceDE w:val="0"/>
        <w:autoSpaceDN w:val="0"/>
        <w:adjustRightInd w:val="0"/>
        <w:spacing w:before="100" w:line="520" w:lineRule="exact"/>
        <w:ind w:left="118" w:firstLine="480"/>
        <w:rPr>
          <w:rFonts w:ascii="Times New Roman" w:eastAsia="仿宋_GB2312" w:hAnsi="Times New Roman" w:hint="default"/>
          <w:kern w:val="0"/>
          <w:sz w:val="24"/>
          <w:szCs w:val="24"/>
          <w:highlight w:val="white"/>
        </w:rPr>
      </w:pPr>
    </w:p>
    <w:p w:rsidR="00585495" w:rsidRDefault="00000000">
      <w:pPr>
        <w:shd w:val="clear" w:color="auto" w:fill="FFFFFF"/>
        <w:autoSpaceDE w:val="0"/>
        <w:autoSpaceDN w:val="0"/>
        <w:adjustRightInd w:val="0"/>
        <w:spacing w:before="100" w:after="240"/>
        <w:jc w:val="center"/>
        <w:outlineLvl w:val="0"/>
        <w:rPr>
          <w:rFonts w:ascii="Times New Roman" w:eastAsia="黑体" w:hAnsi="Times New Roman" w:hint="default"/>
          <w:b/>
          <w:kern w:val="0"/>
          <w:sz w:val="28"/>
          <w:szCs w:val="28"/>
        </w:rPr>
      </w:pPr>
      <w:r>
        <w:rPr>
          <w:rFonts w:ascii="黑体" w:eastAsia="黑体" w:hAnsi="Times New Roman" w:cs="黑体"/>
          <w:kern w:val="0"/>
          <w:sz w:val="32"/>
          <w:szCs w:val="32"/>
        </w:rPr>
        <w:t>第三部分 专业名词解释</w:t>
      </w:r>
    </w:p>
    <w:p w:rsidR="00585495"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财政拨款收入：指同级财政当年拨付的资金。</w:t>
      </w:r>
    </w:p>
    <w:p w:rsidR="00585495"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上级补助收入：指事业单位从主管部门和上级单位取得的非财政补助收入。</w:t>
      </w:r>
    </w:p>
    <w:p w:rsidR="00585495"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事业收入：指事业单位开展专业业务活动及其辅助活动所取得的收入。</w:t>
      </w:r>
    </w:p>
    <w:p w:rsidR="00585495"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经营收入：指事业单位在专业业务活动及其辅助活动之外开展非独立核算经营活动取得的收入。</w:t>
      </w:r>
    </w:p>
    <w:p w:rsidR="00585495"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lastRenderedPageBreak/>
        <w:t>附属单位上缴收入：指事业单位附属的独立核算单位按有关规定上缴的收入。</w:t>
      </w:r>
    </w:p>
    <w:p w:rsidR="00585495"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其他收入：指除上述</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财政拨款收入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事业收入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经营收入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附属单位上缴收入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等之外取得的收入。</w:t>
      </w:r>
    </w:p>
    <w:p w:rsidR="00585495"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rsidR="00585495"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585495"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基本支出：指为保障机构正常运转、完成日常工作任务而发生的人员支出和公用支出。</w:t>
      </w:r>
    </w:p>
    <w:p w:rsidR="00585495"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项目支出：指在基本支出之外为完成特定行政任务和事业发展目标所发生的支出。</w:t>
      </w:r>
    </w:p>
    <w:p w:rsidR="00585495"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经营支出：指事业单位在专业业务活动及其辅助活动之外开展非独立核算经营活动发生的支出。</w:t>
      </w:r>
    </w:p>
    <w:p w:rsidR="00585495"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对附属单位补助支出：指事业单位发生的用非财政预算资金对附属单位的补助支出。</w:t>
      </w:r>
    </w:p>
    <w:p w:rsidR="00585495"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经费：指用财政拨款安排的因公出国（境）费、公</w:t>
      </w:r>
      <w:r>
        <w:rPr>
          <w:rFonts w:ascii="仿宋_GB2312" w:eastAsia="仿宋_GB2312" w:hAnsi="Times New Roman" w:cs="仿宋_GB2312"/>
          <w:sz w:val="32"/>
          <w:szCs w:val="32"/>
        </w:rPr>
        <w:lastRenderedPageBreak/>
        <w:t>务用车购置及运行费和公务接待费。其中，因公出国（境）</w:t>
      </w:r>
      <w:proofErr w:type="gramStart"/>
      <w:r>
        <w:rPr>
          <w:rFonts w:ascii="仿宋_GB2312" w:eastAsia="仿宋_GB2312" w:hAnsi="Times New Roman" w:cs="仿宋_GB2312"/>
          <w:sz w:val="32"/>
          <w:szCs w:val="32"/>
        </w:rPr>
        <w:t>费反映</w:t>
      </w:r>
      <w:proofErr w:type="gramEnd"/>
      <w:r>
        <w:rPr>
          <w:rFonts w:ascii="仿宋_GB2312" w:eastAsia="仿宋_GB2312" w:hAnsi="Times New Roman" w:cs="仿宋_GB2312"/>
          <w:sz w:val="32"/>
          <w:szCs w:val="32"/>
        </w:rPr>
        <w:t>单位公务出国（境）的国际旅费、国外城市间交通费、住宿费、伙食费、培训费、公杂费等支出；公务用车购置</w:t>
      </w:r>
      <w:proofErr w:type="gramStart"/>
      <w:r>
        <w:rPr>
          <w:rFonts w:ascii="仿宋_GB2312" w:eastAsia="仿宋_GB2312" w:hAnsi="Times New Roman" w:cs="仿宋_GB2312"/>
          <w:sz w:val="32"/>
          <w:szCs w:val="32"/>
        </w:rPr>
        <w:t>费反映</w:t>
      </w:r>
      <w:proofErr w:type="gramEnd"/>
      <w:r>
        <w:rPr>
          <w:rFonts w:ascii="仿宋_GB2312" w:eastAsia="仿宋_GB2312" w:hAnsi="Times New Roman" w:cs="仿宋_GB2312"/>
          <w:sz w:val="32"/>
          <w:szCs w:val="32"/>
        </w:rPr>
        <w:t>公务用车购置支出（</w:t>
      </w:r>
      <w:proofErr w:type="gramStart"/>
      <w:r>
        <w:rPr>
          <w:rFonts w:ascii="仿宋_GB2312" w:eastAsia="仿宋_GB2312" w:hAnsi="Times New Roman" w:cs="仿宋_GB2312"/>
          <w:sz w:val="32"/>
          <w:szCs w:val="32"/>
        </w:rPr>
        <w:t>含车辆</w:t>
      </w:r>
      <w:proofErr w:type="gramEnd"/>
      <w:r>
        <w:rPr>
          <w:rFonts w:ascii="仿宋_GB2312" w:eastAsia="仿宋_GB2312" w:hAnsi="Times New Roman" w:cs="仿宋_GB2312"/>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Ansi="Times New Roman" w:cs="仿宋_GB2312"/>
          <w:sz w:val="32"/>
          <w:szCs w:val="32"/>
        </w:rPr>
        <w:t>费反映</w:t>
      </w:r>
      <w:proofErr w:type="gramEnd"/>
      <w:r>
        <w:rPr>
          <w:rFonts w:ascii="仿宋_GB2312" w:eastAsia="仿宋_GB2312" w:hAnsi="Times New Roman" w:cs="仿宋_GB2312"/>
          <w:sz w:val="32"/>
          <w:szCs w:val="32"/>
        </w:rPr>
        <w:t>单位按规定开支的各类公务接待（含外宾接待）费用。</w:t>
      </w:r>
    </w:p>
    <w:p w:rsidR="00585495"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仿宋_GB2312" w:eastAsia="仿宋_GB2312" w:hAnsi="Times New Roman" w:cs="仿宋_GB2312"/>
          <w:sz w:val="32"/>
          <w:szCs w:val="32"/>
        </w:rPr>
        <w:t>机关运行经费：行政单位和参照公务员法管理的事业单位财政拨款基本支出中的公用经费支出。</w:t>
      </w:r>
    </w:p>
    <w:p w:rsidR="00585495" w:rsidRDefault="00585495">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p>
    <w:p w:rsidR="00585495" w:rsidRDefault="00585495">
      <w:pPr>
        <w:shd w:val="clear" w:color="auto" w:fill="FFFFFF"/>
        <w:autoSpaceDE w:val="0"/>
        <w:autoSpaceDN w:val="0"/>
        <w:adjustRightInd w:val="0"/>
        <w:spacing w:before="100" w:line="520" w:lineRule="exact"/>
        <w:rPr>
          <w:rFonts w:ascii="Times New Roman" w:eastAsia="仿宋_GB2312" w:hAnsi="Times New Roman" w:hint="default"/>
          <w:kern w:val="0"/>
          <w:sz w:val="24"/>
          <w:szCs w:val="24"/>
        </w:rPr>
      </w:pPr>
    </w:p>
    <w:p w:rsidR="00585495" w:rsidRDefault="00000000">
      <w:pPr>
        <w:shd w:val="clear" w:color="auto" w:fill="FFFFFF"/>
        <w:autoSpaceDE w:val="0"/>
        <w:autoSpaceDN w:val="0"/>
        <w:adjustRightInd w:val="0"/>
        <w:spacing w:before="100" w:after="240"/>
        <w:jc w:val="center"/>
        <w:outlineLvl w:val="0"/>
        <w:rPr>
          <w:rFonts w:ascii="Times New Roman" w:eastAsia="黑体" w:hAnsi="Times New Roman" w:hint="default"/>
          <w:kern w:val="0"/>
          <w:sz w:val="32"/>
          <w:szCs w:val="32"/>
        </w:rPr>
      </w:pPr>
      <w:r>
        <w:rPr>
          <w:rFonts w:ascii="黑体" w:eastAsia="黑体" w:hAnsi="Times New Roman" w:cs="黑体"/>
          <w:kern w:val="0"/>
          <w:sz w:val="32"/>
          <w:szCs w:val="32"/>
        </w:rPr>
        <w:t>第四部分 部门决算报表（见附表）</w:t>
      </w:r>
    </w:p>
    <w:p w:rsidR="00585495"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一、《收入支出决算总表》</w:t>
      </w:r>
    </w:p>
    <w:p w:rsidR="00585495"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二、《收入决算表》</w:t>
      </w:r>
    </w:p>
    <w:p w:rsidR="00585495"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三、《支出决算表》</w:t>
      </w:r>
    </w:p>
    <w:p w:rsidR="00585495"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四、《财政拨款收入支出决算总表》</w:t>
      </w:r>
    </w:p>
    <w:p w:rsidR="00585495"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五、《一般公共预算财政拨款支出决算表》</w:t>
      </w:r>
    </w:p>
    <w:p w:rsidR="00585495"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六、《一般公共预算财政拨款基本支出决算表》</w:t>
      </w:r>
    </w:p>
    <w:p w:rsidR="00585495"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七、《财政拨款</w:t>
      </w:r>
      <w:r>
        <w:rPr>
          <w:rFonts w:ascii="Times New Roman" w:eastAsia="黑体" w:hAnsi="Times New Roman" w:cs="黑体" w:hint="default"/>
          <w:sz w:val="32"/>
          <w:szCs w:val="32"/>
        </w:rPr>
        <w:t>“</w:t>
      </w:r>
      <w:r>
        <w:rPr>
          <w:rFonts w:ascii="黑体" w:eastAsia="黑体" w:hAnsi="Times New Roman" w:cs="黑体"/>
          <w:sz w:val="32"/>
          <w:szCs w:val="32"/>
        </w:rPr>
        <w:t>三公</w:t>
      </w:r>
      <w:r>
        <w:rPr>
          <w:rFonts w:ascii="Times New Roman" w:eastAsia="黑体" w:hAnsi="Times New Roman" w:cs="黑体" w:hint="default"/>
          <w:sz w:val="32"/>
          <w:szCs w:val="32"/>
        </w:rPr>
        <w:t>”</w:t>
      </w:r>
      <w:r>
        <w:rPr>
          <w:rFonts w:ascii="黑体" w:eastAsia="黑体" w:hAnsi="Times New Roman" w:cs="黑体"/>
          <w:sz w:val="32"/>
          <w:szCs w:val="32"/>
        </w:rPr>
        <w:t>经费支出决算表》</w:t>
      </w:r>
    </w:p>
    <w:p w:rsidR="00585495"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rPr>
        <w:t>八、《政府性基金预算财政拨款收入支出决算表》</w:t>
      </w:r>
    </w:p>
    <w:p w:rsidR="00585495"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lang w:val="zh-CN"/>
        </w:rPr>
        <w:t>九</w:t>
      </w:r>
      <w:r>
        <w:rPr>
          <w:rFonts w:ascii="黑体" w:eastAsia="黑体" w:hAnsi="Times New Roman" w:cs="黑体"/>
          <w:sz w:val="32"/>
          <w:szCs w:val="32"/>
        </w:rPr>
        <w:t>、《国有资本经营预算财政拨款收入支出决算表》</w:t>
      </w:r>
    </w:p>
    <w:p w:rsidR="00585495" w:rsidRDefault="00585495">
      <w:pPr>
        <w:autoSpaceDE w:val="0"/>
        <w:autoSpaceDN w:val="0"/>
        <w:adjustRightInd w:val="0"/>
        <w:jc w:val="left"/>
        <w:rPr>
          <w:rFonts w:ascii="Times New Roman" w:eastAsia="黑体" w:hAnsi="Times New Roman"/>
          <w:kern w:val="36"/>
          <w:sz w:val="40"/>
          <w:szCs w:val="40"/>
          <w:lang w:val="zh-CN"/>
        </w:rPr>
      </w:pPr>
    </w:p>
    <w:sectPr w:rsidR="00585495">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dkZGMyOWI2OTRjOWQ4ZTEzMzkxOGQzMTU2NTIzNjEifQ=="/>
  </w:docVars>
  <w:rsids>
    <w:rsidRoot w:val="00172A27"/>
    <w:rsid w:val="00073D02"/>
    <w:rsid w:val="00172A27"/>
    <w:rsid w:val="00260FCA"/>
    <w:rsid w:val="002C688F"/>
    <w:rsid w:val="003810B0"/>
    <w:rsid w:val="00456A0E"/>
    <w:rsid w:val="00585495"/>
    <w:rsid w:val="005E5B81"/>
    <w:rsid w:val="006448D2"/>
    <w:rsid w:val="006E2C9E"/>
    <w:rsid w:val="00810B20"/>
    <w:rsid w:val="00905F84"/>
    <w:rsid w:val="0099592F"/>
    <w:rsid w:val="009960DC"/>
    <w:rsid w:val="009B0DE7"/>
    <w:rsid w:val="00A75520"/>
    <w:rsid w:val="00C43FE7"/>
    <w:rsid w:val="00D56A2B"/>
    <w:rsid w:val="098D33D9"/>
    <w:rsid w:val="1EB05897"/>
    <w:rsid w:val="48372D5C"/>
    <w:rsid w:val="69F36483"/>
    <w:rsid w:val="6D8231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72D033"/>
  <w15:docId w15:val="{42C25EFA-6BCC-4A97-966E-79F72068F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unhideWhenUsed="1"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nhideWhenUsed="1"/>
    <w:lsdException w:name="HTML Bottom of Form" w:semiHidden="1"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uiPriority="39" w:qFormat="1"/>
    <w:lsdException w:name="Table Theme" w:semiHidden="1"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nhideWhenUsed/>
    <w:qFormat/>
    <w:pPr>
      <w:widowControl w:val="0"/>
      <w:jc w:val="both"/>
    </w:pPr>
    <w:rPr>
      <w:rFonts w:ascii="等线" w:eastAsia="等线" w:hAnsi="等线" w:hint="eastAsia"/>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15</Pages>
  <Words>1032</Words>
  <Characters>5886</Characters>
  <Application>Microsoft Office Word</Application>
  <DocSecurity>0</DocSecurity>
  <Lines>49</Lines>
  <Paragraphs>13</Paragraphs>
  <ScaleCrop>false</ScaleCrop>
  <Company/>
  <LinksUpToDate>false</LinksUpToDate>
  <CharactersWithSpaces>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5869</cp:lastModifiedBy>
  <cp:revision>50</cp:revision>
  <dcterms:created xsi:type="dcterms:W3CDTF">2023-08-22T09:33:00Z</dcterms:created>
  <dcterms:modified xsi:type="dcterms:W3CDTF">2023-08-31T09:07:00Z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B47917C567764A289C80B54B7AE0667E_13</vt:lpwstr>
  </property>
</Properties>
</file>