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658A7" w14:textId="77777777" w:rsidR="000048AA" w:rsidRDefault="00000000">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D33FA27" w14:textId="77777777" w:rsidR="000048AA" w:rsidRDefault="000048AA">
      <w:pPr>
        <w:spacing w:line="540" w:lineRule="exact"/>
        <w:jc w:val="center"/>
        <w:rPr>
          <w:rFonts w:ascii="华文中宋" w:eastAsia="华文中宋" w:hAnsi="华文中宋" w:cs="宋体"/>
          <w:b/>
          <w:kern w:val="0"/>
          <w:sz w:val="52"/>
          <w:szCs w:val="52"/>
        </w:rPr>
      </w:pPr>
    </w:p>
    <w:p w14:paraId="6E106AD4" w14:textId="77777777" w:rsidR="000048AA" w:rsidRDefault="000048AA">
      <w:pPr>
        <w:spacing w:line="540" w:lineRule="exact"/>
        <w:jc w:val="center"/>
        <w:rPr>
          <w:rFonts w:ascii="华文中宋" w:eastAsia="华文中宋" w:hAnsi="华文中宋" w:cs="宋体"/>
          <w:b/>
          <w:kern w:val="0"/>
          <w:sz w:val="52"/>
          <w:szCs w:val="52"/>
        </w:rPr>
      </w:pPr>
    </w:p>
    <w:p w14:paraId="06DF3DDB" w14:textId="77777777" w:rsidR="000048AA" w:rsidRDefault="000048AA">
      <w:pPr>
        <w:spacing w:line="540" w:lineRule="exact"/>
        <w:jc w:val="center"/>
        <w:rPr>
          <w:rFonts w:ascii="华文中宋" w:eastAsia="华文中宋" w:hAnsi="华文中宋" w:cs="宋体"/>
          <w:b/>
          <w:kern w:val="0"/>
          <w:sz w:val="52"/>
          <w:szCs w:val="52"/>
        </w:rPr>
      </w:pPr>
    </w:p>
    <w:p w14:paraId="3D54B155" w14:textId="77777777" w:rsidR="000048AA" w:rsidRDefault="000048AA">
      <w:pPr>
        <w:spacing w:line="540" w:lineRule="exact"/>
        <w:jc w:val="center"/>
        <w:rPr>
          <w:rFonts w:ascii="华文中宋" w:eastAsia="华文中宋" w:hAnsi="华文中宋" w:cs="宋体"/>
          <w:b/>
          <w:kern w:val="0"/>
          <w:sz w:val="52"/>
          <w:szCs w:val="52"/>
        </w:rPr>
      </w:pPr>
    </w:p>
    <w:p w14:paraId="7523DB40" w14:textId="77777777" w:rsidR="000048AA" w:rsidRDefault="000048AA">
      <w:pPr>
        <w:spacing w:line="540" w:lineRule="exact"/>
        <w:jc w:val="center"/>
        <w:rPr>
          <w:rFonts w:ascii="华文中宋" w:eastAsia="华文中宋" w:hAnsi="华文中宋" w:cs="宋体"/>
          <w:b/>
          <w:kern w:val="0"/>
          <w:sz w:val="52"/>
          <w:szCs w:val="52"/>
        </w:rPr>
      </w:pPr>
    </w:p>
    <w:p w14:paraId="7B9F0A20" w14:textId="77777777" w:rsidR="000048AA" w:rsidRDefault="000048AA">
      <w:pPr>
        <w:spacing w:line="540" w:lineRule="exact"/>
        <w:jc w:val="center"/>
        <w:rPr>
          <w:rFonts w:ascii="华文中宋" w:eastAsia="华文中宋" w:hAnsi="华文中宋" w:cs="宋体"/>
          <w:b/>
          <w:kern w:val="0"/>
          <w:sz w:val="52"/>
          <w:szCs w:val="52"/>
        </w:rPr>
      </w:pPr>
    </w:p>
    <w:p w14:paraId="1F5472C6" w14:textId="77777777" w:rsidR="000048AA" w:rsidRDefault="00000000">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5C3E73B" w14:textId="77777777" w:rsidR="000048AA" w:rsidRDefault="000048AA">
      <w:pPr>
        <w:spacing w:line="540" w:lineRule="exact"/>
        <w:jc w:val="center"/>
        <w:rPr>
          <w:rFonts w:ascii="华文中宋" w:eastAsia="华文中宋" w:hAnsi="华文中宋" w:cs="宋体"/>
          <w:b/>
          <w:kern w:val="0"/>
          <w:sz w:val="52"/>
          <w:szCs w:val="52"/>
        </w:rPr>
      </w:pPr>
    </w:p>
    <w:p w14:paraId="478A78FB" w14:textId="77777777" w:rsidR="000048AA" w:rsidRDefault="00000000">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2022</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26501804" w14:textId="77777777" w:rsidR="000048AA" w:rsidRDefault="000048AA">
      <w:pPr>
        <w:spacing w:line="540" w:lineRule="exact"/>
        <w:jc w:val="center"/>
        <w:rPr>
          <w:rFonts w:eastAsia="仿宋_GB2312" w:hAnsi="宋体" w:cs="宋体"/>
          <w:kern w:val="0"/>
          <w:sz w:val="30"/>
          <w:szCs w:val="30"/>
        </w:rPr>
      </w:pPr>
    </w:p>
    <w:p w14:paraId="69B61B55" w14:textId="77777777" w:rsidR="000048AA" w:rsidRDefault="000048AA">
      <w:pPr>
        <w:spacing w:line="540" w:lineRule="exact"/>
        <w:jc w:val="center"/>
        <w:rPr>
          <w:rFonts w:eastAsia="仿宋_GB2312" w:hAnsi="宋体" w:cs="宋体"/>
          <w:kern w:val="0"/>
          <w:sz w:val="30"/>
          <w:szCs w:val="30"/>
        </w:rPr>
      </w:pPr>
    </w:p>
    <w:p w14:paraId="0A436978" w14:textId="77777777" w:rsidR="000048AA" w:rsidRDefault="000048AA">
      <w:pPr>
        <w:spacing w:line="540" w:lineRule="exact"/>
        <w:jc w:val="center"/>
        <w:rPr>
          <w:rFonts w:eastAsia="仿宋_GB2312" w:hAnsi="宋体" w:cs="宋体"/>
          <w:kern w:val="0"/>
          <w:sz w:val="30"/>
          <w:szCs w:val="30"/>
        </w:rPr>
      </w:pPr>
    </w:p>
    <w:p w14:paraId="5731CF0C" w14:textId="77777777" w:rsidR="000048AA" w:rsidRDefault="000048AA">
      <w:pPr>
        <w:spacing w:line="540" w:lineRule="exact"/>
        <w:jc w:val="center"/>
        <w:rPr>
          <w:rFonts w:eastAsia="仿宋_GB2312" w:hAnsi="宋体" w:cs="宋体"/>
          <w:kern w:val="0"/>
          <w:sz w:val="30"/>
          <w:szCs w:val="30"/>
        </w:rPr>
      </w:pPr>
    </w:p>
    <w:p w14:paraId="2CE0F0E1" w14:textId="77777777" w:rsidR="000048AA" w:rsidRDefault="000048AA">
      <w:pPr>
        <w:spacing w:line="540" w:lineRule="exact"/>
        <w:jc w:val="center"/>
        <w:rPr>
          <w:rFonts w:eastAsia="仿宋_GB2312" w:hAnsi="宋体" w:cs="宋体"/>
          <w:kern w:val="0"/>
          <w:sz w:val="30"/>
          <w:szCs w:val="30"/>
        </w:rPr>
      </w:pPr>
    </w:p>
    <w:p w14:paraId="4C85A255" w14:textId="77777777" w:rsidR="000048AA" w:rsidRDefault="000048AA">
      <w:pPr>
        <w:spacing w:line="540" w:lineRule="exact"/>
        <w:jc w:val="center"/>
        <w:rPr>
          <w:rFonts w:eastAsia="仿宋_GB2312" w:hAnsi="宋体" w:cs="宋体"/>
          <w:kern w:val="0"/>
          <w:sz w:val="30"/>
          <w:szCs w:val="30"/>
        </w:rPr>
      </w:pPr>
    </w:p>
    <w:p w14:paraId="3DB1725E" w14:textId="77777777" w:rsidR="000048AA" w:rsidRDefault="000048AA">
      <w:pPr>
        <w:spacing w:line="540" w:lineRule="exact"/>
        <w:rPr>
          <w:rFonts w:eastAsia="仿宋_GB2312" w:hAnsi="宋体" w:cs="宋体"/>
          <w:kern w:val="0"/>
          <w:sz w:val="30"/>
          <w:szCs w:val="30"/>
        </w:rPr>
      </w:pPr>
    </w:p>
    <w:p w14:paraId="5B7D51AB" w14:textId="77777777" w:rsidR="000048AA" w:rsidRDefault="00000000">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71B2FEEF" w14:textId="77777777" w:rsidR="000048AA" w:rsidRDefault="00000000">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乌鲁木齐市米东区基层中医能力提升项目</w:t>
      </w:r>
      <w:proofErr w:type="spellStart"/>
      <w:proofErr w:type="spellEnd"/>
    </w:p>
    <w:p w14:paraId="7AEB13A7" w14:textId="77777777" w:rsidR="000048AA" w:rsidRDefault="00000000">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米东区中医医院</w:t>
      </w:r>
      <w:proofErr w:type="spellStart"/>
      <w:proofErr w:type="spellEnd"/>
    </w:p>
    <w:p w14:paraId="275DDF30" w14:textId="77777777" w:rsidR="000048AA" w:rsidRDefault="00000000">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米东区中医医院</w:t>
      </w:r>
      <w:proofErr w:type="spellStart"/>
      <w:proofErr w:type="spellEnd"/>
    </w:p>
    <w:p w14:paraId="5747EF1B" w14:textId="77777777" w:rsidR="000048AA" w:rsidRDefault="00000000">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艾万里</w:t>
      </w:r>
      <w:proofErr w:type="spellStart"/>
      <w:proofErr w:type="spellEnd"/>
    </w:p>
    <w:p w14:paraId="7DACC143" w14:textId="77777777" w:rsidR="000048AA" w:rsidRDefault="00000000">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2023年05月19日</w:t>
      </w:r>
    </w:p>
    <w:p w14:paraId="677F1B1A" w14:textId="77777777" w:rsidR="000048AA" w:rsidRDefault="000048AA">
      <w:pPr>
        <w:spacing w:line="700" w:lineRule="exact"/>
        <w:ind w:firstLineChars="236" w:firstLine="708"/>
        <w:jc w:val="left"/>
        <w:rPr>
          <w:rFonts w:eastAsia="仿宋_GB2312" w:hAnsi="宋体" w:cs="宋体"/>
          <w:kern w:val="0"/>
          <w:sz w:val="30"/>
          <w:szCs w:val="30"/>
        </w:rPr>
      </w:pPr>
    </w:p>
    <w:p w14:paraId="123FA6B7" w14:textId="77777777" w:rsidR="000048AA" w:rsidRDefault="000048AA">
      <w:pPr>
        <w:spacing w:line="540" w:lineRule="exact"/>
        <w:rPr>
          <w:rStyle w:val="ad"/>
          <w:rFonts w:ascii="黑体" w:eastAsia="黑体" w:hAnsi="黑体"/>
          <w:b w:val="0"/>
          <w:spacing w:val="-4"/>
          <w:sz w:val="32"/>
          <w:szCs w:val="32"/>
        </w:rPr>
      </w:pPr>
    </w:p>
    <w:p w14:paraId="2EEB6E08"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18E9018D"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r>
    </w:p>
    <w:p w14:paraId="3DED2D21"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根据《关于乌鲁木齐市米东区基层中医能力提升项目立项的报告》、《关于对乌鲁木齐市米东区基层中医能力提升项目立项的批复》（米发改字【2021】207号）文件，米东区中医医院申请设立乌鲁木齐市米东区基层中医能力提升项目，该项目分为一、二期建设，建设项目主要包括乌鲁木齐市米东区中医医院中药制剂中心项目、乌鲁木齐市米东区中医医院中医医养楼项目等。本次报告主要评价的项目资金使用目的为乌鲁木齐市米东区基层中医能力提升项目的国有土地使用权出让费。土地是不可再生的资源。土地出让金问题凸显，是近些年我国土地财政领域中一个突出的新问题。它是我国社会经济生活进入现代化和建设全面小康社会进程中与以下四大背景条件息息相关的。乌鲁木齐市米东区当地日益增长的居民医疗需求及经济发展的必然需求，造成米东区建设用地需求的快速增长、加剧了土地供给侧的紧张。推出土地出让金的初衷是一次性收取土地收益，配合了国家实行积极财政政策由国债形成的基础设施及公共产品累积的积极效应。本项目的实施为乌鲁木齐市米东区基层中医能力提升项目的建设工作顺利开展提供了重要保障，有效解决了米东区当地土地供求关系矛盾，改善米东区地方公共服务和医疗服务设施。</w:t>
        <w:br/>
        <w:t>经2022年国有土地出让补偿费[1]号文件批准， 项目系2022年米东区本级资金安排，共安排预算253.26万元，于2022年年中追加预算批复项目，资金到位数为253.26万元，实际支付数为253.26万元。</w:t>
      </w:r>
    </w:p>
    <w:p w14:paraId="4EE91996"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r>
    </w:p>
    <w:p w14:paraId="5F877E16"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本项目依据《中共中央 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</w:t>
        <w:br/>
        <w:t>本项目资金主要用于支付乌鲁木齐市米东区基层中医能力提升项目的土地出让金，涉及土地面积为84419。96平方米。本项目的实施为乌鲁木齐市米东区基层中医能力提升项目的建设工作顺利开展提供了重要保障，有效解决了米东区当地土地供求关系矛盾，改善米东区地方公共服务和医疗服务设施，为米东区中医药传承创新工程的发展打下了良好坚实的基础。</w:t>
      </w:r>
    </w:p>
    <w:p w14:paraId="6BFCEFBA"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二、绩效评价工作开展情况</w:t>
      </w:r>
    </w:p>
    <w:p w14:paraId="61859553"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5CBE7A93"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1.评价目的</w:t>
        <w:b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</w:t>
        <w:br/>
        <w:t>2.评价对象和范围</w:t>
        <w:br/>
        <w:t>（1）绩效评价的对象 ：乌鲁木齐市米东区基层中医能力提升项目 </w:t>
        <w:br/>
        <w:t>（2）绩效评价范围：</w:t>
        <w:br/>
        <w:t>1.项目范围：乌鲁木齐市米东区基层中医能力提升项目 的完成情况、资金投入的运行情况、项目实施后产生的绩效及影响效果。</w:t>
        <w:br/>
        <w:t>2.时间范围：2022年1月1日至2022年12月31日。</w:t>
      </w:r>
    </w:p>
    <w:p w14:paraId="1271490C"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w:t>
      </w:r>
    </w:p>
    <w:p w14:paraId="1F0C1D90"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1.评价原则</w:t>
        <w:br/>
        <w:t>（1）科学规范原则：绩效评价应当严格执行规定的程序，按照科学可行的要求，采用定量与定性分析相结合的方法。</w:t>
        <w:br/>
        <w:t>（2）公正公开原则：绩效评价应当符合真实、客观、公正的要求，依法公开并接受监督。</w:t>
        <w:br/>
        <w:t>（3）分级分类原则：根据评价对象特点分类组织实施。</w:t>
        <w:br/>
        <w:t>（4）绩效相关原则：绩效评价应当针对具体支出及其产出绩效进行，评价结果应当清晰反映支出和产出绩效之间的紧密对应关系。</w:t>
        <w:br/>
        <w:t>根据以上原则，绩效评价应遵循如下要求：</w:t>
        <w:br/>
        <w:t>（1）在数据收集时，采取客观数据，并结合问卷调查结果，以保证各项指标的真实性。</w:t>
        <w:br/>
        <w:t>（2）保证评价结果的真实性、公正性，提高评价报告的公信力。</w:t>
        <w:br/>
        <w:t>（3）绩效评价报告应当简明扼要，除了对绩效评价的过程、结果描述外，还应总结经验，指出问题，并就项目实施过程中所存在的问题提出可操作性改进建议。</w:t>
        <w:br/>
        <w:t>2.评价指标体系</w:t>
        <w:br/>
        <w:t>绩效评价指标体系作为衡量绩效目标实现程度的考核工具，一般遵循以下原则：</w:t>
        <w:br/>
        <w:t>（1）相关性原则：绩效评价指标应当与绩效目标有直接的联系，能够恰当反映目标的实现程度。</w:t>
        <w:br/>
        <w:t>（2）重要性原则：应当优先使用最具评价对象代表性、最能反映评价要求的核心指标。</w:t>
        <w:br/>
        <w:t>（3）可比性原则：对同类评价对象要设定共性的绩效评价指标，以便于评价结果可以相互比较。</w:t>
        <w:br/>
        <w:t>（4）系统性原则：绩效评价指标的设置应当将定量指标与定性指标相结合，能系统反映财政支出所产生的社会效益、经济效益和可持续影响等。</w:t>
        <w:br/>
        <w:t>（5）经济性原则：绩效评价指标设计应当通俗易懂、简便易行，数据的获得应当考虑现实条件和可操作性，符合成本效益原则。3.评价方法</w:t>
        <w:br/>
        <w:t>《关于印发&lt;项目支出绩效评价管理办法&gt;的通知》（财预〔2020〕10号）文件指出部门评价的方法主要包括成本效益分析法、比较法、因素分析法、最低成本法、公众评判法、标杆管理法等。</w:t>
        <w:br/>
        <w:t>（1）成本效益分析法。是指将投入与产出、效益进行关联性分析的方法。</w:t>
        <w:br/>
        <w:t>（2）比较法。是指将实施情况与绩效目标、历史情况、不同部门和地区同类支出情况进行比较的方法。</w:t>
        <w:br/>
        <w:t>（3）因素分析法。是指综合分析影响绩效目标实现、实施效果的内外部因素的方法。</w:t>
        <w:br/>
        <w:t>（4）最低成本法。是指在绩效目标确定的前提下，成本最小者为优的方法。</w:t>
        <w:br/>
        <w:t>（5）公众评判法。是指通过专家评估、公众问卷及抽样调查等方式进行评判的方法。</w:t>
        <w:br/>
        <w:t>（6）标杆管理法。是指以国内外同行业中较高的绩效水平为标杆进行评判的方法。</w:t>
        <w:br/>
        <w:t>（7）其他评价方法。</w:t>
        <w:br/>
        <w:t>根据本项目（乌鲁木齐市米东区基层中医能力提升项目） 的特点，本次评价主要采用比较法和公众评判法，对项目总预算和明细预算的内容、标准、计划是否经济合理进行深入分析，以考察实际产出和效益是否达到预期。</w:t>
        <w:br/>
        <w:t>4.评价标准</w:t>
        <w:br/>
        <w:t>绩效评价标准主要包括计划标准、行业标准、历史标准等，用于对绩效指标完成情况进行比较。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在上述评价标准的基础上，本次评价依据以下文件为重要指导和准绳：</w:t>
        <w:br/>
        <w:t>？《中共中央国务院关于全面实施预算绩效管理的意见》（中发〔2018〕34号）</w:t>
        <w:br/>
        <w:t>？《关于印发&lt;乌鲁木齐市本级部门预算绩效目标管理暂行办法&gt;的通知》（乌财预〔2018〕56号）</w:t>
        <w:br/>
        <w:t>？《关于做好2019年部门预算项目支出绩效目标管理有关事宜的通知》（乌财预〔2018〕76号）</w:t>
        <w:br/>
        <w:t>？《项目支出绩效评价管理办法》（财预〔2020〕10号）</w:t>
        <w:br/>
        <w:t>中华人民共和国城镇国有土地使用权出让和转让暂行条例</w:t>
      </w:r>
    </w:p>
    <w:p w14:paraId="2ED6ECBD"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0644D6D2"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、材料审核分析、现场核查评价、综合分析评价及报告撰写，评价项目实施情况，展现资金使用效益。</w:t>
      </w:r>
    </w:p>
    <w:p w14:paraId="19F1E6B2"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三、综合评价情况及评价结论</w:t>
      </w:r>
    </w:p>
    <w:p w14:paraId="702BFB2D"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（一）评价结论</w:t>
        <w:br/>
        <w:t>结合项目特点，制定符合项目实际的绩效评价指标体系及评分标准，通过数据采集、问卷调查及访谈等形式，对2022年乌鲁木齐市米东区基层中医能力提升项目进行客观评价，最终评分结果为：总分为100分，绩效评级为“优” 。</w:t>
        <w:br/>
        <w:t>（二）主要绩效 </w:t>
        <w:br/>
        <w:t>该项目资金区财政及时拨付，单位在此次评价期间内，有序完成设定目标的全部工作任务，完成基层能力提升项目土地出让补偿费253.26万元的支付，涉及土地使用面积为84419.96平方米。本项目的实施为乌鲁木齐市米东区基层中医能力提升项目的建设工作顺利开展提供了重要保障，有效解决了米东区当地土地供求关系矛盾，改善米东区地方公共服务和医疗服务设施，配合了国家实行积极财政政策由国债形成的基础设施及公共产品累积的积极效应。</w:t>
      </w:r>
    </w:p>
    <w:p w14:paraId="624FD63F" w14:textId="77777777" w:rsidR="000048AA" w:rsidRDefault="00000000">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2BDB141E"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0E9F8597" w14:textId="77777777" w:rsidR="000048AA" w:rsidRDefault="00000000">
      <w:pPr>
        <w:tabs>
          <w:tab w:val="center" w:pos="4295"/>
        </w:tabs>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项目决算指标由3个二级指标和6个三级指标构成，权重为20分，实际得分20分。</w:t>
        <w:br/>
        <w:t>1.项目立项 </w:t>
        <w:br/>
        <w:t>立项依据充分性：项目立项符合《关于对乌鲁木齐市米东区基层中医能力提升项目立项的批复》、中华人民共和国城镇国有土地使用权出让和转让暂行条例要求。同时，项目与部门职责范围相符，属于部门履职所需。此外，本项目属于公共财政支持范围，符合中央、地</w:t>
        <w:br/>
        <w:t>方事权支出责任划分原则。因此，立项依据充分，得4分。</w:t>
        <w:br/>
        <w:t>立项程序规范性: 项目按照规定的程序申请设立，审批文件、材料符合相关要求，故立项程序规范，得4分。</w:t>
        <w:br/>
        <w:t>综上，该指标满分8分，得分8分。</w:t>
        <w:br/>
        <w:t>2.绩效目标 </w:t>
        <w:br/>
        <w:t>绩效目标合理性：本项目的绩效目标按照产出、效益和满意度构建绩效评价指标，且具有明确性、可衡量性、可实现性、相关性和时限性等特点，能较为全面地反映本项目的产出和效益，故绩效目标合理性指标得分3分。</w:t>
        <w:br/>
        <w:t>绩效目标明确性： 基层中医能力提升项目已经完成土地出让补偿费的支付，本项目的实施为乌鲁木齐市米东区基层中医能力提升项目的建设工作顺利开展提供了重要保障，有效解决了米东区当地土地供求关系矛盾，改善米东区地方公共服务和医疗服务设施，配合了国家实行积极财政政策由国债形成的基础设施及公共产品累积的积极效应。其中，目标已细化为具体的绩效指标，可通过数量指标、质量指标、时效指标和成本指标予以量化，并具有确切的评价标准，且指标设定均与目标相关。各项指标均能在现实条件下收集到相关数据进行佐证，并与当年项目年度计划相对应，故绩效目标明确性指标得分3分。</w:t>
        <w:br/>
        <w:t>综上，该指标满分6分，得分6分。</w:t>
        <w:br/>
        <w:t>3.资金投入</w:t>
        <w:br/>
        <w:t>预算编制科学性 ：依据2022年米东分局划拨用地台账，乌鲁木齐市米东区基层中医能力提升项目涉及用地面积为84419.96平方米，单价为30元/平方米，涉及国有土地补偿费为253.26万元。本项目预算编制具有真实合理的依据，故预算编制科学性指标得分3分。</w:t>
        <w:br/>
        <w:t></w:t>
        <w:br/>
        <w:t xml:space="preserve"> </w:t>
        <w:br/>
        <w:t>资金分配合理性  ：依据2022年米东分局划拨用地台账，乌鲁木齐市米东区基层中医能力提升项目涉及用地面积为84419.96平方米，单价为30元/平方米，涉及国有土地补偿费为253.26万元。本项目资金分配具有真实合理的相关依据。故资金分配合理性指标得分3分。</w:t>
        <w:br/>
        <w:t>综上，该指标满分6分，得分6分。</w:t>
      </w:r>
      <w:r>
        <w:rPr>
          <w:rStyle w:val="ad"/>
          <w:rFonts w:ascii="楷体" w:eastAsia="楷体" w:hAnsi="楷体" w:hint="eastAsia"/>
          <w:b w:val="0"/>
          <w:bCs w:val="0"/>
          <w:spacing w:val="-4"/>
          <w:sz w:val="32"/>
          <w:szCs w:val="32"/>
        </w:rPr>
        <w:tab/>
      </w:r>
    </w:p>
    <w:p w14:paraId="18D4984C" w14:textId="77777777" w:rsidR="000048AA" w:rsidRDefault="00000000">
      <w:pPr>
        <w:spacing w:line="540" w:lineRule="exact"/>
        <w:ind w:firstLineChars="181" w:firstLine="567"/>
        <w:rPr>
          <w:rStyle w:val="ad"/>
          <w:rFonts w:ascii="楷体" w:eastAsia="楷体" w:hAnsi="楷体"/>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2EE3560E"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项目过程指标由2个二级指标和5个三级指标构成，权重为20分，实际得分20分。</w:t>
        <w:br/>
        <w:t>1.资金管理</w:t>
        <w:br/>
        <w:t>资金到位率  ： 根据本单位预算2.0系统内的指标额度以及本项目涉及的国库支付凭证，本项目资金实际到位数为253.26万，于2022年8月到位，资金到位率100%。故资金到位率指标得分5分。</w:t>
        <w:br/>
        <w:t>预算执行率 ：依据本项目涉及的国库支付凭证，基层中医能力提升项目共支付土地出让金253.26万元，支付给乌鲁木齐市自然资源局米东区分局，故预算执行率100%。故预算执行率得分为5分。</w:t>
        <w:br/>
        <w:t></w:t>
        <w:br/>
        <w:t>资金使用合规性 ：本项目资金的使用符合国家财经法规和财务管理制度以及有关专项资金管理办法的规定。同时，资金的拨付有完整的审批程序和手续，符合项目预算批复或合同规定的用途，不存在截留、挤占、挪用、虚列支出等情况。故资金使用合规性得分为3分。</w:t>
        <w:br/>
        <w:t>综上，该指标满分13分，得分13分。</w:t>
        <w:br/>
        <w:t>2.组织实施</w:t>
        <w:br/>
        <w:t>管理制度健全性： 乌鲁木齐市米东区中医医院已制定相应的财务和业务管理制度，且制度合法、合规、完整，为项目顺利实施提供重要保障。故管理制度健全性得分为3分。</w:t>
        <w:br/>
        <w:t>制度执行有效性：根据现场调研和资料抽查情况，严格遵守相关法律法规和相关管理规定，项目调整及支出调整手续完备，整体管理合理有序，项目完成后，及时将会计凭证、集中支付凭证等相关资料分类归档 ，制度执行有效。故制度执行有效性指标得分4分。</w:t>
        <w:br/>
        <w:t>综上，该指标满分7分，得分7分。</w:t>
      </w:r>
    </w:p>
    <w:p w14:paraId="626924A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76AF5AFA"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项目产出指标由4个二级指标和4个三级指标构成，权重为40分，实际得分40分。</w:t>
        <w:br/>
        <w:t>1.产出数量</w:t>
        <w:br/>
        <w:t>数量指标“土地使用面积”的目标值是=84419.96平方米，依据2022年米东分局划拨用地台账，2022年度我单位实际土地使用面积为84419.96平方米，指标完成率为100%。</w:t>
        <w:br/>
        <w:t xml:space="preserve"> 故产出数量得分为10分。</w:t>
        <w:br/>
        <w:t>2.	产出质量</w:t>
        <w:br/>
        <w:t>质量指标“项目任务完成率”的目标值=100%，依据本项目涉及的国库支付凭证、记账凭证及发票，2022年度我单金位已全部完成土地出让金的支付任务，指标完成值100%，指标完成率100%，</w:t>
        <w:br/>
        <w:t>故产出质量得分为10分。</w:t>
        <w:br/>
        <w:t>3.	产出时效</w:t>
        <w:br/>
        <w:t>时效指标“资金支付及时率”的目标值≥90%，依据本项目涉及的国库支付凭证、记账凭证及发票，乌鲁木齐市米东区财政国库收付中心于2022年8月19日向乌鲁木齐市自然资源局米东区分局支付土地出让金253.26万元。本项目的资金支付未出现不及时情况，“资金支付及时率”完成值为100%。</w:t>
        <w:br/>
        <w:t></w:t>
        <w:br/>
        <w:t>故产出时效得分为10分。</w:t>
        <w:br/>
        <w:t>4.	产出成本</w:t>
        <w:br/>
        <w:t>成本指标“项目预算控制率”的目标值≤100%，依据本项目涉及的国库支付凭证，基层中医能力提升项目共支付土地出让金253.26万元，支付给乌鲁木齐市自然资源局米东区分局，项目预算控制率完成值为100%。</w:t>
        <w:br/>
        <w:t>故产出成本指标得分为10分。</w:t>
        <w:br/>
        <w:t>综上，该指标满分40分，得分40分。</w:t>
      </w:r>
    </w:p>
    <w:p w14:paraId="404219E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42E7F70D" w14:textId="5C44F7ED"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项目效益指标由1个二级指标和2个三级指标构成，权重为20分，实际得分20分 。 </w:t>
        <w:br/>
        <w:t>1.项目效益</w:t>
        <w:br/>
        <w:t>（1）实施效益 </w:t>
        <w:br/>
        <w:t>经济效益指标：不适用。</w:t>
        <w:br/>
        <w:t>社会效益指标：评价指标“有效解决当地土地供求矛盾”，指标值：持续提升，实际完成值：完全达到预期效果。本项目通过向乌鲁木齐市自然资源局米东区分局支付253.26万元的土地出让金，有效解决当地土地供求矛盾。指标完成率为100%。</w:t>
        <w:br/>
        <w:t>生态效益指标：不适用。</w:t>
        <w:br/>
        <w:t>可持续影响指标：评价指标“推动乌鲁木齐市米东区基层中医能力提升项目顺利开展”，指标值：持续推动，实际完成值：完全达到预期效果。本项目通过向乌鲁木齐市自然资源局米东区分局支付253.26万元的土地出让金，为乌鲁木齐市米东区基层中医能力提升项目的顺利开展提供了坚实保障。指标完成率为100%。</w:t>
        <w:br/>
        <w:t></w:t>
        <w:br/>
        <w:t>综上，该指标满分10分，得分10分。</w:t>
      </w:r>
    </w:p>
    <w:p w14:paraId="5CE82706" w14:textId="77777777" w:rsidR="009C229E" w:rsidRDefault="009C229E">
      <w:pPr>
        <w:spacing w:line="540" w:lineRule="exact"/>
        <w:ind w:firstLine="567"/>
        <w:rPr>
          <w:rStyle w:val="ad"/>
          <w:rFonts w:ascii="楷体" w:eastAsia="楷体" w:hAnsi="楷体"/>
          <w:b w:val="0"/>
          <w:bCs w:val="0"/>
          <w:spacing w:val="-4"/>
          <w:sz w:val="32"/>
          <w:szCs w:val="32"/>
        </w:rPr>
      </w:pPr>
    </w:p>
    <w:p w14:paraId="50B5B55A" w14:textId="1104588F" w:rsidR="009C229E" w:rsidRPr="009C229E" w:rsidRDefault="009C229E" w:rsidP="009C229E">
      <w:pPr>
        <w:spacing w:line="540" w:lineRule="exact"/>
        <w:ind w:firstLineChars="181" w:firstLine="567"/>
        <w:rPr>
          <w:rStyle w:val="ad"/>
          <w:rFonts w:ascii="楷体" w:eastAsia="楷体" w:hAnsi="楷体" w:hint="eastAsia"/>
          <w:bCs w:val="0"/>
          <w:spacing w:val="-4"/>
          <w:sz w:val="32"/>
          <w:szCs w:val="32"/>
        </w:rPr>
      </w:pPr>
      <w:r>
        <w:rPr>
          <w:rFonts w:ascii="楷体" w:eastAsia="楷体" w:hAnsi="楷体" w:hint="eastAsia"/>
          <w:b/>
          <w:spacing w:val="-4"/>
          <w:sz w:val="32"/>
          <w:szCs w:val="32"/>
        </w:rPr>
        <w:lastRenderedPageBreak/>
        <w:t>（</w:t>
      </w:r>
      <w:r>
        <w:rPr>
          <w:rFonts w:ascii="楷体" w:eastAsia="楷体" w:hAnsi="楷体" w:hint="eastAsia"/>
          <w:b/>
          <w:spacing w:val="-4"/>
          <w:sz w:val="32"/>
          <w:szCs w:val="32"/>
        </w:rPr>
        <w:t>五</w:t>
      </w:r>
      <w:r>
        <w:rPr>
          <w:rFonts w:ascii="楷体" w:eastAsia="楷体" w:hAnsi="楷体" w:hint="eastAsia"/>
          <w:b/>
          <w:spacing w:val="-4"/>
          <w:sz w:val="32"/>
          <w:szCs w:val="32"/>
        </w:rPr>
        <w:t>）</w:t>
      </w:r>
      <w:r w:rsidRPr="009C229E">
        <w:rPr>
          <w:rFonts w:ascii="楷体" w:eastAsia="楷体" w:hAnsi="楷体" w:hint="eastAsia"/>
          <w:b/>
          <w:spacing w:val="-4"/>
          <w:sz w:val="32"/>
          <w:szCs w:val="32"/>
        </w:rPr>
        <w:t>满意度指标完成情况分析</w:t>
      </w:r>
    </w:p>
    <w:p w14:paraId="57FD828A" w14:textId="202F46A4"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（1）满意度指标 </w:t>
        <w:br/>
        <w:t>群众满意度：评价指标“土地出让人满意度”，指标值：≥90%，实际完成值：90%。通过设置问卷调查的方式进行考评评价，共计调查样本总量为20个样本，有效调查问卷20份。其中，统计“满意”的平均值为90%。故满意度指标得分为10分。</w:t>
        <w:br/>
        <w:t>综上，该指标满分10分，得分10分。</w:t>
      </w:r>
    </w:p>
    <w:p w14:paraId="3385D9A6" w14:textId="77777777" w:rsidR="000048AA" w:rsidRDefault="000048AA">
      <w:pPr>
        <w:spacing w:line="540" w:lineRule="exact"/>
        <w:ind w:firstLine="567"/>
        <w:rPr>
          <w:rStyle w:val="ad"/>
          <w:rFonts w:ascii="楷体" w:eastAsia="楷体" w:hAnsi="楷体"/>
          <w:spacing w:val="-4"/>
          <w:sz w:val="32"/>
          <w:szCs w:val="32"/>
        </w:rPr>
      </w:pPr>
    </w:p>
    <w:p w14:paraId="30FB9643"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五、预算执行进度与绩效指标偏差</w:t>
      </w:r>
    </w:p>
    <w:p w14:paraId="3EC063D4"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本项目预算执行率为100%，指标总体完成率为100%，二者之间的偏差值为0%，小于20%。因此，本项目较好地完成了年度总体目标，财政资金使用效益和效率较高。</w:t>
      </w:r>
    </w:p>
    <w:p w14:paraId="75C28D8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六、主要经验及做法、存在的问题及原因分析</w:t>
      </w:r>
    </w:p>
    <w:p w14:paraId="43BCB296" w14:textId="77777777" w:rsidR="000048AA" w:rsidRDefault="00000000">
      <w:pPr>
        <w:spacing w:line="540" w:lineRule="exact"/>
        <w:ind w:firstLine="567"/>
        <w:rPr>
          <w:rFonts w:ascii="仿宋_GB2312" w:eastAsia="仿宋_GB2312"/>
          <w:spacing w:val="-4"/>
          <w:sz w:val="32"/>
          <w:szCs w:val="32"/>
        </w:rPr>
      </w:pPr>
      <w:r>
        <w:rPr>
          <w:rStyle w:val="ad"/>
          <w:rFonts w:ascii="楷体" w:eastAsia="楷体" w:hAnsi="楷体" w:hint="eastAsia"/>
          <w:b w:val="0"/>
          <w:bCs w:val="0"/>
          <w:spacing w:val="-4"/>
          <w:sz w:val="32"/>
          <w:szCs w:val="32"/>
        </w:rPr>
        <w:t>（一）主要经验及做法</w:t>
        <w:br/>
        <w:t>1 .从宏观形势的进展看，国民经济收入水平明显提高，人民群众医疗保健意识及就诊环境要求增高，居民用于医疗卫生方面的支出也保持着连续增长的势头。医院为保障公民的基本健康权益，同时也是促进健康是和谐社会建设重要目标，也是保障民生的一项重要内容，为保障米东区人民对医疗卫生保健的需求，急需改善现在就医环境。</w:t>
        <w:br/>
        <w:t xml:space="preserve">   2.本项目建成后必将为医院带来不断进展的契机，通过规范建设后的门诊大楼，将使就医环境得到进一步的改善，基础设施完备，更加表达出医疗服务中的人性化关怀，能够更好的发挥医疗、保健、急救和应对突发性公共卫生事件的能力，达到更好的满足宽敞人民群众医疗需求的目的。</w:t>
        <w:br/>
        <w:t>3.本项目通过向乌鲁木齐市自然资源局米东区分局支付253.26万元的土地出让金，为乌鲁木齐市米东区基层中医能力提升项目的顺利开展提供了坚实保障。</w:t>
        <w:br/>
        <w:t>（二）存在的问题及原因分析</w:t>
        <w:br/>
        <w:t>1.制定相关的财务指标，财政部门有一定的基础，但要掌握各类业务指标难度较大，同时，专业的绩效评价人才非常缺乏，要设置科学规范与合理的绩效评价指标显得力不从心，在一定程度上影响绩效评价工作的权威性和公信力。</w:t>
        <w:br/>
        <w:t xml:space="preserve">   2. 本项目建成后必将为医院带来不断进展的契机，通过规范建设后的门诊大楼，将使就医环境得到进一步的改善，基础设施完备，更加表达出医疗服务中的人性化关怀。</w:t>
      </w:r>
    </w:p>
    <w:p w14:paraId="391BFB0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七、有关建议</w:t>
      </w:r>
    </w:p>
    <w:p w14:paraId="017A5A3F"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随着市场经济的发展，人民物质文化生活水平的改善，生物—</w:t>
        <w:br/>
        <w:t>心理—社会医学模式的转换，人们健康观念的变化，人口老龄化的加快与独生子女的增加，以及医疗消费支付能力的提高，医疗服务的</w:t>
        <w:br/>
        <w:t xml:space="preserve">    多层次性日趋凸显和丰富，与此相适应，医疗市场的进一步开放，将有利于满足社会多层次医疗服务需求，并将在一定程度上带动相关产业的发展。综上所述，根据医疗市场需求的变化，合理地规划和建设医院满足现实需求，发现潜在需求，预测未来需求，为社会提供不同层次的医疗保健服务，已成为医疗卫生行业发展的重要任务。</w:t>
      </w:r>
    </w:p>
    <w:p w14:paraId="4DE4CB6C"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八、其他需要说明的问题</w:t>
      </w:r>
    </w:p>
    <w:p w14:paraId="5D5CD257"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1.项目支出政策和路径设计科学，符合实际需要；</w:t>
        <w:br/>
        <w:t>2.项目安排准确，未发现背离项目立项初衷的情况；</w:t>
        <w:br/>
        <w:t>3.项目的申报、审核机制完善；</w:t>
        <w:br/>
        <w:t>4.未发现虚假行为和骗取财政资金的问题。</w:t>
      </w:r>
    </w:p>
    <w:p w14:paraId="4CFE2C52" w14:textId="77777777" w:rsidR="000048AA" w:rsidRDefault="000048AA">
      <w:pPr>
        <w:spacing w:line="540" w:lineRule="exact"/>
        <w:ind w:firstLine="567"/>
        <w:rPr>
          <w:rStyle w:val="ad"/>
          <w:rFonts w:ascii="仿宋" w:eastAsia="仿宋" w:hAnsi="仿宋"/>
          <w:b w:val="0"/>
          <w:spacing w:val="-4"/>
          <w:sz w:val="32"/>
          <w:szCs w:val="32"/>
        </w:rPr>
      </w:pPr>
    </w:p>
    <w:p w14:paraId="4DF72206" w14:textId="77777777" w:rsidR="000048AA" w:rsidRDefault="000048AA">
      <w:pPr>
        <w:spacing w:line="540" w:lineRule="exact"/>
        <w:ind w:firstLine="567"/>
        <w:rPr>
          <w:rStyle w:val="ad"/>
          <w:rFonts w:ascii="仿宋" w:eastAsia="仿宋" w:hAnsi="仿宋"/>
          <w:b w:val="0"/>
          <w:spacing w:val="-4"/>
          <w:sz w:val="32"/>
          <w:szCs w:val="32"/>
        </w:rPr>
      </w:pPr>
    </w:p>
    <w:p w14:paraId="1CE13106" w14:textId="77777777" w:rsidR="000048AA" w:rsidRDefault="000048AA">
      <w:pPr>
        <w:spacing w:line="540" w:lineRule="exact"/>
        <w:ind w:firstLine="567"/>
        <w:rPr>
          <w:rStyle w:val="ad"/>
          <w:rFonts w:ascii="仿宋" w:eastAsia="仿宋" w:hAnsi="仿宋"/>
          <w:b w:val="0"/>
          <w:spacing w:val="-4"/>
          <w:sz w:val="32"/>
          <w:szCs w:val="32"/>
        </w:rPr>
      </w:pPr>
    </w:p>
    <w:p w14:paraId="06227BCA" w14:textId="77777777" w:rsidR="000048AA" w:rsidRDefault="000048AA">
      <w:pPr>
        <w:spacing w:line="540" w:lineRule="exact"/>
        <w:ind w:firstLine="567"/>
        <w:rPr>
          <w:rStyle w:val="ad"/>
          <w:rFonts w:ascii="仿宋" w:eastAsia="仿宋" w:hAnsi="仿宋"/>
          <w:b w:val="0"/>
          <w:spacing w:val="-4"/>
          <w:sz w:val="32"/>
          <w:szCs w:val="32"/>
        </w:rPr>
      </w:pPr>
    </w:p>
    <w:p w14:paraId="73F3A83B" w14:textId="77777777" w:rsidR="000048AA" w:rsidRDefault="000048AA">
      <w:pPr>
        <w:spacing w:line="540" w:lineRule="exact"/>
        <w:ind w:firstLine="567"/>
        <w:rPr>
          <w:rStyle w:val="ad"/>
          <w:rFonts w:ascii="仿宋" w:eastAsia="仿宋" w:hAnsi="仿宋"/>
          <w:b w:val="0"/>
          <w:spacing w:val="-4"/>
          <w:sz w:val="32"/>
          <w:szCs w:val="32"/>
        </w:rPr>
      </w:pPr>
    </w:p>
    <w:sectPr w:rsidR="000048AA">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25AE4" w14:textId="77777777" w:rsidR="007E3CE9" w:rsidRDefault="007E3CE9">
      <w:r>
        <w:separator/>
      </w:r>
    </w:p>
  </w:endnote>
  <w:endnote w:type="continuationSeparator" w:id="0">
    <w:p w14:paraId="59380656" w14:textId="77777777" w:rsidR="007E3CE9" w:rsidRDefault="007E3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Content>
      <w:p w14:paraId="24F5BCB1" w14:textId="77777777" w:rsidR="000048AA" w:rsidRDefault="00000000">
        <w:pPr>
          <w:pStyle w:val="a5"/>
          <w:jc w:val="center"/>
        </w:pPr>
        <w:r>
          <w:fldChar w:fldCharType="begin"/>
        </w:r>
        <w:r>
          <w:instrText>PAGE   \* MERGEFORMAT</w:instrText>
        </w:r>
        <w:r>
          <w:fldChar w:fldCharType="separate"/>
        </w:r>
        <w:r>
          <w:rPr>
            <w:lang w:val="zh-CN"/>
          </w:rPr>
          <w:t>1</w:t>
        </w:r>
        <w:r>
          <w:fldChar w:fldCharType="end"/>
        </w:r>
      </w:p>
    </w:sdtContent>
  </w:sdt>
  <w:p w14:paraId="0254A9D2" w14:textId="77777777" w:rsidR="000048AA" w:rsidRDefault="000048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F53E9" w14:textId="77777777" w:rsidR="007E3CE9" w:rsidRDefault="007E3CE9">
      <w:r>
        <w:separator/>
      </w:r>
    </w:p>
  </w:footnote>
  <w:footnote w:type="continuationSeparator" w:id="0">
    <w:p w14:paraId="41CD73F2" w14:textId="77777777" w:rsidR="007E3CE9" w:rsidRDefault="007E3C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7E3CE9"/>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F5C16"/>
  <w15:docId w15:val="{0489C6AD-E05D-4182-89B3-2ACE87322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102</Words>
  <Characters>588</Characters>
  <Application>Microsoft Office Word</Application>
  <DocSecurity>0</DocSecurity>
  <Lines>4</Lines>
  <Paragraphs>1</Paragraphs>
  <ScaleCrop>false</ScaleCrop>
  <Company/>
  <LinksUpToDate>false</LinksUpToDate>
  <CharactersWithSpaces>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Lenovo</cp:lastModifiedBy>
  <cp:lastPrinted>2018-12-31T10:56:00Z</cp:lastPrinted>
  <dcterms:modified xsi:type="dcterms:W3CDTF">2023-04-03T04:48:00Z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