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autoSpaceDE w:val="0"/>
        <w:autoSpaceDN w:val="0"/>
        <w:adjustRightInd w:val="0"/>
        <w:spacing w:before="240" w:after="240"/>
        <w:jc w:val="center"/>
        <w:rPr>
          <w:rFonts w:hint="default" w:ascii="Times New Roman"/>
          <w:kern w:val="36"/>
          <w:sz w:val="40"/>
          <w:szCs w:val="40"/>
          <w:lang w:val="zh-CN"/>
        </w:rPr>
      </w:pPr>
    </w:p>
    <w:p>
      <w:pPr>
        <w:shd w:val="clear" w:color="auto" w:fill="FFFFFF"/>
        <w:autoSpaceDE w:val="0"/>
        <w:autoSpaceDN w:val="0"/>
        <w:adjustRightInd w:val="0"/>
        <w:spacing w:before="240" w:after="240"/>
        <w:jc w:val="center"/>
        <w:rPr>
          <w:rFonts w:hint="default" w:ascii="Times New Roman"/>
          <w:kern w:val="36"/>
          <w:sz w:val="40"/>
          <w:szCs w:val="40"/>
          <w:lang w:val="zh-CN"/>
        </w:rPr>
      </w:pPr>
    </w:p>
    <w:p>
      <w:pPr>
        <w:autoSpaceDE w:val="0"/>
        <w:autoSpaceDN w:val="0"/>
        <w:adjustRightInd w:val="0"/>
        <w:jc w:val="center"/>
        <w:outlineLvl w:val="0"/>
        <w:rPr>
          <w:rFonts w:hint="default" w:ascii="方正小标宋_GBK" w:hAnsi="Times New Roman" w:eastAsia="方正小标宋_GBK" w:cs="方正小标宋_GBK"/>
          <w:sz w:val="44"/>
          <w:szCs w:val="44"/>
        </w:rPr>
      </w:pPr>
      <w:r>
        <w:rPr>
          <w:rFonts w:ascii="方正小标宋_GBK" w:hAnsi="Times New Roman" w:eastAsia="方正小标宋_GBK" w:cs="方正小标宋_GBK"/>
          <w:sz w:val="44"/>
          <w:szCs w:val="44"/>
        </w:rPr>
        <w:t>乌鲁木齐市米东区人民医院</w:t>
      </w:r>
    </w:p>
    <w:p>
      <w:pPr>
        <w:autoSpaceDE w:val="0"/>
        <w:autoSpaceDN w:val="0"/>
        <w:adjustRightInd w:val="0"/>
        <w:jc w:val="center"/>
        <w:rPr>
          <w:rFonts w:hint="default" w:ascii="Times New Roman" w:hAnsi="Times New Roman" w:eastAsia="方正小标宋_GBK"/>
          <w:kern w:val="36"/>
          <w:sz w:val="40"/>
          <w:szCs w:val="40"/>
          <w:lang w:val="zh-CN"/>
        </w:rPr>
      </w:pPr>
      <w:r>
        <w:rPr>
          <w:rFonts w:ascii="方正小标宋_GBK" w:hAnsi="Times New Roman" w:eastAsia="方正小标宋_GBK" w:cs="方正小标宋_GBK"/>
          <w:sz w:val="44"/>
          <w:szCs w:val="44"/>
        </w:rPr>
        <w:t>2022年度部门决算公开说明</w:t>
      </w:r>
    </w:p>
    <w:p>
      <w:pPr>
        <w:shd w:val="clear" w:color="auto" w:fill="FFFFFF"/>
        <w:autoSpaceDE w:val="0"/>
        <w:autoSpaceDN w:val="0"/>
        <w:adjustRightInd w:val="0"/>
        <w:spacing w:before="240" w:after="240"/>
        <w:jc w:val="center"/>
        <w:rPr>
          <w:rFonts w:hint="default" w:ascii="Times New Roman" w:hAnsi="Times New Roman" w:eastAsia="宋体"/>
          <w:kern w:val="36"/>
          <w:sz w:val="40"/>
          <w:szCs w:val="40"/>
          <w:lang w:val="zh-CN"/>
        </w:rPr>
      </w:pPr>
    </w:p>
    <w:p>
      <w:pPr>
        <w:autoSpaceDE w:val="0"/>
        <w:autoSpaceDN w:val="0"/>
        <w:adjustRightInd w:val="0"/>
        <w:spacing w:line="540" w:lineRule="exact"/>
        <w:jc w:val="center"/>
        <w:rPr>
          <w:rFonts w:hint="default" w:ascii="Times New Roman" w:hAnsi="Times New Roman" w:eastAsia="仿宋_GB2312"/>
          <w:b/>
          <w:kern w:val="0"/>
          <w:sz w:val="24"/>
          <w:szCs w:val="24"/>
        </w:rPr>
      </w:pPr>
      <w:r>
        <w:rPr>
          <w:rFonts w:hint="default" w:ascii="Times New Roman" w:hAnsi="Times New Roman" w:eastAsia="宋体"/>
          <w:b/>
          <w:kern w:val="36"/>
          <w:sz w:val="36"/>
          <w:szCs w:val="36"/>
        </w:rPr>
        <w:br w:type="page"/>
      </w:r>
      <w:r>
        <w:rPr>
          <w:rFonts w:ascii="仿宋_GB2312" w:hAnsi="Times New Roman" w:eastAsia="仿宋_GB2312" w:cs="仿宋_GB2312"/>
          <w:b/>
          <w:kern w:val="0"/>
          <w:sz w:val="36"/>
          <w:szCs w:val="36"/>
        </w:rPr>
        <w:t>目  录</w:t>
      </w:r>
    </w:p>
    <w:p>
      <w:pPr>
        <w:autoSpaceDE w:val="0"/>
        <w:autoSpaceDN w:val="0"/>
        <w:adjustRightInd w:val="0"/>
        <w:spacing w:line="540" w:lineRule="exact"/>
        <w:outlineLvl w:val="0"/>
        <w:rPr>
          <w:rFonts w:hint="default" w:ascii="Times New Roman" w:hAnsi="Times New Roman" w:eastAsia="仿宋_GB2312"/>
          <w:kern w:val="0"/>
          <w:sz w:val="32"/>
          <w:szCs w:val="32"/>
        </w:rPr>
      </w:pPr>
      <w:r>
        <w:rPr>
          <w:rFonts w:ascii="仿宋_GB2312" w:hAnsi="Times New Roman" w:eastAsia="仿宋_GB2312" w:cs="仿宋_GB2312"/>
          <w:b/>
          <w:kern w:val="0"/>
          <w:sz w:val="32"/>
          <w:szCs w:val="32"/>
        </w:rPr>
        <w:t>第一部分 单位概况</w:t>
      </w:r>
    </w:p>
    <w:p>
      <w:pPr>
        <w:autoSpaceDE w:val="0"/>
        <w:autoSpaceDN w:val="0"/>
        <w:adjustRightInd w:val="0"/>
        <w:spacing w:line="540" w:lineRule="exact"/>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一、主要职能</w:t>
      </w:r>
    </w:p>
    <w:p>
      <w:pPr>
        <w:autoSpaceDE w:val="0"/>
        <w:autoSpaceDN w:val="0"/>
        <w:adjustRightInd w:val="0"/>
        <w:spacing w:line="540" w:lineRule="exact"/>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二、</w:t>
      </w:r>
      <w:r>
        <w:rPr>
          <w:rFonts w:ascii="仿宋_GB2312" w:hAnsi="Times New Roman" w:eastAsia="仿宋_GB2312" w:cs="仿宋_GB2312"/>
          <w:sz w:val="32"/>
          <w:szCs w:val="32"/>
        </w:rPr>
        <w:t>机构设置及人员情况</w:t>
      </w:r>
    </w:p>
    <w:p>
      <w:pPr>
        <w:autoSpaceDE w:val="0"/>
        <w:autoSpaceDN w:val="0"/>
        <w:adjustRightInd w:val="0"/>
        <w:spacing w:line="540" w:lineRule="exact"/>
        <w:outlineLvl w:val="0"/>
        <w:rPr>
          <w:rFonts w:hint="default" w:ascii="Times New Roman" w:hAnsi="Times New Roman" w:eastAsia="仿宋_GB2312"/>
          <w:kern w:val="0"/>
          <w:sz w:val="32"/>
          <w:szCs w:val="32"/>
        </w:rPr>
      </w:pPr>
      <w:r>
        <w:rPr>
          <w:rFonts w:ascii="仿宋_GB2312" w:hAnsi="Times New Roman" w:eastAsia="仿宋_GB2312" w:cs="仿宋_GB2312"/>
          <w:b/>
          <w:kern w:val="0"/>
          <w:sz w:val="32"/>
          <w:szCs w:val="32"/>
        </w:rPr>
        <w:t>第二部分 部门决算情况说明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一、收入支出决算总体情况说明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二、收入决算情况说明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三、支出决算情况说明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四、财政拨款收入支出决算总体情况说明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五、一般公共预算财政拨款支出决算情况说明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六、一般公共预算财政拨款基本支出决算情况说明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七、财政拨款</w:t>
      </w:r>
      <w:r>
        <w:rPr>
          <w:rFonts w:hint="default" w:ascii="Times New Roman" w:hAnsi="Times New Roman" w:eastAsia="仿宋_GB2312" w:cs="仿宋_GB2312"/>
          <w:sz w:val="32"/>
          <w:szCs w:val="32"/>
        </w:rPr>
        <w:t>“</w:t>
      </w:r>
      <w:r>
        <w:rPr>
          <w:rFonts w:ascii="仿宋_GB2312" w:hAnsi="Times New Roman" w:eastAsia="仿宋_GB2312" w:cs="仿宋_GB2312"/>
          <w:sz w:val="32"/>
          <w:szCs w:val="32"/>
        </w:rPr>
        <w:t>三公</w:t>
      </w:r>
      <w:r>
        <w:rPr>
          <w:rFonts w:hint="default" w:ascii="Times New Roman" w:hAnsi="Times New Roman" w:eastAsia="仿宋_GB2312" w:cs="仿宋_GB2312"/>
          <w:sz w:val="32"/>
          <w:szCs w:val="32"/>
        </w:rPr>
        <w:t>”</w:t>
      </w:r>
      <w:r>
        <w:rPr>
          <w:rFonts w:ascii="仿宋_GB2312" w:hAnsi="Times New Roman" w:eastAsia="仿宋_GB2312" w:cs="仿宋_GB2312"/>
          <w:sz w:val="32"/>
          <w:szCs w:val="32"/>
        </w:rPr>
        <w:t>经费支出决算情况说明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八、政府性基金预算</w:t>
      </w:r>
      <w:r>
        <w:rPr>
          <w:rFonts w:ascii="仿宋_GB2312" w:hAnsi="Times New Roman" w:eastAsia="仿宋_GB2312" w:cs="仿宋_GB2312"/>
          <w:sz w:val="32"/>
          <w:szCs w:val="32"/>
          <w:lang w:val="zh-CN"/>
        </w:rPr>
        <w:t>财政拨款</w:t>
      </w:r>
      <w:r>
        <w:rPr>
          <w:rFonts w:ascii="仿宋_GB2312" w:hAnsi="Times New Roman" w:eastAsia="仿宋_GB2312" w:cs="仿宋_GB2312"/>
          <w:sz w:val="32"/>
          <w:szCs w:val="32"/>
        </w:rPr>
        <w:t>收入支出决算情况说明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九、国有资本经营预算财政拨款收入支出决算情况说明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十、其他重要事项的情况说明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（一）机关运行经费支出情况</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（二）政府采购情况</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（三）国有资产占用情况说明</w:t>
      </w:r>
    </w:p>
    <w:p>
      <w:pPr>
        <w:autoSpaceDE w:val="0"/>
        <w:autoSpaceDN w:val="0"/>
        <w:adjustRightInd w:val="0"/>
        <w:spacing w:line="540" w:lineRule="exact"/>
        <w:outlineLvl w:val="1"/>
        <w:rPr>
          <w:rFonts w:hint="default" w:ascii="Times New Roman" w:hAnsi="Times New Roman" w:eastAsia="仿宋_GB2312"/>
          <w:sz w:val="32"/>
          <w:szCs w:val="32"/>
        </w:rPr>
      </w:pPr>
      <w:r>
        <w:rPr>
          <w:rFonts w:ascii="仿宋_GB2312" w:hAnsi="Times New Roman" w:eastAsia="仿宋_GB2312" w:cs="仿宋_GB2312"/>
          <w:sz w:val="32"/>
          <w:szCs w:val="32"/>
        </w:rPr>
        <w:t>十</w:t>
      </w:r>
      <w:r>
        <w:rPr>
          <w:rFonts w:ascii="仿宋_GB2312" w:hAnsi="Times New Roman" w:eastAsia="仿宋_GB2312" w:cs="仿宋_GB2312"/>
          <w:sz w:val="32"/>
          <w:szCs w:val="32"/>
          <w:lang w:val="zh-CN"/>
        </w:rPr>
        <w:t>一</w:t>
      </w:r>
      <w:r>
        <w:rPr>
          <w:rFonts w:ascii="仿宋_GB2312" w:hAnsi="Times New Roman" w:eastAsia="仿宋_GB2312" w:cs="仿宋_GB2312"/>
          <w:sz w:val="32"/>
          <w:szCs w:val="32"/>
        </w:rPr>
        <w:t>、预算绩效的情况说明</w:t>
      </w:r>
    </w:p>
    <w:p>
      <w:pPr>
        <w:autoSpaceDE w:val="0"/>
        <w:autoSpaceDN w:val="0"/>
        <w:adjustRightInd w:val="0"/>
        <w:spacing w:line="540" w:lineRule="exact"/>
        <w:rPr>
          <w:rFonts w:hint="default" w:ascii="Times New Roman" w:hAnsi="Times New Roman" w:eastAsia="仿宋_GB2312"/>
          <w:b/>
          <w:kern w:val="0"/>
          <w:sz w:val="32"/>
          <w:szCs w:val="32"/>
        </w:rPr>
      </w:pPr>
      <w:r>
        <w:rPr>
          <w:rFonts w:ascii="仿宋_GB2312" w:hAnsi="Times New Roman" w:eastAsia="仿宋_GB2312" w:cs="仿宋_GB2312"/>
          <w:b/>
          <w:kern w:val="0"/>
          <w:sz w:val="32"/>
          <w:szCs w:val="32"/>
        </w:rPr>
        <w:t>第三部分 专业名词解释</w:t>
      </w:r>
    </w:p>
    <w:p>
      <w:pPr>
        <w:autoSpaceDE w:val="0"/>
        <w:autoSpaceDN w:val="0"/>
        <w:adjustRightInd w:val="0"/>
        <w:spacing w:line="540" w:lineRule="exact"/>
        <w:rPr>
          <w:rFonts w:hint="default" w:ascii="Times New Roman" w:hAnsi="Times New Roman" w:eastAsia="仿宋_GB2312"/>
          <w:b/>
          <w:kern w:val="0"/>
          <w:sz w:val="32"/>
          <w:szCs w:val="32"/>
        </w:rPr>
      </w:pPr>
      <w:r>
        <w:rPr>
          <w:rFonts w:ascii="仿宋_GB2312" w:hAnsi="Times New Roman" w:eastAsia="仿宋_GB2312" w:cs="仿宋_GB2312"/>
          <w:b/>
          <w:kern w:val="0"/>
          <w:sz w:val="32"/>
          <w:szCs w:val="32"/>
        </w:rPr>
        <w:t>第四部分 部</w:t>
      </w:r>
      <w:r>
        <w:rPr>
          <w:rFonts w:ascii="仿宋_GB2312" w:hAnsi="Times New Roman" w:eastAsia="仿宋_GB2312" w:cs="仿宋_GB2312"/>
          <w:b/>
          <w:sz w:val="32"/>
          <w:szCs w:val="32"/>
        </w:rPr>
        <w:t>门决算报表（见附表）</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一、《收入支出决算总表》</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二、《收入决算表》</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三、《支出决算表》</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四、《财政拨款收入支出决算总表》</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五、《一般公共预算财政拨款支出决算表》</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六、《一般公共预算财政拨款基本支出决算表》</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七、《财政拨款</w:t>
      </w:r>
      <w:r>
        <w:rPr>
          <w:rFonts w:hint="default" w:ascii="Times New Roman" w:hAnsi="Times New Roman" w:eastAsia="仿宋_GB2312" w:cs="仿宋_GB2312"/>
          <w:sz w:val="32"/>
          <w:szCs w:val="32"/>
        </w:rPr>
        <w:t>“</w:t>
      </w:r>
      <w:r>
        <w:rPr>
          <w:rFonts w:ascii="仿宋_GB2312" w:hAnsi="Times New Roman" w:eastAsia="仿宋_GB2312" w:cs="仿宋_GB2312"/>
          <w:sz w:val="32"/>
          <w:szCs w:val="32"/>
        </w:rPr>
        <w:t>三公</w:t>
      </w:r>
      <w:r>
        <w:rPr>
          <w:rFonts w:hint="default" w:ascii="Times New Roman" w:hAnsi="Times New Roman" w:eastAsia="仿宋_GB2312" w:cs="仿宋_GB2312"/>
          <w:sz w:val="32"/>
          <w:szCs w:val="32"/>
        </w:rPr>
        <w:t>”</w:t>
      </w:r>
      <w:r>
        <w:rPr>
          <w:rFonts w:ascii="仿宋_GB2312" w:hAnsi="Times New Roman" w:eastAsia="仿宋_GB2312" w:cs="仿宋_GB2312"/>
          <w:sz w:val="32"/>
          <w:szCs w:val="32"/>
        </w:rPr>
        <w:t>经费支出决算表》</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八、《政府性基金预算财政拨款收入支出决算表》</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九、《国有资本经营预算财政拨款收入支出决算表》</w:t>
      </w:r>
    </w:p>
    <w:p>
      <w:pPr>
        <w:autoSpaceDE w:val="0"/>
        <w:autoSpaceDN w:val="0"/>
        <w:adjustRightInd w:val="0"/>
        <w:spacing w:line="540" w:lineRule="exact"/>
        <w:ind w:firstLine="640"/>
        <w:rPr>
          <w:rFonts w:hint="default" w:ascii="Times New Roman" w:hAnsi="Times New Roman" w:eastAsia="仿宋_GB2312"/>
          <w:b/>
          <w:kern w:val="0"/>
          <w:sz w:val="28"/>
          <w:szCs w:val="28"/>
        </w:rPr>
      </w:pPr>
    </w:p>
    <w:p>
      <w:pPr>
        <w:shd w:val="clear" w:color="auto" w:fill="FFFFFF"/>
        <w:autoSpaceDE w:val="0"/>
        <w:autoSpaceDN w:val="0"/>
        <w:adjustRightInd w:val="0"/>
        <w:spacing w:line="360" w:lineRule="auto"/>
        <w:jc w:val="center"/>
        <w:rPr>
          <w:rFonts w:hint="default" w:ascii="Times New Roman" w:hAnsi="Times New Roman" w:eastAsia="仿宋_GB2312"/>
          <w:kern w:val="0"/>
          <w:sz w:val="32"/>
          <w:szCs w:val="32"/>
        </w:rPr>
      </w:pPr>
    </w:p>
    <w:p>
      <w:pPr>
        <w:shd w:val="clear" w:color="auto" w:fill="FFFFFF"/>
        <w:autoSpaceDE w:val="0"/>
        <w:autoSpaceDN w:val="0"/>
        <w:adjustRightInd w:val="0"/>
        <w:spacing w:line="360" w:lineRule="auto"/>
        <w:jc w:val="center"/>
        <w:outlineLvl w:val="0"/>
        <w:rPr>
          <w:rFonts w:hint="default" w:eastAsia="黑体" w:cs="黑体"/>
          <w:kern w:val="0"/>
          <w:sz w:val="32"/>
          <w:szCs w:val="32"/>
          <w:rtl/>
          <w:lang w:val="ar-SA"/>
        </w:rPr>
      </w:pPr>
      <w:r>
        <w:rPr>
          <w:rFonts w:hint="default" w:ascii="Times New Roman" w:hAnsi="Times New Roman" w:eastAsia="仿宋_GB2312"/>
          <w:kern w:val="0"/>
          <w:sz w:val="32"/>
          <w:szCs w:val="32"/>
        </w:rPr>
        <w:br w:type="page"/>
      </w:r>
      <w:r>
        <w:rPr>
          <w:rFonts w:ascii="黑体" w:hAnsi="Times New Roman" w:eastAsia="黑体" w:cs="黑体"/>
          <w:kern w:val="0"/>
          <w:sz w:val="32"/>
          <w:szCs w:val="32"/>
        </w:rPr>
        <w:t>第一部分 单位概况</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ascii="黑体" w:hAnsi="Times New Roman" w:eastAsia="黑体" w:cs="黑体"/>
          <w:sz w:val="32"/>
          <w:szCs w:val="32"/>
          <w:lang w:val="zh-CN"/>
        </w:rPr>
        <w:t>一、主要职能(必写)</w:t>
      </w:r>
    </w:p>
    <w:p>
      <w:pPr>
        <w:shd w:val="clear" w:color="auto" w:fill="FFFFFF"/>
        <w:spacing w:line="360" w:lineRule="auto"/>
        <w:ind w:firstLine="640"/>
        <w:rPr>
          <w:rFonts w:hint="default" w:ascii="仿宋_GB2312" w:hAnsi="仿宋_GB2312" w:eastAsia="仿宋_GB2312"/>
          <w:kern w:val="0"/>
          <w:sz w:val="32"/>
          <w:szCs w:val="24"/>
        </w:rPr>
      </w:pPr>
      <w:r>
        <w:rPr>
          <w:rFonts w:ascii="仿宋_GB2312" w:hAnsi="仿宋_GB2312" w:eastAsia="仿宋_GB2312"/>
          <w:kern w:val="0"/>
          <w:sz w:val="32"/>
          <w:szCs w:val="24"/>
        </w:rPr>
        <w:t>1、为人民群众健康提供基本医疗、疾病预防、康复、计划免疫、妇幼保健及健康教育服务，为辖区居民承担社区卫生服务“六位一体”功能。</w:t>
      </w:r>
    </w:p>
    <w:p>
      <w:pPr>
        <w:autoSpaceDE w:val="0"/>
        <w:autoSpaceDN w:val="0"/>
        <w:adjustRightInd w:val="0"/>
        <w:spacing w:line="360" w:lineRule="auto"/>
        <w:ind w:firstLine="640" w:firstLineChars="200"/>
        <w:rPr>
          <w:rFonts w:hint="default" w:ascii="仿宋_GB2312" w:hAnsi="仿宋_GB2312" w:eastAsia="仿宋_GB2312"/>
          <w:kern w:val="0"/>
          <w:sz w:val="32"/>
          <w:szCs w:val="24"/>
        </w:rPr>
      </w:pPr>
      <w:r>
        <w:rPr>
          <w:rFonts w:ascii="仿宋_GB2312" w:hAnsi="仿宋_GB2312" w:eastAsia="仿宋_GB2312"/>
          <w:kern w:val="0"/>
          <w:sz w:val="32"/>
          <w:szCs w:val="24"/>
        </w:rPr>
        <w:t>2、受区卫生行政主管部门的委托，承担所在地区的公共卫生管理工作，对本区县辖区内村级卫生组织和乡村医生的业务指导和培训。</w:t>
      </w:r>
    </w:p>
    <w:p>
      <w:pPr>
        <w:autoSpaceDE w:val="0"/>
        <w:autoSpaceDN w:val="0"/>
        <w:adjustRightInd w:val="0"/>
        <w:spacing w:line="360" w:lineRule="auto"/>
        <w:ind w:firstLine="640" w:firstLineChars="200"/>
        <w:rPr>
          <w:rFonts w:hint="default" w:ascii="Times New Roman" w:hAnsi="Times New Roman" w:eastAsia="仿宋_GB2312"/>
          <w:sz w:val="32"/>
          <w:szCs w:val="32"/>
          <w:lang w:val="zh-CN"/>
        </w:rPr>
      </w:pPr>
      <w:r>
        <w:rPr>
          <w:rFonts w:ascii="仿宋_GB2312" w:hAnsi="Times New Roman" w:eastAsia="仿宋_GB2312" w:cs="仿宋_GB2312"/>
          <w:kern w:val="0"/>
          <w:sz w:val="32"/>
          <w:szCs w:val="32"/>
        </w:rPr>
        <w:t>3.对医务人员进行经常性的培训与考核，同时开展社区公共卫生服务工作及全民免费体检工作，群众突发公共卫生事件应急处置等工作，保障全区人民的健康。</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ascii="黑体" w:hAnsi="Times New Roman" w:eastAsia="黑体" w:cs="黑体"/>
          <w:sz w:val="32"/>
          <w:szCs w:val="32"/>
          <w:lang w:val="zh-CN"/>
        </w:rPr>
        <w:t>二、机构设置及人员情况</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乌鲁木齐市米东区人民医院2022年度，实有人数467人，其中：在职人员284人，离休人员0人，退休人员183人。</w:t>
      </w:r>
    </w:p>
    <w:p>
      <w:pPr>
        <w:shd w:val="clear" w:color="auto" w:fill="FFFFFF"/>
        <w:autoSpaceDE w:val="0"/>
        <w:autoSpaceDN w:val="0"/>
        <w:adjustRightInd w:val="0"/>
        <w:spacing w:line="360" w:lineRule="auto"/>
        <w:ind w:firstLine="640"/>
        <w:rPr>
          <w:rFonts w:hint="default" w:ascii="Times New Roman"/>
          <w:kern w:val="0"/>
          <w:sz w:val="24"/>
          <w:szCs w:val="24"/>
          <w:rtl/>
          <w:lang w:val="zh-CN" w:bidi="zh-CN"/>
        </w:rPr>
      </w:pPr>
      <w:r>
        <w:rPr>
          <w:rFonts w:ascii="仿宋_GB2312" w:hAnsi="Times New Roman" w:eastAsia="仿宋_GB2312" w:cs="仿宋_GB2312"/>
          <w:kern w:val="0"/>
          <w:sz w:val="32"/>
          <w:szCs w:val="32"/>
        </w:rPr>
        <w:t>从部门决算单位构成看，乌鲁木齐市米东区人民医院部门决算包括：乌鲁木齐市米东区人民医院</w:t>
      </w:r>
      <w:r>
        <w:rPr>
          <w:rFonts w:ascii="仿宋_GB2312" w:hAnsi="Times New Roman" w:eastAsia="仿宋_GB2312" w:cs="仿宋_GB2312"/>
          <w:kern w:val="0"/>
          <w:sz w:val="32"/>
          <w:szCs w:val="32"/>
          <w:lang w:val="zh-CN"/>
        </w:rPr>
        <w:t>决算。单位无下属预算单位，下设</w:t>
      </w:r>
      <w:r>
        <w:rPr>
          <w:rFonts w:ascii="仿宋_GB2312" w:hAnsi="Times New Roman" w:eastAsia="仿宋_GB2312" w:cs="仿宋_GB2312"/>
          <w:kern w:val="0"/>
          <w:sz w:val="32"/>
          <w:szCs w:val="32"/>
        </w:rPr>
        <w:t>24</w:t>
      </w:r>
      <w:r>
        <w:rPr>
          <w:rFonts w:ascii="仿宋_GB2312" w:hAnsi="Times New Roman" w:eastAsia="仿宋_GB2312" w:cs="仿宋_GB2312"/>
          <w:kern w:val="0"/>
          <w:sz w:val="32"/>
          <w:szCs w:val="32"/>
          <w:lang w:val="zh-CN"/>
        </w:rPr>
        <w:t>个科室，分别是</w:t>
      </w:r>
      <w:r>
        <w:rPr>
          <w:rFonts w:ascii="仿宋_GB2312" w:hAnsi="Times New Roman" w:eastAsia="仿宋_GB2312" w:cs="仿宋_GB2312"/>
          <w:kern w:val="0"/>
          <w:sz w:val="32"/>
          <w:szCs w:val="32"/>
          <w:highlight w:val="white"/>
          <w:lang w:val="zh-CN"/>
        </w:rPr>
        <w:t>：</w:t>
      </w:r>
      <w:r>
        <w:rPr>
          <w:rFonts w:ascii="仿宋_GB2312" w:hAnsi="Times New Roman" w:eastAsia="仿宋_GB2312"/>
          <w:kern w:val="0"/>
          <w:sz w:val="32"/>
          <w:szCs w:val="24"/>
        </w:rPr>
        <w:t>内分泌老年病科、呼吸与危重症医学科，消化肾病科、神经内科、心血管内科、普外科、肛肠科、骨伤科、泌尿外科、妇科、产科、儿科、中医科、康复中心、疼痛科、皮肤科、急诊科、眼科、耳鼻喉科、口腔科、检验科、放射科、超声科、健康管理体检中心</w:t>
      </w:r>
      <w:r>
        <w:rPr>
          <w:rFonts w:ascii="仿宋_GB2312" w:hAnsi="Times New Roman" w:eastAsia="仿宋_GB2312" w:cs="仿宋_GB2312"/>
          <w:kern w:val="0"/>
          <w:sz w:val="32"/>
          <w:szCs w:val="32"/>
          <w:highlight w:val="white"/>
          <w:lang w:val="zh-CN"/>
        </w:rPr>
        <w:t>。</w:t>
      </w:r>
    </w:p>
    <w:p>
      <w:pPr>
        <w:shd w:val="clear" w:color="auto" w:fill="FFFFFF"/>
        <w:autoSpaceDE w:val="0"/>
        <w:autoSpaceDN w:val="0"/>
        <w:adjustRightInd w:val="0"/>
        <w:spacing w:before="100" w:after="240"/>
        <w:jc w:val="center"/>
        <w:outlineLvl w:val="0"/>
        <w:rPr>
          <w:rFonts w:hint="default" w:ascii="Times New Roman"/>
          <w:kern w:val="0"/>
          <w:sz w:val="28"/>
          <w:szCs w:val="28"/>
          <w:rtl/>
          <w:lang w:val="ar-SA"/>
        </w:rPr>
      </w:pPr>
      <w:r>
        <w:rPr>
          <w:rFonts w:ascii="黑体" w:hAnsi="Times New Roman" w:eastAsia="黑体" w:cs="黑体"/>
          <w:kern w:val="0"/>
          <w:sz w:val="32"/>
          <w:szCs w:val="32"/>
        </w:rPr>
        <w:t>第二部分 部门决算情况说明</w:t>
      </w:r>
    </w:p>
    <w:p>
      <w:pPr>
        <w:autoSpaceDE w:val="0"/>
        <w:autoSpaceDN w:val="0"/>
        <w:adjustRightInd w:val="0"/>
        <w:spacing w:line="360" w:lineRule="auto"/>
        <w:ind w:firstLine="640"/>
        <w:outlineLvl w:val="1"/>
        <w:rPr>
          <w:rFonts w:hint="default" w:ascii="Times New Roman" w:hAnsi="Times New Roman" w:eastAsia="黑体"/>
          <w:sz w:val="32"/>
          <w:szCs w:val="32"/>
          <w:lang w:val="zh-CN"/>
        </w:rPr>
      </w:pPr>
      <w:r>
        <w:rPr>
          <w:rFonts w:ascii="黑体" w:hAnsi="Times New Roman" w:eastAsia="黑体" w:cs="黑体"/>
          <w:sz w:val="32"/>
          <w:szCs w:val="32"/>
          <w:lang w:val="zh-CN"/>
        </w:rPr>
        <w:t>一、收入支出决算总体情况说明</w:t>
      </w:r>
    </w:p>
    <w:p>
      <w:pPr>
        <w:shd w:val="clear" w:color="auto" w:fill="FFFFFF"/>
        <w:autoSpaceDE w:val="0"/>
        <w:autoSpaceDN w:val="0"/>
        <w:adjustRightInd w:val="0"/>
        <w:spacing w:line="360" w:lineRule="auto"/>
        <w:ind w:firstLine="640"/>
        <w:rPr>
          <w:rFonts w:hint="default" w:ascii="仿宋_GB2312" w:hAnsi="Times New Roman" w:eastAsia="仿宋_GB2312" w:cs="仿宋_GB2312"/>
          <w:kern w:val="0"/>
          <w:sz w:val="32"/>
          <w:szCs w:val="32"/>
        </w:rPr>
      </w:pPr>
      <w:r>
        <w:rPr>
          <w:rFonts w:ascii="仿宋_GB2312" w:hAnsi="Times New Roman" w:eastAsia="仿宋_GB2312" w:cs="仿宋_GB2312"/>
          <w:kern w:val="0"/>
          <w:sz w:val="32"/>
          <w:szCs w:val="32"/>
        </w:rPr>
        <w:t>2022年度收入</w:t>
      </w:r>
      <w:r>
        <w:rPr>
          <w:rFonts w:ascii="仿宋_GB2312" w:hAnsi="Times New Roman" w:eastAsia="仿宋_GB2312" w:cs="仿宋_GB2312"/>
          <w:sz w:val="32"/>
          <w:szCs w:val="32"/>
        </w:rPr>
        <w:t>总计</w:t>
      </w:r>
      <w:r>
        <w:rPr>
          <w:rFonts w:ascii="仿宋_GB2312" w:hAnsi="Times New Roman" w:eastAsia="仿宋_GB2312" w:cs="仿宋_GB2312"/>
          <w:kern w:val="0"/>
          <w:sz w:val="32"/>
          <w:szCs w:val="32"/>
        </w:rPr>
        <w:t>19,602.25万元，</w:t>
      </w:r>
      <w:r>
        <w:rPr>
          <w:rFonts w:ascii="仿宋_GB2312" w:hAnsi="Times New Roman" w:eastAsia="仿宋_GB2312" w:cs="仿宋_GB2312"/>
          <w:sz w:val="32"/>
          <w:szCs w:val="32"/>
        </w:rPr>
        <w:t>其中：本年收入合计</w:t>
      </w:r>
      <w:r>
        <w:rPr>
          <w:rFonts w:ascii="仿宋_GB2312" w:hAnsi="Times New Roman" w:eastAsia="仿宋_GB2312" w:cs="仿宋_GB2312"/>
          <w:kern w:val="0"/>
          <w:sz w:val="32"/>
          <w:szCs w:val="32"/>
        </w:rPr>
        <w:t>19,595.14</w:t>
      </w:r>
      <w:r>
        <w:rPr>
          <w:rFonts w:ascii="仿宋_GB2312" w:hAnsi="Times New Roman" w:eastAsia="仿宋_GB2312" w:cs="仿宋_GB2312"/>
          <w:sz w:val="32"/>
          <w:szCs w:val="32"/>
        </w:rPr>
        <w:t>万元，使用非财政拨款结余</w:t>
      </w:r>
      <w:r>
        <w:rPr>
          <w:rFonts w:ascii="仿宋_GB2312" w:hAnsi="Times New Roman" w:eastAsia="仿宋_GB2312" w:cs="仿宋_GB2312"/>
          <w:kern w:val="0"/>
          <w:sz w:val="32"/>
          <w:szCs w:val="32"/>
        </w:rPr>
        <w:t>0.00</w:t>
      </w:r>
      <w:r>
        <w:rPr>
          <w:rFonts w:ascii="仿宋_GB2312" w:hAnsi="Times New Roman" w:eastAsia="仿宋_GB2312" w:cs="仿宋_GB2312"/>
          <w:sz w:val="32"/>
          <w:szCs w:val="32"/>
        </w:rPr>
        <w:t>万元，年初结转和结余</w:t>
      </w:r>
      <w:r>
        <w:rPr>
          <w:rFonts w:ascii="仿宋_GB2312" w:hAnsi="Times New Roman" w:eastAsia="仿宋_GB2312" w:cs="仿宋_GB2312"/>
          <w:kern w:val="0"/>
          <w:sz w:val="32"/>
          <w:szCs w:val="32"/>
        </w:rPr>
        <w:t>7.11</w:t>
      </w:r>
      <w:r>
        <w:rPr>
          <w:rFonts w:ascii="仿宋_GB2312" w:hAnsi="Times New Roman" w:eastAsia="仿宋_GB2312" w:cs="仿宋_GB2312"/>
          <w:sz w:val="32"/>
          <w:szCs w:val="32"/>
        </w:rPr>
        <w:t>万元。收入总计</w:t>
      </w:r>
      <w:r>
        <w:rPr>
          <w:rFonts w:ascii="仿宋_GB2312" w:hAnsi="Times New Roman" w:eastAsia="仿宋_GB2312" w:cs="仿宋_GB2312"/>
          <w:kern w:val="0"/>
          <w:sz w:val="32"/>
          <w:szCs w:val="32"/>
        </w:rPr>
        <w:t>与上年相比，减少2,054.68万元，下降9.49%，主要原因是：就诊人次减少，事业收入减少；发热门诊、留观病区设备资金项目及科技三项费安排的人民医院</w:t>
      </w:r>
      <w:r>
        <w:rPr>
          <w:rFonts w:hint="default" w:ascii="仿宋_GB2312" w:hAnsi="Times New Roman" w:eastAsia="仿宋_GB2312" w:cs="仿宋_GB2312"/>
          <w:kern w:val="0"/>
          <w:sz w:val="32"/>
          <w:szCs w:val="32"/>
        </w:rPr>
        <w:t>PCR核酸检测实验室</w:t>
      </w:r>
      <w:r>
        <w:rPr>
          <w:rFonts w:ascii="仿宋_GB2312" w:hAnsi="Times New Roman" w:eastAsia="仿宋_GB2312" w:cs="仿宋_GB2312"/>
          <w:kern w:val="0"/>
          <w:sz w:val="32"/>
          <w:szCs w:val="32"/>
        </w:rPr>
        <w:t>项目减少，收入总计较上年减少。</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sz w:val="32"/>
          <w:szCs w:val="32"/>
        </w:rPr>
        <w:t>本年支出总计</w:t>
      </w:r>
      <w:r>
        <w:rPr>
          <w:rFonts w:ascii="仿宋_GB2312" w:hAnsi="Times New Roman" w:eastAsia="仿宋_GB2312" w:cs="仿宋_GB2312"/>
          <w:kern w:val="0"/>
          <w:sz w:val="32"/>
          <w:szCs w:val="32"/>
        </w:rPr>
        <w:t>19,602.25万元，</w:t>
      </w:r>
      <w:r>
        <w:rPr>
          <w:rFonts w:ascii="仿宋_GB2312" w:hAnsi="Times New Roman" w:eastAsia="仿宋_GB2312" w:cs="仿宋_GB2312"/>
          <w:sz w:val="32"/>
          <w:szCs w:val="32"/>
        </w:rPr>
        <w:t>其中：本年支出合计</w:t>
      </w:r>
      <w:r>
        <w:rPr>
          <w:rFonts w:ascii="仿宋_GB2312" w:hAnsi="Times New Roman" w:eastAsia="仿宋_GB2312" w:cs="仿宋_GB2312"/>
          <w:kern w:val="0"/>
          <w:sz w:val="32"/>
          <w:szCs w:val="32"/>
        </w:rPr>
        <w:t>19,592.60</w:t>
      </w:r>
      <w:r>
        <w:rPr>
          <w:rFonts w:ascii="仿宋_GB2312" w:hAnsi="Times New Roman" w:eastAsia="仿宋_GB2312" w:cs="仿宋_GB2312"/>
          <w:sz w:val="32"/>
          <w:szCs w:val="32"/>
        </w:rPr>
        <w:t>万元，结余分配</w:t>
      </w:r>
      <w:r>
        <w:rPr>
          <w:rFonts w:ascii="仿宋_GB2312" w:hAnsi="Times New Roman" w:eastAsia="仿宋_GB2312" w:cs="仿宋_GB2312"/>
          <w:kern w:val="0"/>
          <w:sz w:val="32"/>
          <w:szCs w:val="32"/>
        </w:rPr>
        <w:t>0.00</w:t>
      </w:r>
      <w:r>
        <w:rPr>
          <w:rFonts w:ascii="仿宋_GB2312" w:hAnsi="Times New Roman" w:eastAsia="仿宋_GB2312" w:cs="仿宋_GB2312"/>
          <w:sz w:val="32"/>
          <w:szCs w:val="32"/>
        </w:rPr>
        <w:t>万元，年末结转和结余</w:t>
      </w:r>
      <w:r>
        <w:rPr>
          <w:rFonts w:ascii="仿宋_GB2312" w:hAnsi="Times New Roman" w:eastAsia="仿宋_GB2312" w:cs="仿宋_GB2312"/>
          <w:kern w:val="0"/>
          <w:sz w:val="32"/>
          <w:szCs w:val="32"/>
        </w:rPr>
        <w:t>9.65</w:t>
      </w:r>
      <w:r>
        <w:rPr>
          <w:rFonts w:ascii="仿宋_GB2312" w:hAnsi="Times New Roman" w:eastAsia="仿宋_GB2312" w:cs="仿宋_GB2312"/>
          <w:sz w:val="32"/>
          <w:szCs w:val="32"/>
        </w:rPr>
        <w:t>万元。支出总计</w:t>
      </w:r>
      <w:r>
        <w:rPr>
          <w:rFonts w:ascii="仿宋_GB2312" w:hAnsi="Times New Roman" w:eastAsia="仿宋_GB2312" w:cs="仿宋_GB2312"/>
          <w:kern w:val="0"/>
          <w:sz w:val="32"/>
          <w:szCs w:val="32"/>
        </w:rPr>
        <w:t>与上年相比，减少2,054.68万元，下降9.49%，主要原因是：</w:t>
      </w:r>
      <w:r>
        <w:rPr>
          <w:rFonts w:ascii="仿宋_GB2312" w:hAnsi="Times New Roman" w:eastAsia="仿宋_GB2312"/>
          <w:kern w:val="0"/>
          <w:sz w:val="32"/>
          <w:szCs w:val="24"/>
        </w:rPr>
        <w:t>就诊人次减少，药品费材料费等支出相应减少，</w:t>
      </w:r>
      <w:r>
        <w:rPr>
          <w:rFonts w:ascii="仿宋_GB2312" w:hAnsi="Times New Roman" w:eastAsia="仿宋_GB2312" w:cs="仿宋_GB2312"/>
          <w:kern w:val="0"/>
          <w:sz w:val="32"/>
          <w:szCs w:val="32"/>
        </w:rPr>
        <w:t>发热门诊、留观病区设备资金项目及科技三项费安排的人民医院</w:t>
      </w:r>
      <w:r>
        <w:rPr>
          <w:rFonts w:hint="default" w:ascii="仿宋_GB2312" w:hAnsi="Times New Roman" w:eastAsia="仿宋_GB2312" w:cs="仿宋_GB2312"/>
          <w:kern w:val="0"/>
          <w:sz w:val="32"/>
          <w:szCs w:val="32"/>
        </w:rPr>
        <w:t>PCR核酸检测实验室</w:t>
      </w:r>
      <w:r>
        <w:rPr>
          <w:rFonts w:ascii="仿宋_GB2312" w:hAnsi="Times New Roman" w:eastAsia="仿宋_GB2312" w:cs="仿宋_GB2312"/>
          <w:kern w:val="0"/>
          <w:sz w:val="32"/>
          <w:szCs w:val="32"/>
        </w:rPr>
        <w:t>项目支出减少，</w:t>
      </w:r>
      <w:r>
        <w:rPr>
          <w:rFonts w:ascii="仿宋_GB2312" w:hAnsi="Times New Roman" w:eastAsia="仿宋_GB2312"/>
          <w:kern w:val="0"/>
          <w:sz w:val="32"/>
          <w:szCs w:val="24"/>
        </w:rPr>
        <w:t>支出总计较上年减少</w:t>
      </w:r>
      <w:r>
        <w:rPr>
          <w:rFonts w:ascii="仿宋_GB2312" w:hAnsi="Times New Roman" w:eastAsia="仿宋_GB2312" w:cs="仿宋_GB2312"/>
          <w:kern w:val="0"/>
          <w:sz w:val="32"/>
          <w:szCs w:val="32"/>
        </w:rPr>
        <w:t>。</w:t>
      </w:r>
    </w:p>
    <w:p>
      <w:pPr>
        <w:autoSpaceDE w:val="0"/>
        <w:autoSpaceDN w:val="0"/>
        <w:adjustRightInd w:val="0"/>
        <w:spacing w:line="360" w:lineRule="auto"/>
        <w:ind w:firstLine="640"/>
        <w:outlineLvl w:val="1"/>
        <w:rPr>
          <w:rFonts w:hint="default" w:ascii="Times New Roman" w:hAnsi="Times New Roman" w:eastAsia="黑体"/>
          <w:sz w:val="32"/>
          <w:szCs w:val="32"/>
        </w:rPr>
      </w:pPr>
      <w:r>
        <w:rPr>
          <w:rFonts w:ascii="黑体" w:hAnsi="Times New Roman" w:eastAsia="黑体" w:cs="黑体"/>
          <w:sz w:val="32"/>
          <w:szCs w:val="32"/>
          <w:lang w:val="zh-CN"/>
        </w:rPr>
        <w:t>二、收入决算情况说明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2022年度本年收入19,595.14万元，其中：财政拨款收入2,920.09万元，占14.90%；上级补助收入0.00万元，占0.00%；事业收入16,111.53万元，占82.22%；经营收入0.00万元，占0.00%；附属单位上缴收入0.00万元，占0.00%；其他收入563.52万元，占2.88%。</w:t>
      </w:r>
    </w:p>
    <w:p>
      <w:pPr>
        <w:autoSpaceDE w:val="0"/>
        <w:autoSpaceDN w:val="0"/>
        <w:adjustRightInd w:val="0"/>
        <w:spacing w:line="360" w:lineRule="auto"/>
        <w:ind w:firstLine="640"/>
        <w:outlineLvl w:val="1"/>
        <w:rPr>
          <w:rFonts w:hint="default" w:ascii="Times New Roman" w:hAnsi="Times New Roman" w:eastAsia="黑体"/>
          <w:sz w:val="32"/>
          <w:szCs w:val="32"/>
        </w:rPr>
      </w:pPr>
      <w:r>
        <w:rPr>
          <w:rFonts w:ascii="黑体" w:hAnsi="Times New Roman" w:eastAsia="黑体" w:cs="黑体"/>
          <w:sz w:val="32"/>
          <w:szCs w:val="32"/>
          <w:lang w:val="zh-CN"/>
        </w:rPr>
        <w:t>三、支出决算情况说明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2022年度本年支出19,592.60万元，其中：基本支出17,977.65万元，占91.76%；项目支出1,614.95万元，占8.24%；上缴上级支出0.00万元，占0.00%；经营支出0.00万元，占0.00%；对附属单位补助支出0.00万元，占0.00%。</w:t>
      </w:r>
    </w:p>
    <w:p>
      <w:pPr>
        <w:autoSpaceDE w:val="0"/>
        <w:autoSpaceDN w:val="0"/>
        <w:adjustRightInd w:val="0"/>
        <w:spacing w:line="360" w:lineRule="auto"/>
        <w:ind w:firstLine="640"/>
        <w:outlineLvl w:val="1"/>
        <w:rPr>
          <w:rFonts w:hint="default" w:ascii="Times New Roman" w:hAnsi="Times New Roman" w:eastAsia="黑体"/>
          <w:sz w:val="32"/>
          <w:szCs w:val="32"/>
          <w:lang w:val="zh-CN"/>
        </w:rPr>
      </w:pPr>
      <w:r>
        <w:rPr>
          <w:rFonts w:ascii="黑体" w:hAnsi="Times New Roman" w:eastAsia="黑体" w:cs="黑体"/>
          <w:sz w:val="32"/>
          <w:szCs w:val="32"/>
          <w:lang w:val="zh-CN"/>
        </w:rPr>
        <w:t>四、财政拨款收入支出决算总体情况说明</w:t>
      </w:r>
    </w:p>
    <w:p>
      <w:pPr>
        <w:shd w:val="clear" w:color="auto" w:fill="FFFFFF"/>
        <w:autoSpaceDE w:val="0"/>
        <w:autoSpaceDN w:val="0"/>
        <w:adjustRightInd w:val="0"/>
        <w:spacing w:line="360" w:lineRule="auto"/>
        <w:ind w:firstLine="640"/>
        <w:rPr>
          <w:rFonts w:hint="default" w:ascii="仿宋_GB2312" w:hAnsi="Times New Roman" w:eastAsia="仿宋_GB2312" w:cs="仿宋_GB2312"/>
          <w:kern w:val="0"/>
          <w:sz w:val="32"/>
          <w:szCs w:val="32"/>
        </w:rPr>
      </w:pPr>
      <w:r>
        <w:rPr>
          <w:rFonts w:ascii="仿宋_GB2312" w:hAnsi="Times New Roman" w:eastAsia="仿宋_GB2312" w:cs="仿宋_GB2312"/>
          <w:kern w:val="0"/>
          <w:sz w:val="32"/>
          <w:szCs w:val="32"/>
        </w:rPr>
        <w:t>2022年度财政拨款收入</w:t>
      </w:r>
      <w:r>
        <w:rPr>
          <w:rFonts w:ascii="仿宋_GB2312" w:hAnsi="Times New Roman" w:eastAsia="仿宋_GB2312" w:cs="仿宋_GB2312"/>
          <w:sz w:val="32"/>
          <w:szCs w:val="32"/>
        </w:rPr>
        <w:t>总计</w:t>
      </w:r>
      <w:r>
        <w:rPr>
          <w:rFonts w:ascii="仿宋_GB2312" w:hAnsi="Times New Roman" w:eastAsia="仿宋_GB2312" w:cs="仿宋_GB2312"/>
          <w:kern w:val="0"/>
          <w:sz w:val="32"/>
          <w:szCs w:val="32"/>
        </w:rPr>
        <w:t>2,920.09万元，</w:t>
      </w:r>
      <w:r>
        <w:rPr>
          <w:rFonts w:ascii="仿宋_GB2312" w:hAnsi="Times New Roman" w:eastAsia="仿宋_GB2312" w:cs="仿宋_GB2312"/>
          <w:sz w:val="32"/>
          <w:szCs w:val="32"/>
        </w:rPr>
        <w:t>其中：年初财政拨款结转和结余</w:t>
      </w:r>
      <w:r>
        <w:rPr>
          <w:rFonts w:ascii="仿宋_GB2312" w:hAnsi="Times New Roman" w:eastAsia="仿宋_GB2312" w:cs="仿宋_GB2312"/>
          <w:kern w:val="0"/>
          <w:sz w:val="32"/>
          <w:szCs w:val="32"/>
        </w:rPr>
        <w:t>0.00</w:t>
      </w:r>
      <w:r>
        <w:rPr>
          <w:rFonts w:ascii="仿宋_GB2312" w:hAnsi="Times New Roman" w:eastAsia="仿宋_GB2312" w:cs="仿宋_GB2312"/>
          <w:sz w:val="32"/>
          <w:szCs w:val="32"/>
        </w:rPr>
        <w:t>万元，财政拨款本年收入</w:t>
      </w:r>
      <w:r>
        <w:rPr>
          <w:rFonts w:ascii="仿宋_GB2312" w:hAnsi="Times New Roman" w:eastAsia="仿宋_GB2312" w:cs="仿宋_GB2312"/>
          <w:kern w:val="0"/>
          <w:sz w:val="32"/>
          <w:szCs w:val="32"/>
        </w:rPr>
        <w:t>2,920.09</w:t>
      </w:r>
      <w:r>
        <w:rPr>
          <w:rFonts w:ascii="仿宋_GB2312" w:hAnsi="Times New Roman" w:eastAsia="仿宋_GB2312" w:cs="仿宋_GB2312"/>
          <w:sz w:val="32"/>
          <w:szCs w:val="32"/>
        </w:rPr>
        <w:t>万元。财政拨款收入总计</w:t>
      </w:r>
      <w:r>
        <w:rPr>
          <w:rFonts w:ascii="仿宋_GB2312" w:hAnsi="Times New Roman" w:eastAsia="仿宋_GB2312" w:cs="仿宋_GB2312"/>
          <w:kern w:val="0"/>
          <w:sz w:val="32"/>
          <w:szCs w:val="32"/>
        </w:rPr>
        <w:t>与上年相比，增加581.92万元，增长24.89%，主要原因是：</w:t>
      </w:r>
      <w:r>
        <w:rPr>
          <w:rFonts w:ascii="仿宋_GB2312" w:hAnsi="Times New Roman" w:eastAsia="仿宋_GB2312"/>
          <w:kern w:val="0"/>
          <w:sz w:val="32"/>
          <w:szCs w:val="24"/>
        </w:rPr>
        <w:t>调资、增资及新增在编人员所致人员经费增加</w:t>
      </w:r>
      <w:r>
        <w:rPr>
          <w:rFonts w:hint="eastAsia" w:ascii="仿宋_GB2312" w:hAnsi="Times New Roman" w:eastAsia="仿宋_GB2312"/>
          <w:kern w:val="0"/>
          <w:sz w:val="32"/>
          <w:szCs w:val="24"/>
          <w:lang w:val="en-US" w:eastAsia="zh-CN"/>
        </w:rPr>
        <w:t>，</w:t>
      </w:r>
      <w:r>
        <w:rPr>
          <w:rFonts w:ascii="仿宋_GB2312" w:hAnsi="Times New Roman" w:eastAsia="仿宋_GB2312"/>
          <w:kern w:val="0"/>
          <w:sz w:val="32"/>
          <w:szCs w:val="24"/>
        </w:rPr>
        <w:t>收入总计较上年增加</w:t>
      </w:r>
      <w:r>
        <w:rPr>
          <w:rFonts w:ascii="仿宋_GB2312" w:hAnsi="Times New Roman" w:eastAsia="仿宋_GB2312" w:cs="仿宋_GB2312"/>
          <w:kern w:val="0"/>
          <w:sz w:val="32"/>
          <w:szCs w:val="32"/>
        </w:rPr>
        <w:t>。</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财政拨款支出</w:t>
      </w:r>
      <w:r>
        <w:rPr>
          <w:rFonts w:ascii="仿宋_GB2312" w:hAnsi="Times New Roman" w:eastAsia="仿宋_GB2312" w:cs="仿宋_GB2312"/>
          <w:sz w:val="32"/>
          <w:szCs w:val="32"/>
        </w:rPr>
        <w:t>总计</w:t>
      </w:r>
      <w:r>
        <w:rPr>
          <w:rFonts w:ascii="仿宋_GB2312" w:hAnsi="Times New Roman" w:eastAsia="仿宋_GB2312" w:cs="仿宋_GB2312"/>
          <w:kern w:val="0"/>
          <w:sz w:val="32"/>
          <w:szCs w:val="32"/>
        </w:rPr>
        <w:t>2,920.09万元，</w:t>
      </w:r>
      <w:r>
        <w:rPr>
          <w:rFonts w:ascii="仿宋_GB2312" w:hAnsi="Times New Roman" w:eastAsia="仿宋_GB2312" w:cs="仿宋_GB2312"/>
          <w:sz w:val="32"/>
          <w:szCs w:val="32"/>
        </w:rPr>
        <w:t>其中：年末财政拨款结转和结余</w:t>
      </w:r>
      <w:r>
        <w:rPr>
          <w:rFonts w:ascii="仿宋_GB2312" w:hAnsi="Times New Roman" w:eastAsia="仿宋_GB2312" w:cs="仿宋_GB2312"/>
          <w:kern w:val="0"/>
          <w:sz w:val="32"/>
          <w:szCs w:val="32"/>
        </w:rPr>
        <w:t>0.00</w:t>
      </w:r>
      <w:r>
        <w:rPr>
          <w:rFonts w:ascii="仿宋_GB2312" w:hAnsi="Times New Roman" w:eastAsia="仿宋_GB2312" w:cs="仿宋_GB2312"/>
          <w:sz w:val="32"/>
          <w:szCs w:val="32"/>
        </w:rPr>
        <w:t>万元，财政拨款本年支出</w:t>
      </w:r>
      <w:r>
        <w:rPr>
          <w:rFonts w:ascii="仿宋_GB2312" w:hAnsi="Times New Roman" w:eastAsia="仿宋_GB2312" w:cs="仿宋_GB2312"/>
          <w:kern w:val="0"/>
          <w:sz w:val="32"/>
          <w:szCs w:val="32"/>
        </w:rPr>
        <w:t>2,920.09</w:t>
      </w:r>
      <w:r>
        <w:rPr>
          <w:rFonts w:ascii="仿宋_GB2312" w:hAnsi="Times New Roman" w:eastAsia="仿宋_GB2312" w:cs="仿宋_GB2312"/>
          <w:sz w:val="32"/>
          <w:szCs w:val="32"/>
        </w:rPr>
        <w:t>万元。财政拨款支出总计</w:t>
      </w:r>
      <w:r>
        <w:rPr>
          <w:rFonts w:ascii="仿宋_GB2312" w:hAnsi="Times New Roman" w:eastAsia="仿宋_GB2312" w:cs="仿宋_GB2312"/>
          <w:kern w:val="0"/>
          <w:sz w:val="32"/>
          <w:szCs w:val="32"/>
        </w:rPr>
        <w:t>与上年相比，增加581.92万元，增长24.89%，主要原因是：</w:t>
      </w:r>
      <w:r>
        <w:rPr>
          <w:rFonts w:ascii="仿宋_GB2312" w:hAnsi="Times New Roman" w:eastAsia="仿宋_GB2312"/>
          <w:kern w:val="0"/>
          <w:sz w:val="32"/>
          <w:szCs w:val="24"/>
        </w:rPr>
        <w:t>调资、增资及新增在编人员所致人员支出增加</w:t>
      </w:r>
      <w:bookmarkStart w:id="0" w:name="_GoBack"/>
      <w:bookmarkEnd w:id="0"/>
      <w:r>
        <w:rPr>
          <w:rFonts w:hint="eastAsia" w:ascii="仿宋_GB2312" w:hAnsi="Times New Roman" w:eastAsia="仿宋_GB2312"/>
          <w:kern w:val="0"/>
          <w:sz w:val="32"/>
          <w:szCs w:val="24"/>
          <w:lang w:val="en-US" w:eastAsia="zh-CN"/>
        </w:rPr>
        <w:t>，</w:t>
      </w:r>
      <w:r>
        <w:rPr>
          <w:rFonts w:ascii="仿宋_GB2312" w:hAnsi="Times New Roman" w:eastAsia="仿宋_GB2312"/>
          <w:kern w:val="0"/>
          <w:sz w:val="32"/>
          <w:szCs w:val="24"/>
        </w:rPr>
        <w:t>支出总计较上年增加</w:t>
      </w:r>
      <w:r>
        <w:rPr>
          <w:rFonts w:ascii="仿宋_GB2312" w:hAnsi="Times New Roman" w:eastAsia="仿宋_GB2312" w:cs="仿宋_GB2312"/>
          <w:kern w:val="0"/>
          <w:sz w:val="32"/>
          <w:szCs w:val="32"/>
        </w:rPr>
        <w:t>。</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与年初预算数相比情况：财政拨款收入</w:t>
      </w:r>
      <w:r>
        <w:rPr>
          <w:rFonts w:ascii="仿宋_GB2312" w:hAnsi="Times New Roman" w:eastAsia="仿宋_GB2312" w:cs="仿宋_GB2312"/>
          <w:sz w:val="32"/>
          <w:szCs w:val="32"/>
        </w:rPr>
        <w:t>总计</w:t>
      </w:r>
      <w:r>
        <w:rPr>
          <w:rFonts w:ascii="仿宋_GB2312" w:hAnsi="Times New Roman" w:eastAsia="仿宋_GB2312" w:cs="仿宋_GB2312"/>
          <w:kern w:val="0"/>
          <w:sz w:val="32"/>
          <w:szCs w:val="32"/>
        </w:rPr>
        <w:t>年初预算数2,624.35万元，决算数2,920.09万元，预决算差异率11.27%，主要原因是：</w:t>
      </w:r>
      <w:r>
        <w:rPr>
          <w:rFonts w:ascii="仿宋_GB2312" w:hAnsi="Times New Roman" w:eastAsia="仿宋_GB2312"/>
          <w:kern w:val="0"/>
          <w:sz w:val="32"/>
          <w:szCs w:val="24"/>
        </w:rPr>
        <w:t>调资、增资及新增在编人员所致人员支出增加，预算差异率较大</w:t>
      </w:r>
      <w:r>
        <w:rPr>
          <w:rFonts w:ascii="仿宋_GB2312" w:hAnsi="Times New Roman" w:eastAsia="仿宋_GB2312" w:cs="仿宋_GB2312"/>
          <w:kern w:val="0"/>
          <w:sz w:val="32"/>
          <w:szCs w:val="32"/>
        </w:rPr>
        <w:t>。财政拨款支出</w:t>
      </w:r>
      <w:r>
        <w:rPr>
          <w:rFonts w:ascii="仿宋_GB2312" w:hAnsi="Times New Roman" w:eastAsia="仿宋_GB2312" w:cs="仿宋_GB2312"/>
          <w:sz w:val="32"/>
          <w:szCs w:val="32"/>
        </w:rPr>
        <w:t>总计</w:t>
      </w:r>
      <w:r>
        <w:rPr>
          <w:rFonts w:ascii="仿宋_GB2312" w:hAnsi="Times New Roman" w:eastAsia="仿宋_GB2312" w:cs="仿宋_GB2312"/>
          <w:kern w:val="0"/>
          <w:sz w:val="32"/>
          <w:szCs w:val="32"/>
        </w:rPr>
        <w:t>年初预算数2,624.35万元，决算数2,920.09万元，预决算差异率11.27%，主要原因是：</w:t>
      </w:r>
      <w:r>
        <w:rPr>
          <w:rFonts w:ascii="仿宋_GB2312" w:hAnsi="Times New Roman" w:eastAsia="仿宋_GB2312"/>
          <w:kern w:val="0"/>
          <w:sz w:val="32"/>
          <w:szCs w:val="24"/>
        </w:rPr>
        <w:t>年初补发增资津贴补贴，新增在编人员各项人员支出的增加，支付职工丧葬费抚恤金，预算差异率较大</w:t>
      </w:r>
      <w:r>
        <w:rPr>
          <w:rFonts w:ascii="仿宋_GB2312" w:hAnsi="Times New Roman" w:eastAsia="仿宋_GB2312" w:cs="仿宋_GB2312"/>
          <w:kern w:val="0"/>
          <w:sz w:val="32"/>
          <w:szCs w:val="32"/>
        </w:rPr>
        <w:t>。</w:t>
      </w:r>
    </w:p>
    <w:p>
      <w:pPr>
        <w:autoSpaceDE w:val="0"/>
        <w:autoSpaceDN w:val="0"/>
        <w:adjustRightInd w:val="0"/>
        <w:spacing w:line="360" w:lineRule="auto"/>
        <w:ind w:firstLine="640"/>
        <w:outlineLvl w:val="1"/>
        <w:rPr>
          <w:rFonts w:hint="default" w:ascii="Times New Roman" w:hAnsi="Times New Roman" w:eastAsia="黑体"/>
          <w:sz w:val="32"/>
          <w:szCs w:val="32"/>
          <w:lang w:val="zh-CN"/>
        </w:rPr>
      </w:pPr>
      <w:r>
        <w:rPr>
          <w:rFonts w:ascii="黑体" w:hAnsi="Times New Roman" w:eastAsia="黑体" w:cs="黑体"/>
          <w:sz w:val="32"/>
          <w:szCs w:val="32"/>
          <w:lang w:val="zh-CN"/>
        </w:rPr>
        <w:t>五、一般公共预算财政拨款支出决算情况说明</w:t>
      </w:r>
    </w:p>
    <w:p>
      <w:pPr>
        <w:autoSpaceDE w:val="0"/>
        <w:autoSpaceDN w:val="0"/>
        <w:adjustRightInd w:val="0"/>
        <w:ind w:firstLine="640"/>
        <w:outlineLvl w:val="2"/>
        <w:rPr>
          <w:rFonts w:hint="default" w:ascii="Times New Roman" w:hAnsi="Times New Roman" w:eastAsia="黑体"/>
          <w:sz w:val="32"/>
          <w:szCs w:val="32"/>
        </w:rPr>
      </w:pPr>
      <w:r>
        <w:rPr>
          <w:rFonts w:ascii="黑体" w:hAnsi="Times New Roman" w:eastAsia="黑体" w:cs="黑体"/>
          <w:sz w:val="32"/>
          <w:szCs w:val="32"/>
        </w:rPr>
        <w:t>（一）一般公共预算财政拨款支出决算总体情况</w:t>
      </w:r>
    </w:p>
    <w:p>
      <w:pPr>
        <w:autoSpaceDE w:val="0"/>
        <w:autoSpaceDN w:val="0"/>
        <w:adjustRightInd w:val="0"/>
        <w:spacing w:line="360" w:lineRule="auto"/>
        <w:ind w:firstLine="641"/>
        <w:rPr>
          <w:rFonts w:hint="default" w:ascii="仿宋_GB2312" w:hAnsi="Times New Roman" w:eastAsia="仿宋_GB2312" w:cs="仿宋_GB2312"/>
          <w:kern w:val="0"/>
          <w:sz w:val="32"/>
          <w:szCs w:val="32"/>
          <w:highlight w:val="yellow"/>
        </w:rPr>
      </w:pPr>
      <w:r>
        <w:rPr>
          <w:rFonts w:ascii="仿宋_GB2312" w:hAnsi="Times New Roman" w:eastAsia="仿宋_GB2312" w:cs="仿宋_GB2312"/>
          <w:sz w:val="32"/>
          <w:szCs w:val="32"/>
        </w:rPr>
        <w:t>2022年度一般公共预算财政拨款支出</w:t>
      </w:r>
      <w:r>
        <w:rPr>
          <w:rFonts w:ascii="仿宋_GB2312" w:hAnsi="Times New Roman" w:eastAsia="仿宋_GB2312" w:cs="仿宋_GB2312"/>
          <w:kern w:val="0"/>
          <w:sz w:val="32"/>
          <w:szCs w:val="32"/>
        </w:rPr>
        <w:t>2,920.09</w:t>
      </w:r>
      <w:r>
        <w:rPr>
          <w:rFonts w:ascii="仿宋_GB2312" w:hAnsi="Times New Roman" w:eastAsia="仿宋_GB2312" w:cs="仿宋_GB2312"/>
          <w:sz w:val="32"/>
          <w:szCs w:val="32"/>
        </w:rPr>
        <w:t>万元，占本年支出合计的</w:t>
      </w:r>
      <w:r>
        <w:rPr>
          <w:rFonts w:ascii="仿宋_GB2312" w:hAnsi="Times New Roman" w:eastAsia="仿宋_GB2312" w:cs="仿宋_GB2312"/>
          <w:kern w:val="0"/>
          <w:sz w:val="32"/>
          <w:szCs w:val="32"/>
        </w:rPr>
        <w:t>100.00%</w:t>
      </w:r>
      <w:r>
        <w:rPr>
          <w:rFonts w:ascii="仿宋_GB2312" w:hAnsi="Times New Roman" w:eastAsia="仿宋_GB2312" w:cs="仿宋_GB2312"/>
          <w:sz w:val="32"/>
          <w:szCs w:val="32"/>
        </w:rPr>
        <w:t>，与上年相比，</w:t>
      </w:r>
      <w:r>
        <w:rPr>
          <w:rFonts w:ascii="仿宋_GB2312" w:hAnsi="Times New Roman" w:eastAsia="仿宋_GB2312" w:cs="仿宋_GB2312"/>
          <w:kern w:val="0"/>
          <w:sz w:val="32"/>
          <w:szCs w:val="32"/>
        </w:rPr>
        <w:t>增加581.92万元，增长24.89%，主要原因是：</w:t>
      </w:r>
      <w:r>
        <w:rPr>
          <w:rFonts w:ascii="仿宋_GB2312" w:hAnsi="Times New Roman" w:eastAsia="仿宋_GB2312"/>
          <w:kern w:val="0"/>
          <w:sz w:val="32"/>
          <w:szCs w:val="24"/>
        </w:rPr>
        <w:t>调资、增资及新增在编人员所致人员支出增加，支付职工丧葬费抚恤金</w:t>
      </w:r>
      <w:r>
        <w:rPr>
          <w:rFonts w:ascii="仿宋_GB2312" w:hAnsi="Times New Roman" w:eastAsia="仿宋_GB2312" w:cs="仿宋_GB2312"/>
          <w:kern w:val="0"/>
          <w:sz w:val="32"/>
          <w:szCs w:val="32"/>
        </w:rPr>
        <w:t>。</w:t>
      </w:r>
    </w:p>
    <w:p>
      <w:pPr>
        <w:autoSpaceDE w:val="0"/>
        <w:autoSpaceDN w:val="0"/>
        <w:adjustRightInd w:val="0"/>
        <w:spacing w:line="360" w:lineRule="auto"/>
        <w:ind w:firstLine="641"/>
        <w:outlineLvl w:val="2"/>
        <w:rPr>
          <w:rFonts w:hint="default" w:ascii="Times New Roman" w:hAnsi="Times New Roman" w:eastAsia="黑体"/>
          <w:sz w:val="32"/>
          <w:szCs w:val="32"/>
        </w:rPr>
      </w:pPr>
      <w:r>
        <w:rPr>
          <w:rFonts w:ascii="黑体" w:hAnsi="Times New Roman" w:eastAsia="黑体" w:cs="黑体"/>
          <w:sz w:val="32"/>
          <w:szCs w:val="32"/>
        </w:rPr>
        <w:t>（二）一般公共预算财政拨款支出决算结构情况</w:t>
      </w:r>
    </w:p>
    <w:p>
      <w:pPr>
        <w:autoSpaceDE w:val="0"/>
        <w:autoSpaceDN w:val="0"/>
        <w:adjustRightInd w:val="0"/>
        <w:spacing w:line="360" w:lineRule="auto"/>
        <w:ind w:firstLine="641"/>
        <w:rPr>
          <w:rFonts w:hint="default" w:ascii="仿宋_GB2312" w:hAnsi="Times New Roman" w:eastAsia="仿宋_GB2312" w:cs="仿宋_GB2312"/>
          <w:kern w:val="0"/>
          <w:sz w:val="32"/>
          <w:szCs w:val="32"/>
        </w:rPr>
      </w:pPr>
      <w:r>
        <w:rPr>
          <w:rFonts w:ascii="仿宋_GB2312" w:hAnsi="Times New Roman" w:eastAsia="仿宋_GB2312" w:cs="仿宋_GB2312"/>
          <w:kern w:val="0"/>
          <w:sz w:val="32"/>
          <w:szCs w:val="32"/>
        </w:rPr>
        <w:t>1.社会保障和就业支出（类）495.58万元，占16.97%；</w:t>
      </w:r>
    </w:p>
    <w:p>
      <w:pPr>
        <w:autoSpaceDE w:val="0"/>
        <w:autoSpaceDN w:val="0"/>
        <w:adjustRightInd w:val="0"/>
        <w:spacing w:line="360" w:lineRule="auto"/>
        <w:ind w:firstLine="641"/>
        <w:rPr>
          <w:rFonts w:hint="default" w:ascii="Times New Roman" w:hAnsi="Times New Roman" w:eastAsia="仿宋_GB2312"/>
          <w:kern w:val="0"/>
          <w:sz w:val="32"/>
          <w:szCs w:val="32"/>
          <w:highlight w:val="yellow"/>
        </w:rPr>
      </w:pPr>
      <w:r>
        <w:rPr>
          <w:rFonts w:ascii="仿宋_GB2312" w:hAnsi="Times New Roman" w:eastAsia="仿宋_GB2312" w:cs="仿宋_GB2312"/>
          <w:kern w:val="0"/>
          <w:sz w:val="32"/>
          <w:szCs w:val="32"/>
        </w:rPr>
        <w:t>2.卫生健康支出（类）2,424.51万元，占83.03%。</w:t>
      </w:r>
    </w:p>
    <w:p>
      <w:pPr>
        <w:autoSpaceDE w:val="0"/>
        <w:autoSpaceDN w:val="0"/>
        <w:adjustRightInd w:val="0"/>
        <w:spacing w:line="360" w:lineRule="auto"/>
        <w:ind w:firstLine="641"/>
        <w:outlineLvl w:val="2"/>
        <w:rPr>
          <w:rFonts w:hint="default" w:ascii="Times New Roman" w:hAnsi="Times New Roman" w:eastAsia="黑体"/>
          <w:sz w:val="32"/>
          <w:szCs w:val="32"/>
        </w:rPr>
      </w:pPr>
      <w:r>
        <w:rPr>
          <w:rFonts w:ascii="黑体" w:hAnsi="Times New Roman" w:eastAsia="黑体" w:cs="黑体"/>
          <w:sz w:val="32"/>
          <w:szCs w:val="32"/>
        </w:rPr>
        <w:t>（三）一般公共预算财政拨款支出决算具体情况</w:t>
      </w:r>
    </w:p>
    <w:p>
      <w:pPr>
        <w:autoSpaceDE w:val="0"/>
        <w:autoSpaceDN w:val="0"/>
        <w:adjustRightInd w:val="0"/>
        <w:spacing w:line="360" w:lineRule="auto"/>
        <w:ind w:firstLine="641"/>
        <w:rPr>
          <w:rFonts w:hint="default" w:ascii="仿宋_GB2312" w:hAnsi="Times New Roman" w:eastAsia="仿宋_GB2312" w:cs="仿宋_GB2312"/>
          <w:sz w:val="32"/>
          <w:szCs w:val="32"/>
        </w:rPr>
      </w:pPr>
      <w:r>
        <w:rPr>
          <w:rFonts w:ascii="仿宋_GB2312" w:hAnsi="Times New Roman" w:eastAsia="仿宋_GB2312" w:cs="仿宋_GB2312"/>
          <w:sz w:val="32"/>
          <w:szCs w:val="32"/>
        </w:rPr>
        <w:t>1.科学技术支出（类）其他科学技术支出（款）其他科学技术支出（项）:支出决算数为0.00万元，比上年决算减少429.56万元，下降100.00%，主要原因是：</w:t>
      </w:r>
      <w:r>
        <w:rPr>
          <w:rFonts w:ascii="仿宋_GB2312" w:hAnsi="Times New Roman" w:eastAsia="仿宋_GB2312"/>
          <w:sz w:val="32"/>
          <w:szCs w:val="24"/>
        </w:rPr>
        <w:t>2021年鉴于疫情防控的严峻形势，为快速提升核算检测的能力以及隔离救治能力，增加两项财政项目，分别为PCR核酸检测实验室资金、发热门诊、留观病区设备资金，2022年没有此支出</w:t>
      </w:r>
      <w:r>
        <w:rPr>
          <w:rFonts w:ascii="仿宋_GB2312" w:hAnsi="Times New Roman" w:eastAsia="仿宋_GB2312" w:cs="仿宋_GB2312"/>
          <w:sz w:val="32"/>
          <w:szCs w:val="32"/>
        </w:rPr>
        <w:t>；</w:t>
      </w:r>
    </w:p>
    <w:p>
      <w:pPr>
        <w:autoSpaceDE w:val="0"/>
        <w:autoSpaceDN w:val="0"/>
        <w:adjustRightInd w:val="0"/>
        <w:spacing w:line="360" w:lineRule="auto"/>
        <w:ind w:firstLine="640"/>
        <w:rPr>
          <w:rFonts w:hint="default" w:ascii="仿宋_GB2312" w:hAnsi="Times New Roman" w:eastAsia="仿宋_GB2312" w:cs="仿宋_GB2312"/>
          <w:sz w:val="32"/>
          <w:szCs w:val="32"/>
        </w:rPr>
      </w:pPr>
      <w:r>
        <w:rPr>
          <w:rFonts w:ascii="仿宋_GB2312" w:hAnsi="Times New Roman" w:eastAsia="仿宋_GB2312" w:cs="仿宋_GB2312"/>
          <w:sz w:val="32"/>
          <w:szCs w:val="32"/>
        </w:rPr>
        <w:t>2.社会保障和就业支出（类）民政管理事务（款）基层政权建设和社区治理（项）:支出决算数为0.00万元，比上年决算减少60.67万元，下降100.00%，主要原因是：</w:t>
      </w:r>
      <w:r>
        <w:rPr>
          <w:rFonts w:ascii="仿宋_GB2312" w:hAnsi="Times New Roman" w:eastAsia="仿宋_GB2312"/>
          <w:sz w:val="32"/>
          <w:szCs w:val="24"/>
        </w:rPr>
        <w:t>2021年所支款项为访惠聚个人补助、第一书记为民办实事及为民办实事经费，支出功能分类在社会保障和就业支出（类）民政管理事务（款）基层政权建设和社区治理（项），而2022年没有第一书记为民办实事及为民办实事经费的支出，只支出了访惠聚个人补助，且分类在综合医院的商品和服务支出</w:t>
      </w:r>
      <w:r>
        <w:rPr>
          <w:rFonts w:ascii="仿宋_GB2312" w:hAnsi="Times New Roman" w:eastAsia="仿宋_GB2312" w:cs="仿宋_GB2312"/>
          <w:sz w:val="32"/>
          <w:szCs w:val="32"/>
        </w:rPr>
        <w:t>；</w:t>
      </w:r>
    </w:p>
    <w:p>
      <w:pPr>
        <w:autoSpaceDE w:val="0"/>
        <w:autoSpaceDN w:val="0"/>
        <w:adjustRightInd w:val="0"/>
        <w:spacing w:line="360" w:lineRule="auto"/>
        <w:ind w:firstLine="640"/>
        <w:rPr>
          <w:rFonts w:hint="default" w:ascii="仿宋_GB2312" w:hAnsi="Times New Roman" w:eastAsia="仿宋_GB2312" w:cs="仿宋_GB2312"/>
          <w:sz w:val="32"/>
          <w:szCs w:val="32"/>
        </w:rPr>
      </w:pPr>
      <w:r>
        <w:rPr>
          <w:rFonts w:ascii="仿宋_GB2312" w:hAnsi="Times New Roman" w:eastAsia="仿宋_GB2312" w:cs="仿宋_GB2312"/>
          <w:sz w:val="32"/>
          <w:szCs w:val="32"/>
        </w:rPr>
        <w:t>3.社会保障和就业支出（类）行政事业单位养老支出（款）机关事业单位基本养老保险缴费支出（项）:支出决算数为347.14万元，比上年决算增加251.47万元，增长262.85%，主要原因是：</w:t>
      </w:r>
      <w:r>
        <w:rPr>
          <w:rFonts w:ascii="仿宋_GB2312" w:hAnsi="Times New Roman" w:eastAsia="仿宋_GB2312"/>
          <w:sz w:val="32"/>
          <w:szCs w:val="24"/>
        </w:rPr>
        <w:t>受疫情影响，2021年下半年机关事业单位基本养老保险未支出，2022年支出基本养老保险</w:t>
      </w:r>
      <w:r>
        <w:rPr>
          <w:rFonts w:ascii="仿宋_GB2312" w:hAnsi="Times New Roman" w:eastAsia="仿宋_GB2312" w:cs="仿宋_GB2312"/>
          <w:sz w:val="32"/>
          <w:szCs w:val="32"/>
        </w:rPr>
        <w:t>；</w:t>
      </w:r>
    </w:p>
    <w:p>
      <w:pPr>
        <w:autoSpaceDE w:val="0"/>
        <w:autoSpaceDN w:val="0"/>
        <w:adjustRightInd w:val="0"/>
        <w:spacing w:line="360" w:lineRule="auto"/>
        <w:ind w:firstLine="640"/>
        <w:rPr>
          <w:rFonts w:hint="default" w:ascii="仿宋_GB2312" w:hAnsi="Times New Roman" w:eastAsia="仿宋_GB2312" w:cs="仿宋_GB2312"/>
          <w:sz w:val="32"/>
          <w:szCs w:val="32"/>
        </w:rPr>
      </w:pPr>
      <w:r>
        <w:rPr>
          <w:rFonts w:ascii="仿宋_GB2312" w:hAnsi="Times New Roman" w:eastAsia="仿宋_GB2312" w:cs="仿宋_GB2312"/>
          <w:sz w:val="32"/>
          <w:szCs w:val="32"/>
        </w:rPr>
        <w:t>4.社会保障和就业支出（类）行政事业单位养老支出（款）机关事业单位职业年金缴费支出（项）:支出决算数为128.79万元，比上年决算增加80.96万元，增长169.27%，主要原因是：</w:t>
      </w:r>
      <w:r>
        <w:rPr>
          <w:rFonts w:ascii="仿宋_GB2312" w:hAnsi="Times New Roman" w:eastAsia="仿宋_GB2312"/>
          <w:sz w:val="32"/>
          <w:szCs w:val="24"/>
        </w:rPr>
        <w:t>受疫情影响，2021年下半年机关事业单位职业年金未支出，2022年支出机关事业单位职业年金</w:t>
      </w:r>
      <w:r>
        <w:rPr>
          <w:rFonts w:ascii="仿宋_GB2312" w:hAnsi="Times New Roman" w:eastAsia="仿宋_GB2312" w:cs="仿宋_GB2312"/>
          <w:sz w:val="32"/>
          <w:szCs w:val="32"/>
        </w:rPr>
        <w:t>；</w:t>
      </w:r>
    </w:p>
    <w:p>
      <w:pPr>
        <w:autoSpaceDE w:val="0"/>
        <w:autoSpaceDN w:val="0"/>
        <w:adjustRightInd w:val="0"/>
        <w:spacing w:line="360" w:lineRule="auto"/>
        <w:ind w:firstLine="640"/>
        <w:rPr>
          <w:rFonts w:hint="default" w:ascii="仿宋_GB2312" w:hAnsi="Times New Roman" w:eastAsia="仿宋_GB2312" w:cs="仿宋_GB2312"/>
          <w:sz w:val="32"/>
          <w:szCs w:val="32"/>
        </w:rPr>
      </w:pPr>
      <w:r>
        <w:rPr>
          <w:rFonts w:ascii="仿宋_GB2312" w:hAnsi="Times New Roman" w:eastAsia="仿宋_GB2312" w:cs="仿宋_GB2312"/>
          <w:sz w:val="32"/>
          <w:szCs w:val="32"/>
        </w:rPr>
        <w:t>5.社会保障和就业支出（类）抚恤（款）死亡抚恤（项）:支出决算数为19.65万元，比上年决算增加19.65万元，增长100.00%，主要原因是：</w:t>
      </w:r>
      <w:r>
        <w:rPr>
          <w:rFonts w:ascii="仿宋_GB2312" w:hAnsi="Times New Roman" w:eastAsia="仿宋_GB2312"/>
          <w:sz w:val="32"/>
          <w:szCs w:val="24"/>
        </w:rPr>
        <w:t>2022年有退休人员死亡以及在职人员死亡，丧葬费抚恤金的款项支出较上年增加</w:t>
      </w:r>
      <w:r>
        <w:rPr>
          <w:rFonts w:ascii="仿宋_GB2312" w:hAnsi="Times New Roman" w:eastAsia="仿宋_GB2312" w:cs="仿宋_GB2312"/>
          <w:sz w:val="32"/>
          <w:szCs w:val="32"/>
        </w:rPr>
        <w:t>；</w:t>
      </w:r>
    </w:p>
    <w:p>
      <w:pPr>
        <w:autoSpaceDE w:val="0"/>
        <w:autoSpaceDN w:val="0"/>
        <w:adjustRightInd w:val="0"/>
        <w:spacing w:line="360" w:lineRule="auto"/>
        <w:ind w:firstLine="640"/>
        <w:rPr>
          <w:rFonts w:hint="default" w:ascii="仿宋_GB2312" w:hAnsi="Times New Roman" w:eastAsia="仿宋_GB2312" w:cs="仿宋_GB2312"/>
          <w:sz w:val="32"/>
          <w:szCs w:val="32"/>
        </w:rPr>
      </w:pPr>
      <w:r>
        <w:rPr>
          <w:rFonts w:ascii="仿宋_GB2312" w:hAnsi="Times New Roman" w:eastAsia="仿宋_GB2312" w:cs="仿宋_GB2312"/>
          <w:sz w:val="32"/>
          <w:szCs w:val="32"/>
        </w:rPr>
        <w:t>6.卫生健康支出（类）公立医院（款）综合医院（项）:支出决算数为2,424.51万元，比上年决算增加720.07万元，增长42.25%，主要原因是：</w:t>
      </w:r>
      <w:r>
        <w:rPr>
          <w:rFonts w:ascii="仿宋_GB2312" w:hAnsi="Times New Roman" w:eastAsia="仿宋_GB2312"/>
          <w:kern w:val="0"/>
          <w:sz w:val="32"/>
          <w:szCs w:val="24"/>
        </w:rPr>
        <w:t>调资、增资及新增在编人员所致人员支出增加，其次是2021年下半年退休人员城镇职工基本医疗保险和公务员补助受疫情影响未支出，2022年支出</w:t>
      </w:r>
      <w:r>
        <w:rPr>
          <w:rFonts w:ascii="仿宋_GB2312" w:hAnsi="Times New Roman" w:eastAsia="仿宋_GB2312" w:cs="仿宋_GB2312"/>
          <w:sz w:val="32"/>
          <w:szCs w:val="32"/>
        </w:rPr>
        <w:t>综合医院款项。</w:t>
      </w:r>
    </w:p>
    <w:p>
      <w:pPr>
        <w:autoSpaceDE w:val="0"/>
        <w:autoSpaceDN w:val="0"/>
        <w:adjustRightInd w:val="0"/>
        <w:spacing w:line="360" w:lineRule="auto"/>
        <w:ind w:firstLine="640"/>
        <w:outlineLvl w:val="1"/>
        <w:rPr>
          <w:rFonts w:hint="default" w:ascii="Times New Roman" w:hAnsi="Times New Roman" w:eastAsia="黑体"/>
          <w:sz w:val="32"/>
          <w:szCs w:val="32"/>
          <w:lang w:val="zh-CN"/>
        </w:rPr>
      </w:pPr>
      <w:r>
        <w:rPr>
          <w:rFonts w:ascii="黑体" w:hAnsi="Times New Roman" w:eastAsia="黑体" w:cs="黑体"/>
          <w:sz w:val="32"/>
          <w:szCs w:val="32"/>
          <w:lang w:val="zh-CN"/>
        </w:rPr>
        <w:t>六、一般公共预算财政拨款基本支出决算情况说明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highlight w:val="yellow"/>
        </w:rPr>
      </w:pPr>
      <w:r>
        <w:rPr>
          <w:rFonts w:ascii="仿宋_GB2312" w:hAnsi="Times New Roman" w:eastAsia="仿宋_GB2312" w:cs="仿宋_GB2312"/>
          <w:kern w:val="0"/>
          <w:sz w:val="32"/>
          <w:szCs w:val="32"/>
        </w:rPr>
        <w:t>2022年度一般公共预算财政拨款基本支出2,920.09万元，其中：</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人员经费2,920.09万元，包括：基本工资、津贴补贴、奖金、机关事业单位基本养老保险缴费、职业年金缴费、其他社会保障缴费、退休费、抚恤金、奖励金。</w:t>
      </w:r>
    </w:p>
    <w:p>
      <w:pPr>
        <w:autoSpaceDE w:val="0"/>
        <w:autoSpaceDN w:val="0"/>
        <w:adjustRightInd w:val="0"/>
        <w:spacing w:line="360" w:lineRule="auto"/>
        <w:ind w:firstLine="640"/>
        <w:rPr>
          <w:rFonts w:hint="default" w:ascii="仿宋_GB2312" w:hAnsi="Times New Roman" w:eastAsia="仿宋_GB2312" w:cs="仿宋_GB2312"/>
          <w:kern w:val="0"/>
          <w:sz w:val="32"/>
          <w:szCs w:val="32"/>
        </w:rPr>
      </w:pPr>
      <w:r>
        <w:rPr>
          <w:rFonts w:ascii="仿宋_GB2312" w:hAnsi="Times New Roman" w:eastAsia="仿宋_GB2312" w:cs="仿宋_GB2312"/>
          <w:kern w:val="0"/>
          <w:sz w:val="32"/>
          <w:szCs w:val="32"/>
        </w:rPr>
        <w:t>公用经费0.00万元。</w:t>
      </w:r>
    </w:p>
    <w:p>
      <w:pPr>
        <w:autoSpaceDE w:val="0"/>
        <w:autoSpaceDN w:val="0"/>
        <w:adjustRightInd w:val="0"/>
        <w:spacing w:line="360" w:lineRule="auto"/>
        <w:ind w:firstLine="640"/>
        <w:outlineLvl w:val="1"/>
        <w:rPr>
          <w:rFonts w:hint="default" w:ascii="Times New Roman" w:hAnsi="Times New Roman" w:eastAsia="黑体"/>
          <w:sz w:val="32"/>
          <w:szCs w:val="32"/>
        </w:rPr>
      </w:pPr>
      <w:r>
        <w:rPr>
          <w:rFonts w:ascii="黑体" w:hAnsi="Times New Roman" w:eastAsia="黑体" w:cs="黑体"/>
          <w:sz w:val="32"/>
          <w:szCs w:val="32"/>
          <w:lang w:val="zh-CN"/>
        </w:rPr>
        <w:t>七、财政拨款</w:t>
      </w:r>
      <w:r>
        <w:rPr>
          <w:rFonts w:hint="default" w:ascii="Times New Roman" w:hAnsi="Times New Roman" w:eastAsia="黑体" w:cs="黑体"/>
          <w:kern w:val="0"/>
          <w:sz w:val="32"/>
          <w:szCs w:val="32"/>
        </w:rPr>
        <w:t>“</w:t>
      </w:r>
      <w:r>
        <w:rPr>
          <w:rFonts w:ascii="黑体" w:hAnsi="Times New Roman" w:eastAsia="黑体" w:cs="黑体"/>
          <w:kern w:val="0"/>
          <w:sz w:val="32"/>
          <w:szCs w:val="32"/>
        </w:rPr>
        <w:t>三公</w:t>
      </w:r>
      <w:r>
        <w:rPr>
          <w:rFonts w:hint="default" w:ascii="Times New Roman" w:hAnsi="Times New Roman" w:eastAsia="黑体" w:cs="黑体"/>
          <w:kern w:val="0"/>
          <w:sz w:val="32"/>
          <w:szCs w:val="32"/>
        </w:rPr>
        <w:t>”</w:t>
      </w:r>
      <w:r>
        <w:rPr>
          <w:rFonts w:ascii="黑体" w:hAnsi="Times New Roman" w:eastAsia="黑体" w:cs="黑体"/>
          <w:sz w:val="32"/>
          <w:szCs w:val="32"/>
          <w:lang w:val="zh-CN"/>
        </w:rPr>
        <w:t>经费支出决算情况说明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2022年度</w:t>
      </w:r>
      <w:r>
        <w:rPr>
          <w:rFonts w:ascii="仿宋_GB2312" w:hAnsi="Times New Roman" w:eastAsia="仿宋_GB2312" w:cs="仿宋_GB2312"/>
          <w:sz w:val="32"/>
          <w:szCs w:val="32"/>
        </w:rPr>
        <w:t>财政拨款</w:t>
      </w:r>
      <w:r>
        <w:rPr>
          <w:rFonts w:hint="default" w:ascii="Times New Roman" w:hAnsi="Times New Roman" w:eastAsia="仿宋_GB2312" w:cs="仿宋_GB2312"/>
          <w:kern w:val="0"/>
          <w:sz w:val="32"/>
          <w:szCs w:val="32"/>
        </w:rPr>
        <w:t>“</w:t>
      </w:r>
      <w:r>
        <w:rPr>
          <w:rFonts w:ascii="仿宋_GB2312" w:hAnsi="Times New Roman" w:eastAsia="仿宋_GB2312" w:cs="仿宋_GB2312"/>
          <w:kern w:val="0"/>
          <w:sz w:val="32"/>
          <w:szCs w:val="32"/>
        </w:rPr>
        <w:t>三公</w:t>
      </w:r>
      <w:r>
        <w:rPr>
          <w:rFonts w:hint="default" w:ascii="Times New Roman" w:hAnsi="Times New Roman" w:eastAsia="仿宋_GB2312" w:cs="仿宋_GB2312"/>
          <w:kern w:val="0"/>
          <w:sz w:val="32"/>
          <w:szCs w:val="32"/>
        </w:rPr>
        <w:t>”</w:t>
      </w:r>
      <w:r>
        <w:rPr>
          <w:rFonts w:ascii="仿宋_GB2312" w:hAnsi="Times New Roman" w:eastAsia="仿宋_GB2312" w:cs="仿宋_GB2312"/>
          <w:kern w:val="0"/>
          <w:sz w:val="32"/>
          <w:szCs w:val="32"/>
        </w:rPr>
        <w:t>经费支出决算0.00万元，比上年增加0.00万元，增长0.00%，主要原因是：</w:t>
      </w:r>
      <w:r>
        <w:rPr>
          <w:rFonts w:ascii="仿宋_GB2312" w:hAnsi="仿宋_GB2312" w:eastAsia="仿宋_GB2312"/>
          <w:kern w:val="0"/>
          <w:sz w:val="32"/>
          <w:szCs w:val="24"/>
        </w:rPr>
        <w:t>本年单位无此项支出</w:t>
      </w:r>
      <w:r>
        <w:rPr>
          <w:rFonts w:ascii="仿宋_GB2312" w:hAnsi="Times New Roman" w:eastAsia="仿宋_GB2312" w:cs="仿宋_GB2312"/>
          <w:kern w:val="0"/>
          <w:sz w:val="32"/>
          <w:szCs w:val="32"/>
        </w:rPr>
        <w:t>。其中：因公出国（境）费支出0.00万元，占0.00%，比上年增加0.00万元，增长0.00%，主要原因是：本年单位无因公出国（境）费支出；公务用车购置及运行维护费支出0.00万元，占0.00%，比上年增加0.00万元，增长0.00%，主要原因是：</w:t>
      </w:r>
      <w:r>
        <w:rPr>
          <w:rFonts w:ascii="仿宋_GB2312" w:hAnsi="仿宋_GB2312" w:eastAsia="仿宋_GB2312"/>
          <w:kern w:val="0"/>
          <w:sz w:val="32"/>
          <w:szCs w:val="24"/>
        </w:rPr>
        <w:t>本年单位无此项支出</w:t>
      </w:r>
      <w:r>
        <w:rPr>
          <w:rFonts w:ascii="仿宋_GB2312" w:hAnsi="Times New Roman" w:eastAsia="仿宋_GB2312" w:cs="仿宋_GB2312"/>
          <w:kern w:val="0"/>
          <w:sz w:val="32"/>
          <w:szCs w:val="32"/>
        </w:rPr>
        <w:t>；公务接待费支出0.00万元，占0.00%，比上年增加0.00万元，增长0.00%，主要原因是：</w:t>
      </w:r>
      <w:r>
        <w:rPr>
          <w:rFonts w:ascii="仿宋_GB2312" w:hAnsi="仿宋_GB2312" w:eastAsia="仿宋_GB2312"/>
          <w:kern w:val="0"/>
          <w:sz w:val="32"/>
          <w:szCs w:val="24"/>
        </w:rPr>
        <w:t>本年单位无此项支出</w:t>
      </w:r>
      <w:r>
        <w:rPr>
          <w:rFonts w:ascii="仿宋_GB2312" w:hAnsi="Times New Roman" w:eastAsia="仿宋_GB2312" w:cs="仿宋_GB2312"/>
          <w:kern w:val="0"/>
          <w:sz w:val="32"/>
          <w:szCs w:val="32"/>
        </w:rPr>
        <w:t>。具体情况如下：</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因公出国（境）费支出0.00万元，开支内容包括本年单位无因公出国（境）费支出。单位全年安排的因公出国（境）团组0个，因公出国（境）0人次。</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公务用车购置及运行维护费0.00万元，其中：公务用车购置费0.00万元，公务用车运行维护费0.00万元。公务用车运行维护费开支内容包括本年单位无此项支出。公务用车购置数0辆，公务用车保有量0辆。</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公务接待费0.00万元，开支内容包括本年单位无公务接待费。单位全年安排的国内公务接待0批次，0人次。</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与</w:t>
      </w:r>
      <w:r>
        <w:rPr>
          <w:rFonts w:ascii="仿宋_GB2312" w:hAnsi="Times New Roman" w:eastAsia="仿宋_GB2312" w:cs="仿宋_GB2312"/>
          <w:sz w:val="32"/>
          <w:szCs w:val="32"/>
        </w:rPr>
        <w:t>全年</w:t>
      </w:r>
      <w:r>
        <w:rPr>
          <w:rFonts w:ascii="仿宋_GB2312" w:hAnsi="Times New Roman" w:eastAsia="仿宋_GB2312" w:cs="仿宋_GB2312"/>
          <w:kern w:val="0"/>
          <w:sz w:val="32"/>
          <w:szCs w:val="32"/>
        </w:rPr>
        <w:t>预算</w:t>
      </w:r>
      <w:r>
        <w:rPr>
          <w:rFonts w:ascii="仿宋_GB2312" w:hAnsi="Times New Roman" w:eastAsia="仿宋_GB2312" w:cs="仿宋_GB2312"/>
          <w:kern w:val="0"/>
          <w:sz w:val="32"/>
          <w:szCs w:val="32"/>
          <w:lang w:val="zh-CN"/>
        </w:rPr>
        <w:t>数</w:t>
      </w:r>
      <w:r>
        <w:rPr>
          <w:rFonts w:ascii="仿宋_GB2312" w:hAnsi="Times New Roman" w:eastAsia="仿宋_GB2312" w:cs="仿宋_GB2312"/>
          <w:kern w:val="0"/>
          <w:sz w:val="32"/>
          <w:szCs w:val="32"/>
        </w:rPr>
        <w:t>相比情况</w:t>
      </w:r>
      <w:r>
        <w:rPr>
          <w:rFonts w:ascii="仿宋_GB2312" w:hAnsi="Times New Roman" w:eastAsia="仿宋_GB2312" w:cs="仿宋_GB2312"/>
          <w:sz w:val="32"/>
          <w:szCs w:val="32"/>
        </w:rPr>
        <w:t>：</w:t>
      </w:r>
      <w:r>
        <w:rPr>
          <w:rFonts w:hint="default" w:ascii="Times New Roman" w:hAnsi="Times New Roman" w:eastAsia="仿宋_GB2312"/>
          <w:kern w:val="0"/>
          <w:sz w:val="32"/>
          <w:szCs w:val="32"/>
        </w:rPr>
        <w:t>“</w:t>
      </w:r>
      <w:r>
        <w:rPr>
          <w:rFonts w:ascii="仿宋_GB2312" w:hAnsi="Times New Roman" w:eastAsia="仿宋_GB2312" w:cs="仿宋_GB2312"/>
          <w:kern w:val="0"/>
          <w:sz w:val="32"/>
          <w:szCs w:val="32"/>
        </w:rPr>
        <w:t>三公</w:t>
      </w:r>
      <w:r>
        <w:rPr>
          <w:rFonts w:hint="default" w:ascii="Times New Roman" w:hAnsi="Times New Roman" w:eastAsia="仿宋_GB2312"/>
          <w:kern w:val="0"/>
          <w:sz w:val="32"/>
          <w:szCs w:val="32"/>
        </w:rPr>
        <w:t>”</w:t>
      </w:r>
      <w:r>
        <w:rPr>
          <w:rFonts w:ascii="仿宋_GB2312" w:hAnsi="Times New Roman" w:eastAsia="仿宋_GB2312" w:cs="仿宋_GB2312"/>
          <w:kern w:val="0"/>
          <w:sz w:val="32"/>
          <w:szCs w:val="32"/>
        </w:rPr>
        <w:t>经费支出</w:t>
      </w:r>
      <w:r>
        <w:rPr>
          <w:rFonts w:ascii="仿宋_GB2312" w:hAnsi="Times New Roman" w:eastAsia="仿宋_GB2312" w:cs="仿宋_GB2312"/>
          <w:sz w:val="32"/>
          <w:szCs w:val="32"/>
        </w:rPr>
        <w:t>全年预算数</w:t>
      </w:r>
      <w:r>
        <w:rPr>
          <w:rFonts w:ascii="仿宋_GB2312" w:hAnsi="Times New Roman" w:eastAsia="仿宋_GB2312" w:cs="仿宋_GB2312"/>
          <w:kern w:val="0"/>
          <w:sz w:val="32"/>
          <w:szCs w:val="32"/>
        </w:rPr>
        <w:t>0.00万元，决算数0.00万元，预决算差异率0.00%，主要原因是：</w:t>
      </w:r>
      <w:r>
        <w:rPr>
          <w:rFonts w:ascii="仿宋_GB2312" w:hAnsi="仿宋_GB2312" w:eastAsia="仿宋_GB2312"/>
          <w:kern w:val="0"/>
          <w:sz w:val="32"/>
          <w:szCs w:val="24"/>
        </w:rPr>
        <w:t>本年单位无此项支出</w:t>
      </w:r>
      <w:r>
        <w:rPr>
          <w:rFonts w:ascii="仿宋_GB2312" w:hAnsi="Times New Roman" w:eastAsia="仿宋_GB2312" w:cs="仿宋_GB2312"/>
          <w:kern w:val="0"/>
          <w:sz w:val="32"/>
          <w:szCs w:val="32"/>
        </w:rPr>
        <w:t>。其中：因公出国（境）费全年预算数0.00万元，决算数0.00万元，预决算差异率0.00%，主要原因是：本年单位无因公出国（境）费支出；公务用车购置费全年预算数0.00万元，决算数0.00万元，预决算差异率0.00%，主要原因是：</w:t>
      </w:r>
      <w:r>
        <w:rPr>
          <w:rFonts w:ascii="仿宋_GB2312" w:hAnsi="仿宋_GB2312" w:eastAsia="仿宋_GB2312"/>
          <w:kern w:val="0"/>
          <w:sz w:val="32"/>
          <w:szCs w:val="24"/>
        </w:rPr>
        <w:t>本年单位无此项支出</w:t>
      </w:r>
      <w:r>
        <w:rPr>
          <w:rFonts w:ascii="仿宋_GB2312" w:hAnsi="Times New Roman" w:eastAsia="仿宋_GB2312" w:cs="仿宋_GB2312"/>
          <w:kern w:val="0"/>
          <w:sz w:val="32"/>
          <w:szCs w:val="32"/>
        </w:rPr>
        <w:t>；公务用车运行费全年预算数0.00万元，决算数0.00万元，预决算差异率0.00%，主要原因是：</w:t>
      </w:r>
      <w:r>
        <w:rPr>
          <w:rFonts w:ascii="仿宋_GB2312" w:hAnsi="仿宋_GB2312" w:eastAsia="仿宋_GB2312"/>
          <w:kern w:val="0"/>
          <w:sz w:val="32"/>
          <w:szCs w:val="24"/>
        </w:rPr>
        <w:t>本年单位无此项支出</w:t>
      </w:r>
      <w:r>
        <w:rPr>
          <w:rFonts w:ascii="仿宋_GB2312" w:hAnsi="Times New Roman" w:eastAsia="仿宋_GB2312" w:cs="仿宋_GB2312"/>
          <w:kern w:val="0"/>
          <w:sz w:val="32"/>
          <w:szCs w:val="32"/>
        </w:rPr>
        <w:t>；公务接待费全年预算数0.00万元，决算数0.00万元，预决算差异率0.00%，主要原因是：</w:t>
      </w:r>
      <w:r>
        <w:rPr>
          <w:rFonts w:ascii="仿宋_GB2312" w:hAnsi="仿宋_GB2312" w:eastAsia="仿宋_GB2312"/>
          <w:kern w:val="0"/>
          <w:sz w:val="32"/>
          <w:szCs w:val="24"/>
        </w:rPr>
        <w:t>本年单位无此项支出</w:t>
      </w:r>
      <w:r>
        <w:rPr>
          <w:rFonts w:ascii="仿宋_GB2312" w:hAnsi="Times New Roman" w:eastAsia="仿宋_GB2312" w:cs="仿宋_GB2312"/>
          <w:kern w:val="0"/>
          <w:sz w:val="32"/>
          <w:szCs w:val="32"/>
        </w:rPr>
        <w:t>。</w:t>
      </w:r>
    </w:p>
    <w:p>
      <w:pPr>
        <w:autoSpaceDE w:val="0"/>
        <w:autoSpaceDN w:val="0"/>
        <w:adjustRightInd w:val="0"/>
        <w:spacing w:line="360" w:lineRule="auto"/>
        <w:ind w:firstLine="640"/>
        <w:outlineLvl w:val="1"/>
        <w:rPr>
          <w:rFonts w:hint="default" w:ascii="Times New Roman" w:hAnsi="Times New Roman" w:eastAsia="黑体"/>
          <w:sz w:val="32"/>
          <w:szCs w:val="32"/>
          <w:lang w:val="zh-CN"/>
        </w:rPr>
      </w:pPr>
      <w:r>
        <w:rPr>
          <w:rFonts w:ascii="黑体" w:hAnsi="Times New Roman" w:eastAsia="黑体" w:cs="黑体"/>
          <w:sz w:val="32"/>
          <w:szCs w:val="32"/>
          <w:lang w:val="zh-CN"/>
        </w:rPr>
        <w:t>八、政府性基金预算财政拨款收入支出决算情况说明</w:t>
      </w:r>
    </w:p>
    <w:p>
      <w:pPr>
        <w:shd w:val="clear" w:color="auto" w:fill="FFFFFF"/>
        <w:autoSpaceDE w:val="0"/>
        <w:autoSpaceDN w:val="0"/>
        <w:adjustRightInd w:val="0"/>
        <w:spacing w:line="360" w:lineRule="auto"/>
        <w:ind w:firstLine="640"/>
        <w:rPr>
          <w:rFonts w:hint="default" w:ascii="仿宋_GB2312" w:hAnsi="Times New Roman" w:eastAsia="仿宋_GB2312" w:cs="仿宋_GB2312"/>
          <w:kern w:val="0"/>
          <w:sz w:val="32"/>
          <w:szCs w:val="32"/>
          <w:highlight w:val="yellow"/>
        </w:rPr>
      </w:pPr>
      <w:r>
        <w:rPr>
          <w:rFonts w:ascii="仿宋_GB2312" w:hAnsi="Times New Roman" w:eastAsia="仿宋_GB2312" w:cs="仿宋_GB2312"/>
          <w:kern w:val="0"/>
          <w:sz w:val="32"/>
          <w:szCs w:val="32"/>
        </w:rPr>
        <w:t>我单位本年度无政府性基金预算财政拨款收入、支出及结转和结余，政府性基金预算财政拨款收入支出决算表为空表。</w:t>
      </w:r>
    </w:p>
    <w:p>
      <w:pPr>
        <w:autoSpaceDE w:val="0"/>
        <w:autoSpaceDN w:val="0"/>
        <w:adjustRightInd w:val="0"/>
        <w:spacing w:line="360" w:lineRule="auto"/>
        <w:ind w:firstLine="640"/>
        <w:outlineLvl w:val="1"/>
        <w:rPr>
          <w:rFonts w:hint="default" w:ascii="Times New Roman" w:hAnsi="Times New Roman" w:eastAsia="黑体"/>
          <w:sz w:val="32"/>
          <w:szCs w:val="32"/>
          <w:lang w:val="zh-CN"/>
        </w:rPr>
      </w:pPr>
      <w:r>
        <w:rPr>
          <w:rFonts w:ascii="黑体" w:hAnsi="Times New Roman" w:eastAsia="黑体" w:cs="黑体"/>
          <w:sz w:val="32"/>
          <w:szCs w:val="32"/>
          <w:lang w:val="zh-CN"/>
        </w:rPr>
        <w:t>九、国有资本经营预算财政拨款收入支出决算情况说明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我单位本年度无国有资本经营预算财政拨款收入、支出及结转和结余，国有资本经营预算财政拨款收入支出决算表为空表。</w:t>
      </w:r>
    </w:p>
    <w:p>
      <w:pPr>
        <w:autoSpaceDE w:val="0"/>
        <w:autoSpaceDN w:val="0"/>
        <w:adjustRightInd w:val="0"/>
        <w:spacing w:line="360" w:lineRule="auto"/>
        <w:ind w:firstLine="640"/>
        <w:outlineLvl w:val="1"/>
        <w:rPr>
          <w:rFonts w:hint="default" w:ascii="Times New Roman" w:hAnsi="Times New Roman" w:eastAsia="黑体"/>
          <w:sz w:val="32"/>
          <w:szCs w:val="32"/>
          <w:lang w:val="zh-CN"/>
        </w:rPr>
      </w:pPr>
      <w:r>
        <w:rPr>
          <w:rFonts w:ascii="黑体" w:hAnsi="Times New Roman" w:eastAsia="黑体" w:cs="黑体"/>
          <w:sz w:val="32"/>
          <w:szCs w:val="32"/>
          <w:lang w:val="zh-CN"/>
        </w:rPr>
        <w:t>十、其他重要事项的情况说明</w:t>
      </w:r>
    </w:p>
    <w:p>
      <w:pPr>
        <w:autoSpaceDE w:val="0"/>
        <w:autoSpaceDN w:val="0"/>
        <w:adjustRightInd w:val="0"/>
        <w:spacing w:line="360" w:lineRule="auto"/>
        <w:ind w:firstLine="640"/>
        <w:outlineLvl w:val="2"/>
        <w:rPr>
          <w:rFonts w:hint="default" w:ascii="Times New Roman" w:hAnsi="Times New Roman" w:eastAsia="黑体"/>
          <w:sz w:val="32"/>
          <w:szCs w:val="32"/>
          <w:lang w:val="zh-CN"/>
        </w:rPr>
      </w:pPr>
      <w:r>
        <w:rPr>
          <w:rFonts w:ascii="黑体" w:hAnsi="Times New Roman" w:eastAsia="黑体" w:cs="黑体"/>
          <w:sz w:val="32"/>
          <w:szCs w:val="32"/>
          <w:lang w:val="zh-CN"/>
        </w:rPr>
        <w:t>（一）机关运行经费支出情况</w:t>
      </w:r>
    </w:p>
    <w:p>
      <w:pPr>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2022年度乌鲁木齐市米东区人民医院单位公用经费0.00万元，比上年减少70.59万元，下降100.00%，主要原因是：</w:t>
      </w:r>
      <w:r>
        <w:rPr>
          <w:rFonts w:ascii="仿宋_GB2312" w:hAnsi="Times New Roman" w:eastAsia="仿宋_GB2312"/>
          <w:kern w:val="0"/>
          <w:sz w:val="32"/>
          <w:szCs w:val="24"/>
        </w:rPr>
        <w:t>本年为民办实事、第一书记办实事日常公用支出因疫情影响未做支出</w:t>
      </w:r>
      <w:r>
        <w:rPr>
          <w:rFonts w:ascii="仿宋_GB2312" w:hAnsi="Times New Roman" w:eastAsia="仿宋_GB2312" w:cs="仿宋_GB2312"/>
          <w:kern w:val="0"/>
          <w:sz w:val="32"/>
          <w:szCs w:val="32"/>
        </w:rPr>
        <w:t>。</w:t>
      </w:r>
    </w:p>
    <w:p>
      <w:pPr>
        <w:autoSpaceDE w:val="0"/>
        <w:autoSpaceDN w:val="0"/>
        <w:adjustRightInd w:val="0"/>
        <w:spacing w:line="360" w:lineRule="auto"/>
        <w:ind w:firstLine="640"/>
        <w:outlineLvl w:val="2"/>
        <w:rPr>
          <w:rFonts w:hint="default" w:ascii="Times New Roman" w:hAnsi="Times New Roman" w:eastAsia="黑体"/>
          <w:sz w:val="32"/>
          <w:szCs w:val="32"/>
        </w:rPr>
      </w:pPr>
      <w:r>
        <w:rPr>
          <w:rFonts w:ascii="黑体" w:hAnsi="Times New Roman" w:eastAsia="黑体" w:cs="黑体"/>
          <w:sz w:val="32"/>
          <w:szCs w:val="32"/>
        </w:rPr>
        <w:t>（</w:t>
      </w:r>
      <w:r>
        <w:rPr>
          <w:rFonts w:ascii="黑体" w:hAnsi="Times New Roman" w:eastAsia="黑体" w:cs="黑体"/>
          <w:sz w:val="32"/>
          <w:szCs w:val="32"/>
          <w:lang w:val="zh-CN"/>
        </w:rPr>
        <w:t>二</w:t>
      </w:r>
      <w:r>
        <w:rPr>
          <w:rFonts w:ascii="黑体" w:hAnsi="Times New Roman" w:eastAsia="黑体" w:cs="黑体"/>
          <w:sz w:val="32"/>
          <w:szCs w:val="32"/>
        </w:rPr>
        <w:t>）</w:t>
      </w:r>
      <w:r>
        <w:rPr>
          <w:rFonts w:ascii="黑体" w:hAnsi="Times New Roman" w:eastAsia="黑体" w:cs="黑体"/>
          <w:sz w:val="32"/>
          <w:szCs w:val="32"/>
          <w:lang w:val="zh-CN"/>
        </w:rPr>
        <w:t>政府采购情况</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2022年度政府采购支出总额0.00万元，其中：政府采购货物支出0.00万元、政府采购工程支出0.00万元、政府采购服务支出0.00万元。</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授予中小企业合同金额0.00万元，占政府采购支出总额的0.00%，其中：授予小微企业合同金额0.00万元，占政府采购支出总额的0.00%。</w:t>
      </w:r>
    </w:p>
    <w:p>
      <w:pPr>
        <w:autoSpaceDE w:val="0"/>
        <w:autoSpaceDN w:val="0"/>
        <w:adjustRightInd w:val="0"/>
        <w:spacing w:line="360" w:lineRule="auto"/>
        <w:ind w:firstLine="640"/>
        <w:outlineLvl w:val="2"/>
        <w:rPr>
          <w:rFonts w:hint="default" w:ascii="Times New Roman" w:hAnsi="Times New Roman" w:eastAsia="黑体"/>
          <w:sz w:val="32"/>
          <w:szCs w:val="32"/>
          <w:lang w:val="zh-CN"/>
        </w:rPr>
      </w:pPr>
      <w:r>
        <w:rPr>
          <w:rFonts w:ascii="黑体" w:hAnsi="Times New Roman" w:eastAsia="黑体" w:cs="黑体"/>
          <w:sz w:val="32"/>
          <w:szCs w:val="32"/>
          <w:lang w:val="zh-CN"/>
        </w:rPr>
        <w:t>（三）国有资产占用情况说明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截止2022年12月31日，</w:t>
      </w:r>
      <w:r>
        <w:rPr>
          <w:rFonts w:ascii="仿宋_GB2312" w:hAnsi="Times New Roman" w:eastAsia="仿宋_GB2312" w:cs="仿宋_GB2312"/>
          <w:sz w:val="32"/>
          <w:szCs w:val="32"/>
        </w:rPr>
        <w:t>固定资产原值</w:t>
      </w:r>
      <w:r>
        <w:rPr>
          <w:rFonts w:ascii="仿宋_GB2312" w:hAnsi="Times New Roman" w:eastAsia="仿宋_GB2312" w:cs="仿宋_GB2312"/>
          <w:kern w:val="0"/>
          <w:sz w:val="32"/>
          <w:szCs w:val="32"/>
        </w:rPr>
        <w:t>31,592.38</w:t>
      </w:r>
      <w:r>
        <w:rPr>
          <w:rFonts w:ascii="仿宋_GB2312" w:hAnsi="Times New Roman" w:eastAsia="仿宋_GB2312" w:cs="仿宋_GB2312"/>
          <w:sz w:val="32"/>
          <w:szCs w:val="32"/>
        </w:rPr>
        <w:t>万元，</w:t>
      </w:r>
      <w:r>
        <w:rPr>
          <w:rFonts w:ascii="仿宋_GB2312" w:hAnsi="Times New Roman" w:eastAsia="仿宋_GB2312" w:cs="仿宋_GB2312"/>
          <w:kern w:val="0"/>
          <w:sz w:val="32"/>
          <w:szCs w:val="32"/>
        </w:rPr>
        <w:t>房屋42,319.25平方米，价值13,965.55万元。车辆8辆，价值213.85万元，其中：副部（省）级及以上领导用车0辆、主要领导干部用车0辆、机要通信用车0辆、应急保障用车1辆、执法执勤用车0辆、特种专业技术用车5辆、离退休干部用车0辆、其他用车2辆，其他用车主要是：2辆均为单位业务用车；单价100</w:t>
      </w:r>
      <w:r>
        <w:rPr>
          <w:rFonts w:ascii="仿宋_GB2312" w:hAnsi="Times New Roman" w:eastAsia="仿宋_GB2312" w:cs="仿宋_GB2312"/>
          <w:sz w:val="32"/>
          <w:szCs w:val="32"/>
        </w:rPr>
        <w:t>万元（含）以上设备（不含车辆）</w:t>
      </w:r>
      <w:r>
        <w:rPr>
          <w:rFonts w:ascii="仿宋_GB2312" w:hAnsi="Times New Roman" w:eastAsia="仿宋_GB2312" w:cs="仿宋_GB2312"/>
          <w:kern w:val="0"/>
          <w:sz w:val="32"/>
          <w:szCs w:val="32"/>
        </w:rPr>
        <w:t>24台（套）。</w:t>
      </w:r>
    </w:p>
    <w:p>
      <w:pPr>
        <w:autoSpaceDE w:val="0"/>
        <w:autoSpaceDN w:val="0"/>
        <w:adjustRightInd w:val="0"/>
        <w:spacing w:line="360" w:lineRule="auto"/>
        <w:ind w:firstLine="640"/>
        <w:outlineLvl w:val="1"/>
        <w:rPr>
          <w:rFonts w:hint="default" w:ascii="Times New Roman" w:hAnsi="Times New Roman" w:eastAsia="黑体"/>
          <w:sz w:val="32"/>
          <w:szCs w:val="32"/>
          <w:lang w:val="zh-CN"/>
        </w:rPr>
      </w:pPr>
      <w:r>
        <w:rPr>
          <w:rFonts w:ascii="黑体" w:hAnsi="Times New Roman" w:eastAsia="黑体" w:cs="黑体"/>
          <w:sz w:val="32"/>
          <w:szCs w:val="32"/>
          <w:lang w:val="zh-CN"/>
        </w:rPr>
        <w:t>十一、预算绩效的情况说明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根据预算绩效管理要求，我单位2022年度开展预算绩效评价项目0个，</w:t>
      </w:r>
      <w:r>
        <w:rPr>
          <w:rFonts w:ascii="仿宋_GB2312" w:hAnsi="Times New Roman" w:eastAsia="仿宋_GB2312" w:cs="仿宋_GB2312"/>
          <w:sz w:val="32"/>
          <w:szCs w:val="32"/>
        </w:rPr>
        <w:t>全年预算数0.00万元，全年执行数</w:t>
      </w:r>
      <w:r>
        <w:rPr>
          <w:rFonts w:ascii="仿宋_GB2312" w:hAnsi="Times New Roman" w:eastAsia="仿宋_GB2312" w:cs="仿宋_GB2312"/>
          <w:kern w:val="0"/>
          <w:sz w:val="32"/>
          <w:szCs w:val="32"/>
        </w:rPr>
        <w:t>0.00</w:t>
      </w:r>
      <w:r>
        <w:rPr>
          <w:rFonts w:ascii="仿宋_GB2312" w:hAnsi="Times New Roman" w:eastAsia="仿宋_GB2312" w:cs="仿宋_GB2312"/>
          <w:sz w:val="32"/>
          <w:szCs w:val="32"/>
        </w:rPr>
        <w:t>万元。</w:t>
      </w:r>
      <w:r>
        <w:rPr>
          <w:rFonts w:ascii="仿宋_GB2312" w:hAnsi="Times New Roman" w:eastAsia="仿宋_GB2312" w:cs="仿宋_GB2312"/>
          <w:kern w:val="0"/>
          <w:sz w:val="32"/>
          <w:szCs w:val="32"/>
        </w:rPr>
        <w:t>预算绩效管理取得的成效：我单位无预算绩效管理的项目。发现的问题及原因：我单位无预算绩效管理的项目。下一步改进措施：我单位无预算绩效管理的项目。</w:t>
      </w:r>
    </w:p>
    <w:p>
      <w:pPr>
        <w:shd w:val="clear" w:color="auto" w:fill="FFFFFF"/>
        <w:autoSpaceDE w:val="0"/>
        <w:autoSpaceDN w:val="0"/>
        <w:adjustRightInd w:val="0"/>
        <w:spacing w:before="100" w:after="240"/>
        <w:jc w:val="center"/>
        <w:outlineLvl w:val="0"/>
        <w:rPr>
          <w:rFonts w:hint="default" w:ascii="Times New Roman" w:hAnsi="Times New Roman" w:eastAsia="黑体"/>
          <w:b/>
          <w:kern w:val="0"/>
          <w:sz w:val="28"/>
          <w:szCs w:val="28"/>
        </w:rPr>
      </w:pPr>
      <w:r>
        <w:rPr>
          <w:rFonts w:ascii="黑体" w:hAnsi="Times New Roman" w:eastAsia="黑体" w:cs="黑体"/>
          <w:kern w:val="0"/>
          <w:sz w:val="32"/>
          <w:szCs w:val="32"/>
        </w:rPr>
        <w:t>第三部分 专业名词解释</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财政拨款收入：指同级财政当年拨付的资金。</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上级补助收入：指事业单位从主管部门和上级单位取得的非财政补助收入。</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事业收入：指事业单位开展专业业务活动及其辅助活动所取得的收入。</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经营收入：指事业单位在专业业务活动及其辅助活动之外开展非独立核算经营活动取得的收入。</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附属单位上缴收入：指事业单位附属的独立核算单位按有关规定上缴的收入。</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其他收入：指除上述</w:t>
      </w:r>
      <w:r>
        <w:rPr>
          <w:rFonts w:hint="default" w:ascii="Times New Roman" w:hAnsi="Times New Roman" w:eastAsia="仿宋_GB2312" w:cs="仿宋_GB2312"/>
          <w:kern w:val="0"/>
          <w:sz w:val="32"/>
          <w:szCs w:val="32"/>
        </w:rPr>
        <w:t>“</w:t>
      </w:r>
      <w:r>
        <w:rPr>
          <w:rFonts w:ascii="仿宋_GB2312" w:hAnsi="Times New Roman" w:eastAsia="仿宋_GB2312" w:cs="仿宋_GB2312"/>
          <w:kern w:val="0"/>
          <w:sz w:val="32"/>
          <w:szCs w:val="32"/>
        </w:rPr>
        <w:t>财政拨款收入</w:t>
      </w:r>
      <w:r>
        <w:rPr>
          <w:rFonts w:hint="default" w:ascii="Times New Roman" w:hAnsi="Times New Roman" w:eastAsia="仿宋_GB2312" w:cs="仿宋_GB2312"/>
          <w:kern w:val="0"/>
          <w:sz w:val="32"/>
          <w:szCs w:val="32"/>
        </w:rPr>
        <w:t>”</w:t>
      </w:r>
      <w:r>
        <w:rPr>
          <w:rFonts w:ascii="仿宋_GB2312" w:hAnsi="Times New Roman" w:eastAsia="仿宋_GB2312" w:cs="仿宋_GB2312"/>
          <w:kern w:val="0"/>
          <w:sz w:val="32"/>
          <w:szCs w:val="32"/>
        </w:rPr>
        <w:t>、</w:t>
      </w:r>
      <w:r>
        <w:rPr>
          <w:rFonts w:hint="default" w:ascii="Times New Roman" w:hAnsi="Times New Roman" w:eastAsia="仿宋_GB2312" w:cs="仿宋_GB2312"/>
          <w:kern w:val="0"/>
          <w:sz w:val="32"/>
          <w:szCs w:val="32"/>
        </w:rPr>
        <w:t>“</w:t>
      </w:r>
      <w:r>
        <w:rPr>
          <w:rFonts w:ascii="仿宋_GB2312" w:hAnsi="Times New Roman" w:eastAsia="仿宋_GB2312" w:cs="仿宋_GB2312"/>
          <w:kern w:val="0"/>
          <w:sz w:val="32"/>
          <w:szCs w:val="32"/>
        </w:rPr>
        <w:t>事业收入</w:t>
      </w:r>
      <w:r>
        <w:rPr>
          <w:rFonts w:hint="default" w:ascii="Times New Roman" w:hAnsi="Times New Roman" w:eastAsia="仿宋_GB2312" w:cs="仿宋_GB2312"/>
          <w:kern w:val="0"/>
          <w:sz w:val="32"/>
          <w:szCs w:val="32"/>
        </w:rPr>
        <w:t>”</w:t>
      </w:r>
      <w:r>
        <w:rPr>
          <w:rFonts w:ascii="仿宋_GB2312" w:hAnsi="Times New Roman" w:eastAsia="仿宋_GB2312" w:cs="仿宋_GB2312"/>
          <w:kern w:val="0"/>
          <w:sz w:val="32"/>
          <w:szCs w:val="32"/>
        </w:rPr>
        <w:t>、</w:t>
      </w:r>
      <w:r>
        <w:rPr>
          <w:rFonts w:hint="default" w:ascii="Times New Roman" w:hAnsi="Times New Roman" w:eastAsia="仿宋_GB2312" w:cs="仿宋_GB2312"/>
          <w:kern w:val="0"/>
          <w:sz w:val="32"/>
          <w:szCs w:val="32"/>
        </w:rPr>
        <w:t>“</w:t>
      </w:r>
      <w:r>
        <w:rPr>
          <w:rFonts w:ascii="仿宋_GB2312" w:hAnsi="Times New Roman" w:eastAsia="仿宋_GB2312" w:cs="仿宋_GB2312"/>
          <w:kern w:val="0"/>
          <w:sz w:val="32"/>
          <w:szCs w:val="32"/>
        </w:rPr>
        <w:t>经营收入</w:t>
      </w:r>
      <w:r>
        <w:rPr>
          <w:rFonts w:hint="default" w:ascii="Times New Roman" w:hAnsi="Times New Roman" w:eastAsia="仿宋_GB2312" w:cs="仿宋_GB2312"/>
          <w:kern w:val="0"/>
          <w:sz w:val="32"/>
          <w:szCs w:val="32"/>
        </w:rPr>
        <w:t>”</w:t>
      </w:r>
      <w:r>
        <w:rPr>
          <w:rFonts w:ascii="仿宋_GB2312" w:hAnsi="Times New Roman" w:eastAsia="仿宋_GB2312" w:cs="仿宋_GB2312"/>
          <w:kern w:val="0"/>
          <w:sz w:val="32"/>
          <w:szCs w:val="32"/>
        </w:rPr>
        <w:t>、</w:t>
      </w:r>
      <w:r>
        <w:rPr>
          <w:rFonts w:hint="default" w:ascii="Times New Roman" w:hAnsi="Times New Roman" w:eastAsia="仿宋_GB2312" w:cs="仿宋_GB2312"/>
          <w:kern w:val="0"/>
          <w:sz w:val="32"/>
          <w:szCs w:val="32"/>
        </w:rPr>
        <w:t>“</w:t>
      </w:r>
      <w:r>
        <w:rPr>
          <w:rFonts w:ascii="仿宋_GB2312" w:hAnsi="Times New Roman" w:eastAsia="仿宋_GB2312" w:cs="仿宋_GB2312"/>
          <w:kern w:val="0"/>
          <w:sz w:val="32"/>
          <w:szCs w:val="32"/>
        </w:rPr>
        <w:t>附属单位上缴收入</w:t>
      </w:r>
      <w:r>
        <w:rPr>
          <w:rFonts w:hint="default" w:ascii="Times New Roman" w:hAnsi="Times New Roman" w:eastAsia="仿宋_GB2312" w:cs="仿宋_GB2312"/>
          <w:kern w:val="0"/>
          <w:sz w:val="32"/>
          <w:szCs w:val="32"/>
        </w:rPr>
        <w:t>”</w:t>
      </w:r>
      <w:r>
        <w:rPr>
          <w:rFonts w:ascii="仿宋_GB2312" w:hAnsi="Times New Roman" w:eastAsia="仿宋_GB2312" w:cs="仿宋_GB2312"/>
          <w:kern w:val="0"/>
          <w:sz w:val="32"/>
          <w:szCs w:val="32"/>
        </w:rPr>
        <w:t>等之外取得的收入。</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基本支出：指为保障机构正常运转、完成日常工作任务而发生的人员支出和公用支出。</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项目支出：指在基本支出之外为完成特定行政任务和事业发展目标所发生的支出。</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经营支出：指事业单位在专业业务活动及其辅助活动之外开展非独立核算经营活动发生的支出。</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对附属单位补助支出：指事业单位发生的用非财政预算资金对附属单位的补助支出。</w:t>
      </w:r>
    </w:p>
    <w:p>
      <w:pPr>
        <w:autoSpaceDE w:val="0"/>
        <w:autoSpaceDN w:val="0"/>
        <w:adjustRightInd w:val="0"/>
        <w:spacing w:line="360" w:lineRule="auto"/>
        <w:ind w:firstLine="640"/>
        <w:rPr>
          <w:rFonts w:hint="default" w:ascii="Times New Roman" w:hAnsi="Times New Roman" w:eastAsia="仿宋_GB2312"/>
          <w:sz w:val="32"/>
          <w:szCs w:val="32"/>
        </w:rPr>
      </w:pPr>
      <w:r>
        <w:rPr>
          <w:rFonts w:hint="default" w:ascii="Times New Roman" w:hAnsi="Times New Roman" w:eastAsia="仿宋_GB2312" w:cs="仿宋_GB2312"/>
          <w:sz w:val="32"/>
          <w:szCs w:val="32"/>
        </w:rPr>
        <w:t>“</w:t>
      </w:r>
      <w:r>
        <w:rPr>
          <w:rFonts w:ascii="仿宋_GB2312" w:hAnsi="Times New Roman" w:eastAsia="仿宋_GB2312" w:cs="仿宋_GB2312"/>
          <w:sz w:val="32"/>
          <w:szCs w:val="32"/>
        </w:rPr>
        <w:t>三公</w:t>
      </w:r>
      <w:r>
        <w:rPr>
          <w:rFonts w:hint="default" w:ascii="Times New Roman" w:hAnsi="Times New Roman" w:eastAsia="仿宋_GB2312" w:cs="仿宋_GB2312"/>
          <w:sz w:val="32"/>
          <w:szCs w:val="32"/>
        </w:rPr>
        <w:t>”</w:t>
      </w:r>
      <w:r>
        <w:rPr>
          <w:rFonts w:ascii="仿宋_GB2312" w:hAnsi="Times New Roman" w:eastAsia="仿宋_GB2312" w:cs="仿宋_GB2312"/>
          <w:sz w:val="32"/>
          <w:szCs w:val="32"/>
        </w:rPr>
        <w:t>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autoSpaceDE w:val="0"/>
        <w:autoSpaceDN w:val="0"/>
        <w:adjustRightInd w:val="0"/>
        <w:spacing w:line="360" w:lineRule="auto"/>
        <w:ind w:firstLine="640"/>
        <w:rPr>
          <w:rFonts w:hint="default" w:ascii="Times New Roman" w:hAnsi="Times New Roman" w:eastAsia="仿宋_GB2312"/>
          <w:sz w:val="32"/>
          <w:szCs w:val="32"/>
        </w:rPr>
      </w:pPr>
      <w:r>
        <w:rPr>
          <w:rFonts w:ascii="仿宋_GB2312" w:hAnsi="Times New Roman" w:eastAsia="仿宋_GB2312" w:cs="仿宋_GB2312"/>
          <w:sz w:val="32"/>
          <w:szCs w:val="32"/>
        </w:rPr>
        <w:t>机关运行经费：行政单位和参照公务员法管理的事业单位财政拨款基本支出中的公用经费支出。</w:t>
      </w:r>
    </w:p>
    <w:p>
      <w:pPr>
        <w:rPr>
          <w:rFonts w:hint="default" w:ascii="黑体" w:hAnsi="Times New Roman" w:eastAsia="黑体" w:cs="黑体"/>
          <w:kern w:val="0"/>
          <w:sz w:val="32"/>
          <w:szCs w:val="32"/>
        </w:rPr>
      </w:pPr>
      <w:r>
        <w:rPr>
          <w:rFonts w:ascii="黑体" w:hAnsi="Times New Roman" w:eastAsia="黑体" w:cs="黑体"/>
          <w:kern w:val="0"/>
          <w:sz w:val="32"/>
          <w:szCs w:val="32"/>
        </w:rPr>
        <w:br w:type="page"/>
      </w:r>
    </w:p>
    <w:p>
      <w:pPr>
        <w:shd w:val="clear" w:color="auto" w:fill="FFFFFF"/>
        <w:autoSpaceDE w:val="0"/>
        <w:autoSpaceDN w:val="0"/>
        <w:adjustRightInd w:val="0"/>
        <w:spacing w:before="100" w:after="240"/>
        <w:jc w:val="center"/>
        <w:outlineLvl w:val="0"/>
        <w:rPr>
          <w:rFonts w:hint="default" w:ascii="Times New Roman" w:hAnsi="Times New Roman" w:eastAsia="黑体"/>
          <w:kern w:val="0"/>
          <w:sz w:val="32"/>
          <w:szCs w:val="32"/>
        </w:rPr>
      </w:pPr>
      <w:r>
        <w:rPr>
          <w:rFonts w:ascii="黑体" w:hAnsi="Times New Roman" w:eastAsia="黑体" w:cs="黑体"/>
          <w:kern w:val="0"/>
          <w:sz w:val="32"/>
          <w:szCs w:val="32"/>
        </w:rPr>
        <w:t>第四部分 部门决算报表（见附表）</w:t>
      </w:r>
    </w:p>
    <w:p>
      <w:pPr>
        <w:autoSpaceDE w:val="0"/>
        <w:autoSpaceDN w:val="0"/>
        <w:adjustRightInd w:val="0"/>
        <w:spacing w:line="540" w:lineRule="exact"/>
        <w:ind w:firstLine="640"/>
        <w:rPr>
          <w:rFonts w:hint="default" w:ascii="Times New Roman" w:hAnsi="Times New Roman" w:eastAsia="黑体"/>
          <w:sz w:val="32"/>
          <w:szCs w:val="32"/>
        </w:rPr>
      </w:pPr>
      <w:r>
        <w:rPr>
          <w:rFonts w:ascii="黑体" w:hAnsi="Times New Roman" w:eastAsia="黑体" w:cs="黑体"/>
          <w:sz w:val="32"/>
          <w:szCs w:val="32"/>
        </w:rPr>
        <w:t>一、《收入支出决算总表》</w:t>
      </w:r>
    </w:p>
    <w:p>
      <w:pPr>
        <w:autoSpaceDE w:val="0"/>
        <w:autoSpaceDN w:val="0"/>
        <w:adjustRightInd w:val="0"/>
        <w:spacing w:line="540" w:lineRule="exact"/>
        <w:ind w:firstLine="640"/>
        <w:rPr>
          <w:rFonts w:hint="default" w:ascii="Times New Roman" w:hAnsi="Times New Roman" w:eastAsia="黑体"/>
          <w:sz w:val="32"/>
          <w:szCs w:val="32"/>
        </w:rPr>
      </w:pPr>
      <w:r>
        <w:rPr>
          <w:rFonts w:ascii="黑体" w:hAnsi="Times New Roman" w:eastAsia="黑体" w:cs="黑体"/>
          <w:sz w:val="32"/>
          <w:szCs w:val="32"/>
        </w:rPr>
        <w:t>二、《收入决算表》</w:t>
      </w:r>
    </w:p>
    <w:p>
      <w:pPr>
        <w:autoSpaceDE w:val="0"/>
        <w:autoSpaceDN w:val="0"/>
        <w:adjustRightInd w:val="0"/>
        <w:spacing w:line="540" w:lineRule="exact"/>
        <w:ind w:firstLine="640"/>
        <w:rPr>
          <w:rFonts w:hint="default" w:ascii="Times New Roman" w:hAnsi="Times New Roman" w:eastAsia="黑体"/>
          <w:sz w:val="32"/>
          <w:szCs w:val="32"/>
        </w:rPr>
      </w:pPr>
      <w:r>
        <w:rPr>
          <w:rFonts w:ascii="黑体" w:hAnsi="Times New Roman" w:eastAsia="黑体" w:cs="黑体"/>
          <w:sz w:val="32"/>
          <w:szCs w:val="32"/>
        </w:rPr>
        <w:t>三、《支出决算表》</w:t>
      </w:r>
    </w:p>
    <w:p>
      <w:pPr>
        <w:autoSpaceDE w:val="0"/>
        <w:autoSpaceDN w:val="0"/>
        <w:adjustRightInd w:val="0"/>
        <w:spacing w:line="540" w:lineRule="exact"/>
        <w:ind w:firstLine="640"/>
        <w:rPr>
          <w:rFonts w:hint="default" w:ascii="Times New Roman" w:hAnsi="Times New Roman" w:eastAsia="黑体"/>
          <w:sz w:val="32"/>
          <w:szCs w:val="32"/>
        </w:rPr>
      </w:pPr>
      <w:r>
        <w:rPr>
          <w:rFonts w:ascii="黑体" w:hAnsi="Times New Roman" w:eastAsia="黑体" w:cs="黑体"/>
          <w:sz w:val="32"/>
          <w:szCs w:val="32"/>
        </w:rPr>
        <w:t>四、《财政拨款收入支出决算总表》</w:t>
      </w:r>
    </w:p>
    <w:p>
      <w:pPr>
        <w:autoSpaceDE w:val="0"/>
        <w:autoSpaceDN w:val="0"/>
        <w:adjustRightInd w:val="0"/>
        <w:spacing w:line="540" w:lineRule="exact"/>
        <w:ind w:firstLine="640"/>
        <w:rPr>
          <w:rFonts w:hint="default" w:ascii="Times New Roman" w:hAnsi="Times New Roman" w:eastAsia="黑体"/>
          <w:sz w:val="32"/>
          <w:szCs w:val="32"/>
        </w:rPr>
      </w:pPr>
      <w:r>
        <w:rPr>
          <w:rFonts w:ascii="黑体" w:hAnsi="Times New Roman" w:eastAsia="黑体" w:cs="黑体"/>
          <w:sz w:val="32"/>
          <w:szCs w:val="32"/>
        </w:rPr>
        <w:t>五、《一般公共预算财政拨款支出决算表》</w:t>
      </w:r>
    </w:p>
    <w:p>
      <w:pPr>
        <w:autoSpaceDE w:val="0"/>
        <w:autoSpaceDN w:val="0"/>
        <w:adjustRightInd w:val="0"/>
        <w:spacing w:line="540" w:lineRule="exact"/>
        <w:ind w:firstLine="640"/>
        <w:rPr>
          <w:rFonts w:hint="default" w:ascii="Times New Roman" w:hAnsi="Times New Roman" w:eastAsia="黑体"/>
          <w:sz w:val="32"/>
          <w:szCs w:val="32"/>
        </w:rPr>
      </w:pPr>
      <w:r>
        <w:rPr>
          <w:rFonts w:ascii="黑体" w:hAnsi="Times New Roman" w:eastAsia="黑体" w:cs="黑体"/>
          <w:sz w:val="32"/>
          <w:szCs w:val="32"/>
        </w:rPr>
        <w:t>六、《一般公共预算财政拨款基本支出决算表》</w:t>
      </w:r>
    </w:p>
    <w:p>
      <w:pPr>
        <w:autoSpaceDE w:val="0"/>
        <w:autoSpaceDN w:val="0"/>
        <w:adjustRightInd w:val="0"/>
        <w:spacing w:line="540" w:lineRule="exact"/>
        <w:ind w:firstLine="640"/>
        <w:rPr>
          <w:rFonts w:hint="default" w:ascii="Times New Roman" w:hAnsi="Times New Roman" w:eastAsia="黑体"/>
          <w:sz w:val="32"/>
          <w:szCs w:val="32"/>
        </w:rPr>
      </w:pPr>
      <w:r>
        <w:rPr>
          <w:rFonts w:ascii="黑体" w:hAnsi="Times New Roman" w:eastAsia="黑体" w:cs="黑体"/>
          <w:sz w:val="32"/>
          <w:szCs w:val="32"/>
        </w:rPr>
        <w:t>七、《财政拨款</w:t>
      </w:r>
      <w:r>
        <w:rPr>
          <w:rFonts w:hint="default" w:ascii="Times New Roman" w:hAnsi="Times New Roman" w:eastAsia="黑体" w:cs="黑体"/>
          <w:sz w:val="32"/>
          <w:szCs w:val="32"/>
        </w:rPr>
        <w:t>“</w:t>
      </w:r>
      <w:r>
        <w:rPr>
          <w:rFonts w:ascii="黑体" w:hAnsi="Times New Roman" w:eastAsia="黑体" w:cs="黑体"/>
          <w:sz w:val="32"/>
          <w:szCs w:val="32"/>
        </w:rPr>
        <w:t>三公</w:t>
      </w:r>
      <w:r>
        <w:rPr>
          <w:rFonts w:hint="default" w:ascii="Times New Roman" w:hAnsi="Times New Roman" w:eastAsia="黑体" w:cs="黑体"/>
          <w:sz w:val="32"/>
          <w:szCs w:val="32"/>
        </w:rPr>
        <w:t>”</w:t>
      </w:r>
      <w:r>
        <w:rPr>
          <w:rFonts w:ascii="黑体" w:hAnsi="Times New Roman" w:eastAsia="黑体" w:cs="黑体"/>
          <w:sz w:val="32"/>
          <w:szCs w:val="32"/>
        </w:rPr>
        <w:t>经费支出决算表》</w:t>
      </w:r>
    </w:p>
    <w:p>
      <w:pPr>
        <w:autoSpaceDE w:val="0"/>
        <w:autoSpaceDN w:val="0"/>
        <w:adjustRightInd w:val="0"/>
        <w:spacing w:line="540" w:lineRule="exact"/>
        <w:ind w:firstLine="640"/>
        <w:rPr>
          <w:rFonts w:hint="default" w:ascii="Times New Roman" w:hAnsi="Times New Roman" w:eastAsia="黑体"/>
          <w:kern w:val="0"/>
          <w:sz w:val="32"/>
          <w:szCs w:val="32"/>
        </w:rPr>
      </w:pPr>
      <w:r>
        <w:rPr>
          <w:rFonts w:ascii="黑体" w:hAnsi="Times New Roman" w:eastAsia="黑体" w:cs="黑体"/>
          <w:sz w:val="32"/>
          <w:szCs w:val="32"/>
        </w:rPr>
        <w:t>八、《政府性基金预算财政拨款收入支出决算表》</w:t>
      </w:r>
    </w:p>
    <w:p>
      <w:pPr>
        <w:autoSpaceDE w:val="0"/>
        <w:autoSpaceDN w:val="0"/>
        <w:adjustRightInd w:val="0"/>
        <w:spacing w:line="540" w:lineRule="exact"/>
        <w:ind w:firstLine="640"/>
        <w:rPr>
          <w:rFonts w:hint="default" w:ascii="Times New Roman" w:hAnsi="Times New Roman" w:eastAsia="黑体"/>
          <w:kern w:val="0"/>
          <w:sz w:val="32"/>
          <w:szCs w:val="32"/>
        </w:rPr>
      </w:pPr>
      <w:r>
        <w:rPr>
          <w:rFonts w:ascii="黑体" w:hAnsi="Times New Roman" w:eastAsia="黑体" w:cs="黑体"/>
          <w:sz w:val="32"/>
          <w:szCs w:val="32"/>
          <w:lang w:val="zh-CN"/>
        </w:rPr>
        <w:t>九</w:t>
      </w:r>
      <w:r>
        <w:rPr>
          <w:rFonts w:ascii="黑体" w:hAnsi="Times New Roman" w:eastAsia="黑体" w:cs="黑体"/>
          <w:sz w:val="32"/>
          <w:szCs w:val="32"/>
        </w:rPr>
        <w:t>、《国有资本经营预算财政拨款收入支出决算表》</w:t>
      </w:r>
    </w:p>
    <w:p>
      <w:pPr>
        <w:autoSpaceDE w:val="0"/>
        <w:autoSpaceDN w:val="0"/>
        <w:adjustRightInd w:val="0"/>
        <w:jc w:val="left"/>
        <w:rPr>
          <w:rFonts w:hint="default" w:ascii="Times New Roman" w:hAnsi="Times New Roman" w:eastAsia="黑体"/>
          <w:kern w:val="36"/>
          <w:sz w:val="40"/>
          <w:szCs w:val="40"/>
          <w:lang w:val="zh-CN"/>
        </w:rPr>
      </w:pPr>
    </w:p>
    <w:p>
      <w:pPr>
        <w:autoSpaceDE w:val="0"/>
        <w:autoSpaceDN w:val="0"/>
        <w:adjustRightInd w:val="0"/>
        <w:rPr>
          <w:rFonts w:hint="default" w:ascii="Times New Roman" w:hAnsi="Times New Roman" w:eastAsia="黑体"/>
          <w:szCs w:val="21"/>
        </w:rPr>
      </w:pPr>
    </w:p>
    <w:p>
      <w:pPr>
        <w:autoSpaceDE w:val="0"/>
        <w:autoSpaceDN w:val="0"/>
        <w:adjustRightInd w:val="0"/>
        <w:jc w:val="left"/>
        <w:rPr>
          <w:rFonts w:hint="default" w:ascii="Times New Roman" w:hAnsi="Times New Roman" w:eastAsia="黑体"/>
          <w:kern w:val="36"/>
          <w:sz w:val="40"/>
          <w:szCs w:val="40"/>
          <w:lang w:val="zh-CN"/>
        </w:rPr>
      </w:pPr>
    </w:p>
    <w:p>
      <w:pPr>
        <w:autoSpaceDE w:val="0"/>
        <w:autoSpaceDN w:val="0"/>
        <w:adjustRightInd w:val="0"/>
        <w:rPr>
          <w:rFonts w:hint="default" w:ascii="Times New Roman" w:hAnsi="Times New Roman" w:eastAsia="黑体"/>
          <w:szCs w:val="21"/>
        </w:rPr>
      </w:pPr>
    </w:p>
    <w:p>
      <w:pPr>
        <w:autoSpaceDE w:val="0"/>
        <w:autoSpaceDN w:val="0"/>
        <w:adjustRightInd w:val="0"/>
        <w:jc w:val="left"/>
        <w:rPr>
          <w:rFonts w:hint="default" w:ascii="Times New Roman" w:hAnsi="Times New Roman" w:eastAsia="黑体"/>
          <w:kern w:val="36"/>
          <w:sz w:val="40"/>
          <w:szCs w:val="40"/>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0172A27"/>
    <w:rsid w:val="00477AA6"/>
    <w:rsid w:val="005746C4"/>
    <w:rsid w:val="00973CC9"/>
    <w:rsid w:val="009A44EB"/>
    <w:rsid w:val="00AC7C95"/>
    <w:rsid w:val="00B208EF"/>
    <w:rsid w:val="00C6658E"/>
    <w:rsid w:val="00E85200"/>
    <w:rsid w:val="00F84B4A"/>
    <w:rsid w:val="20920AA0"/>
    <w:rsid w:val="3CD4472B"/>
    <w:rsid w:val="481D1487"/>
    <w:rsid w:val="60EB76F4"/>
    <w:rsid w:val="6CFA24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iPriority="0"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10" w:semiHidden="0" w:name="Title"/>
    <w:lsdException w:qFormat="1" w:unhideWhenUsed="0" w:uiPriority="99" w:semiHidden="0" w:name="Closing"/>
    <w:lsdException w:qFormat="1" w:unhideWhenUsed="0" w:uiPriority="99"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11"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nhideWhenUsed="0" w:uiPriority="99" w:semiHidden="0" w:name="Balloon Text"/>
    <w:lsdException w:qFormat="1" w:unhideWhenUsed="0" w:uiPriority="39" w:semiHidden="0" w:name="Table Grid"/>
    <w:lsdException w:qFormat="1"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jc w:val="both"/>
    </w:pPr>
    <w:rPr>
      <w:rFonts w:hint="eastAsia" w:ascii="等线" w:hAnsi="等线" w:eastAsia="等线"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unhideWhenUsed/>
    <w:qFormat/>
    <w:uiPriority w:val="0"/>
    <w:pPr>
      <w:ind w:left="200" w:left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5271</Words>
  <Characters>5986</Characters>
  <Lines>43</Lines>
  <Paragraphs>12</Paragraphs>
  <TotalTime>1</TotalTime>
  <ScaleCrop>false</ScaleCrop>
  <LinksUpToDate>false</LinksUpToDate>
  <CharactersWithSpaces>5996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2023-08-28T08:38:00Z</dcterms:created>
  <dc:creator>asus</dc:creator>
  <cp:lastModifiedBy>逐梦令</cp:lastModifiedBy>
  <dcterms:modified xsi:type="dcterms:W3CDTF">2023-09-01T14:46:11Z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CFB77ACE23B142469FD5DFA9E6143FFF_13</vt:lpwstr>
  </property>
</Properties>
</file>