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after="240"/>
        <w:jc w:val="center"/>
        <w:rPr>
          <w:rFonts w:hint="default" w:eastAsia="Times New Roman"/>
          <w:kern w:val="36"/>
          <w:sz w:val="40"/>
          <w:szCs w:val="24"/>
          <w:lang w:val="zh-CN"/>
        </w:rPr>
      </w:pPr>
    </w:p>
    <w:p>
      <w:pPr>
        <w:shd w:val="clear" w:color="auto" w:fill="FFFFFF"/>
        <w:spacing w:before="240" w:after="240"/>
        <w:jc w:val="center"/>
        <w:rPr>
          <w:rFonts w:hint="default" w:eastAsia="Times New Roman"/>
          <w:kern w:val="36"/>
          <w:sz w:val="40"/>
          <w:szCs w:val="24"/>
          <w:lang w:val="zh-CN"/>
        </w:rPr>
      </w:pPr>
    </w:p>
    <w:p>
      <w:pPr>
        <w:jc w:val="center"/>
        <w:rPr>
          <w:rFonts w:hint="eastAsia" w:ascii="方正小标宋_GBK" w:hAnsi="方正小标宋_GBK" w:eastAsia="方正小标宋_GBK"/>
          <w:sz w:val="44"/>
          <w:szCs w:val="24"/>
          <w:lang w:val="en-US"/>
        </w:rPr>
      </w:pPr>
      <w:r>
        <w:rPr>
          <w:rFonts w:hint="eastAsia" w:ascii="方正小标宋_GBK" w:hAnsi="方正小标宋_GBK" w:eastAsia="方正小标宋_GBK"/>
          <w:sz w:val="44"/>
          <w:szCs w:val="24"/>
          <w:lang w:val="en-US"/>
        </w:rPr>
        <w:t>乌鲁木齐市米东区党史地方志编纂委员会办公室</w:t>
      </w:r>
    </w:p>
    <w:p>
      <w:pPr>
        <w:jc w:val="center"/>
        <w:rPr>
          <w:rFonts w:hint="default" w:eastAsia="Times New Roman"/>
          <w:kern w:val="36"/>
          <w:sz w:val="40"/>
          <w:szCs w:val="24"/>
          <w:lang w:val="zh-CN"/>
        </w:rPr>
      </w:pPr>
      <w:r>
        <w:rPr>
          <w:rFonts w:hint="eastAsia" w:ascii="方正小标宋_GBK" w:hAnsi="方正小标宋_GBK" w:eastAsia="方正小标宋_GBK"/>
          <w:sz w:val="44"/>
          <w:szCs w:val="24"/>
          <w:lang w:val="en-US"/>
        </w:rPr>
        <w:t>2022年度部门决算公开说明</w:t>
      </w:r>
    </w:p>
    <w:p>
      <w:pPr>
        <w:shd w:val="clear" w:color="auto" w:fill="FFFFFF"/>
        <w:spacing w:before="240" w:after="240"/>
        <w:jc w:val="center"/>
        <w:rPr>
          <w:rFonts w:hint="default" w:eastAsia="Times New Roman"/>
          <w:b/>
          <w:kern w:val="36"/>
          <w:sz w:val="24"/>
          <w:szCs w:val="24"/>
          <w:highlight w:val="yellow"/>
          <w:lang w:val="ar-SA"/>
        </w:rPr>
      </w:pPr>
    </w:p>
    <w:p>
      <w:pPr>
        <w:shd w:val="clear" w:color="auto" w:fill="FFFFFF"/>
        <w:spacing w:before="240" w:after="240"/>
        <w:jc w:val="center"/>
        <w:rPr>
          <w:rFonts w:hint="default" w:eastAsia="Times New Roman"/>
          <w:kern w:val="36"/>
          <w:sz w:val="40"/>
          <w:szCs w:val="24"/>
          <w:lang w:val="zh-CN"/>
        </w:rPr>
      </w:pPr>
    </w:p>
    <w:p>
      <w:pPr>
        <w:spacing w:line="540" w:lineRule="exact"/>
        <w:jc w:val="center"/>
        <w:rPr>
          <w:rFonts w:hint="default" w:eastAsia="Times New Roman"/>
          <w:b/>
          <w:kern w:val="0"/>
          <w:sz w:val="24"/>
          <w:szCs w:val="24"/>
          <w:lang w:val="en-US"/>
        </w:rPr>
      </w:pPr>
      <w:r>
        <w:rPr>
          <w:rFonts w:hint="default" w:eastAsia="Times New Roman"/>
          <w:b/>
          <w:kern w:val="36"/>
          <w:sz w:val="36"/>
          <w:szCs w:val="24"/>
          <w:lang w:val="en-US"/>
        </w:rPr>
        <w:br w:type="page"/>
      </w:r>
      <w:r>
        <w:rPr>
          <w:rFonts w:hint="eastAsia" w:ascii="仿宋_GB2312" w:hAnsi="仿宋_GB2312" w:eastAsia="仿宋_GB2312"/>
          <w:b/>
          <w:kern w:val="0"/>
          <w:sz w:val="36"/>
          <w:szCs w:val="24"/>
          <w:lang w:val="en-US"/>
        </w:rPr>
        <w:t>目  录</w:t>
      </w:r>
    </w:p>
    <w:p>
      <w:pPr>
        <w:spacing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第一部分 单位概况</w:t>
      </w:r>
    </w:p>
    <w:p>
      <w:pPr>
        <w:spacing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一、主要职能</w:t>
      </w:r>
    </w:p>
    <w:p>
      <w:pPr>
        <w:spacing w:line="360" w:lineRule="auto"/>
        <w:rPr>
          <w:rFonts w:hint="default" w:eastAsia="Times New Roman"/>
          <w:kern w:val="0"/>
          <w:sz w:val="32"/>
          <w:szCs w:val="24"/>
          <w:lang w:val="en-US"/>
        </w:rPr>
      </w:pPr>
      <w:r>
        <w:rPr>
          <w:rFonts w:hint="eastAsia" w:ascii="仿宋_GB2312" w:hAnsi="仿宋_GB2312" w:eastAsia="仿宋_GB2312"/>
          <w:kern w:val="0"/>
          <w:sz w:val="32"/>
          <w:szCs w:val="24"/>
          <w:lang w:val="en-US"/>
        </w:rPr>
        <w:t>二、</w:t>
      </w:r>
      <w:r>
        <w:rPr>
          <w:rFonts w:hint="eastAsia" w:ascii="仿宋_GB2312" w:hAnsi="仿宋_GB2312" w:eastAsia="仿宋_GB2312"/>
          <w:sz w:val="32"/>
          <w:szCs w:val="24"/>
          <w:lang w:val="en-US"/>
        </w:rPr>
        <w:t>机构设置及人员情况</w:t>
      </w:r>
    </w:p>
    <w:p>
      <w:pPr>
        <w:spacing w:line="360" w:lineRule="auto"/>
        <w:rPr>
          <w:rFonts w:hint="default" w:eastAsia="Times New Roman"/>
          <w:kern w:val="0"/>
          <w:sz w:val="32"/>
          <w:szCs w:val="24"/>
          <w:lang w:val="en-US"/>
        </w:rPr>
      </w:pPr>
      <w:r>
        <w:rPr>
          <w:rFonts w:hint="eastAsia" w:ascii="仿宋_GB2312" w:hAnsi="仿宋_GB2312" w:eastAsia="仿宋_GB2312"/>
          <w:b/>
          <w:kern w:val="0"/>
          <w:sz w:val="32"/>
          <w:szCs w:val="24"/>
          <w:lang w:val="en-US"/>
        </w:rPr>
        <w:t>第二部分 部门决算情况说明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一、收入支出决算总体情况说明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二、收入决算情况说明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四、财政拨款收入支出决算总体情况说明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lang w:val="en-US"/>
        </w:rPr>
        <w:t>收入支出决算情况说明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十、其他重要事项的情况说明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（一）机关运行经费支出情况</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（二）政府采购情况</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（三）国有资产占用情况说明</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lang w:val="en-US"/>
        </w:rPr>
        <w:t>、预算绩效的情况说明</w:t>
      </w:r>
    </w:p>
    <w:p>
      <w:pPr>
        <w:spacing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第三部分 专业名词解释</w:t>
      </w:r>
    </w:p>
    <w:p>
      <w:pPr>
        <w:spacing w:line="360" w:lineRule="auto"/>
        <w:rPr>
          <w:rFonts w:hint="default" w:eastAsia="Times New Roman"/>
          <w:b/>
          <w:kern w:val="0"/>
          <w:sz w:val="32"/>
          <w:szCs w:val="24"/>
          <w:lang w:val="en-US"/>
        </w:rPr>
      </w:pPr>
      <w:r>
        <w:rPr>
          <w:rFonts w:hint="eastAsia" w:ascii="仿宋_GB2312" w:hAnsi="仿宋_GB2312" w:eastAsia="仿宋_GB2312"/>
          <w:b/>
          <w:kern w:val="0"/>
          <w:sz w:val="32"/>
          <w:szCs w:val="24"/>
          <w:lang w:val="en-US"/>
        </w:rPr>
        <w:t>第四部分 部</w:t>
      </w:r>
      <w:r>
        <w:rPr>
          <w:rFonts w:hint="eastAsia" w:ascii="仿宋_GB2312" w:hAnsi="仿宋_GB2312" w:eastAsia="仿宋_GB2312"/>
          <w:b/>
          <w:sz w:val="32"/>
          <w:szCs w:val="24"/>
          <w:lang w:val="en-US"/>
        </w:rPr>
        <w:t>门决算报表（见附表）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一、《收入支出决算总表》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二、《收入决算表》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三、《支出决算表》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四、《财政拨款收入支出决算总表》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五、《一般公共预算财政拨款支出决算表》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六、《一般公共预算财政拨款基本支出决算表》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七、《财政拨款“三公”经费支出决算表》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八、《政府性基金预算财政拨款收入支出决算表》</w:t>
      </w:r>
    </w:p>
    <w:p>
      <w:pPr>
        <w:spacing w:line="360" w:lineRule="auto"/>
        <w:rPr>
          <w:rFonts w:hint="default" w:eastAsia="Times New Roman"/>
          <w:sz w:val="32"/>
          <w:szCs w:val="24"/>
          <w:lang w:val="en-US"/>
        </w:rPr>
      </w:pPr>
      <w:r>
        <w:rPr>
          <w:rFonts w:hint="eastAsia" w:ascii="仿宋_GB2312" w:hAnsi="仿宋_GB2312" w:eastAsia="仿宋_GB2312"/>
          <w:sz w:val="32"/>
          <w:szCs w:val="24"/>
          <w:lang w:val="en-US"/>
        </w:rPr>
        <w:t>九、《国有资本经营预算财政拨款收入支出决算表》</w:t>
      </w:r>
    </w:p>
    <w:p>
      <w:pPr>
        <w:spacing w:line="540" w:lineRule="exact"/>
        <w:ind w:firstLine="640"/>
        <w:rPr>
          <w:rFonts w:hint="default" w:eastAsia="Times New Roman"/>
          <w:b/>
          <w:kern w:val="0"/>
          <w:sz w:val="28"/>
          <w:szCs w:val="24"/>
          <w:lang w:val="en-US"/>
        </w:rPr>
      </w:pPr>
    </w:p>
    <w:p>
      <w:pPr>
        <w:shd w:val="clear" w:color="auto" w:fill="FFFFFF"/>
        <w:spacing w:line="360" w:lineRule="auto"/>
        <w:jc w:val="center"/>
        <w:rPr>
          <w:rFonts w:hint="default" w:eastAsia="Times New Roman"/>
          <w:kern w:val="0"/>
          <w:sz w:val="32"/>
          <w:szCs w:val="24"/>
          <w:lang w:val="en-US"/>
        </w:rPr>
      </w:pPr>
    </w:p>
    <w:p>
      <w:pPr>
        <w:shd w:val="clear" w:color="auto" w:fill="FFFFFF"/>
        <w:spacing w:line="360" w:lineRule="auto"/>
        <w:jc w:val="center"/>
        <w:rPr>
          <w:rFonts w:hint="eastAsia" w:ascii="黑体" w:hAnsi="黑体" w:eastAsia="黑体"/>
          <w:kern w:val="0"/>
          <w:sz w:val="32"/>
          <w:szCs w:val="24"/>
          <w:lang w:val="ar-SA"/>
        </w:rPr>
      </w:pPr>
      <w:r>
        <w:rPr>
          <w:rFonts w:hint="default" w:eastAsia="Times New Roman"/>
          <w:kern w:val="0"/>
          <w:sz w:val="32"/>
          <w:szCs w:val="24"/>
          <w:lang w:val="en-US"/>
        </w:rPr>
        <w:br w:type="page"/>
      </w:r>
      <w:r>
        <w:rPr>
          <w:rFonts w:hint="eastAsia" w:ascii="黑体" w:hAnsi="黑体" w:eastAsia="黑体"/>
          <w:kern w:val="0"/>
          <w:sz w:val="32"/>
          <w:szCs w:val="24"/>
          <w:lang w:val="en-US"/>
        </w:rPr>
        <w:t>第一部分 单位概况</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eastAsia="zh-CN"/>
        </w:rPr>
        <w:t xml:space="preserve">1、贯彻执行中央、自治区和乌鲁木齐市关于党史、地方志工作的方针、政策；拟定党史、地方志工作规划并组织实施。 </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eastAsia="zh-CN"/>
        </w:rPr>
        <w:t xml:space="preserve">2、负责党史和地方志理论研究，运用史志资料和研究成果为经济社会发展提供服务。 </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eastAsia="zh-CN"/>
        </w:rPr>
        <w:t xml:space="preserve">3、负责区地方史、区志编修、续修和有关区情资料的收集、 整理、翻译、出版工作。 </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eastAsia="zh-CN"/>
        </w:rPr>
        <w:t xml:space="preserve">4、负责《乌鲁木齐年鉴﹒米东区专章》的撰稿工作。 </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eastAsia="zh-CN"/>
        </w:rPr>
        <w:t xml:space="preserve">5、负责对区属部门、单位的史志工作进行业务指导，并负责全区编史修志的审定工作；培训编史修志业务人员。 </w:t>
      </w:r>
    </w:p>
    <w:p>
      <w:pPr>
        <w:shd w:val="clear" w:color="auto" w:fill="FFFFFF"/>
        <w:spacing w:line="360" w:lineRule="auto"/>
        <w:ind w:firstLine="640"/>
        <w:rPr>
          <w:rFonts w:hint="default" w:eastAsia="Times New Roman"/>
          <w:sz w:val="32"/>
          <w:szCs w:val="24"/>
          <w:lang w:val="zh-CN"/>
        </w:rPr>
      </w:pPr>
      <w:r>
        <w:rPr>
          <w:rFonts w:hint="eastAsia" w:ascii="仿宋_GB2312" w:hAnsi="仿宋_GB2312" w:eastAsia="仿宋_GB2312"/>
          <w:kern w:val="0"/>
          <w:sz w:val="32"/>
          <w:szCs w:val="24"/>
          <w:lang w:val="en-US" w:eastAsia="zh-CN"/>
        </w:rPr>
        <w:t>6、完成上级交办的其他工作。</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乌鲁木齐市米东区党史地方志编纂委员会办公室2022年度，实有人数6人，其中：在职人员3人，离休人员0人，退休人员3人。</w:t>
      </w:r>
    </w:p>
    <w:p>
      <w:pPr>
        <w:shd w:val="clear" w:color="auto" w:fill="FFFFFF"/>
        <w:spacing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lang w:val="en-US"/>
        </w:rPr>
        <w:t>从部门决算单位构成看，乌鲁木齐市米东区党史地方志编纂委员会办公室部门决算包括：乌鲁木齐市米东区党史地方志编纂委员会办公室</w:t>
      </w:r>
      <w:r>
        <w:rPr>
          <w:rFonts w:hint="eastAsia" w:ascii="仿宋_GB2312" w:hAnsi="仿宋_GB2312" w:eastAsia="仿宋_GB2312"/>
          <w:kern w:val="0"/>
          <w:sz w:val="32"/>
          <w:szCs w:val="24"/>
          <w:lang w:val="zh-CN"/>
        </w:rPr>
        <w:t>决算。单位无下属预算单位，下设</w:t>
      </w:r>
      <w:r>
        <w:rPr>
          <w:rFonts w:hint="eastAsia" w:ascii="仿宋_GB2312" w:hAnsi="仿宋_GB2312" w:eastAsia="仿宋_GB2312"/>
          <w:kern w:val="0"/>
          <w:sz w:val="32"/>
          <w:szCs w:val="24"/>
          <w:lang w:val="en-US" w:eastAsia="zh-CN"/>
        </w:rPr>
        <w:t>1</w:t>
      </w:r>
      <w:r>
        <w:rPr>
          <w:rFonts w:hint="eastAsia" w:ascii="仿宋_GB2312" w:hAnsi="仿宋_GB2312" w:eastAsia="仿宋_GB2312"/>
          <w:kern w:val="0"/>
          <w:sz w:val="32"/>
          <w:szCs w:val="24"/>
          <w:lang w:val="zh-CN"/>
        </w:rPr>
        <w:t>个科室，分别是：</w:t>
      </w:r>
      <w:r>
        <w:rPr>
          <w:rFonts w:hint="eastAsia" w:ascii="仿宋_GB2312" w:hAnsi="仿宋_GB2312" w:eastAsia="仿宋_GB2312"/>
          <w:kern w:val="0"/>
          <w:sz w:val="32"/>
          <w:szCs w:val="24"/>
          <w:lang w:val="en-US" w:eastAsia="zh-CN"/>
        </w:rPr>
        <w:t>办公室</w:t>
      </w:r>
      <w:r>
        <w:rPr>
          <w:rFonts w:hint="eastAsia" w:ascii="仿宋_GB2312" w:hAnsi="仿宋_GB2312" w:eastAsia="仿宋_GB2312"/>
          <w:kern w:val="0"/>
          <w:sz w:val="32"/>
          <w:szCs w:val="24"/>
          <w:lang w:val="zh-CN"/>
        </w:rPr>
        <w:t>。</w:t>
      </w:r>
    </w:p>
    <w:p>
      <w:pPr>
        <w:shd w:val="clear" w:color="auto" w:fill="FFFFFF"/>
        <w:spacing w:before="100" w:after="240"/>
        <w:jc w:val="center"/>
        <w:rPr>
          <w:rFonts w:hint="default" w:eastAsia="Times New Roman"/>
          <w:kern w:val="0"/>
          <w:sz w:val="28"/>
          <w:szCs w:val="24"/>
          <w:lang w:val="ar-SA"/>
        </w:rPr>
      </w:pPr>
      <w:r>
        <w:rPr>
          <w:rFonts w:hint="eastAsia" w:ascii="黑体" w:hAnsi="黑体" w:eastAsia="黑体"/>
          <w:kern w:val="0"/>
          <w:sz w:val="32"/>
          <w:szCs w:val="24"/>
          <w:lang w:val="en-US"/>
        </w:rPr>
        <w:t>第二部分 部门决算情况说明</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89.02万元，</w:t>
      </w:r>
      <w:r>
        <w:rPr>
          <w:rFonts w:hint="eastAsia" w:ascii="仿宋_GB2312" w:hAnsi="仿宋_GB2312" w:eastAsia="仿宋_GB2312"/>
          <w:sz w:val="32"/>
          <w:szCs w:val="24"/>
          <w:lang w:val="en-US"/>
        </w:rPr>
        <w:t>其中：本年收入合计</w:t>
      </w:r>
      <w:r>
        <w:rPr>
          <w:rFonts w:hint="eastAsia" w:ascii="仿宋_GB2312" w:hAnsi="仿宋_GB2312" w:eastAsia="仿宋_GB2312"/>
          <w:kern w:val="0"/>
          <w:sz w:val="32"/>
          <w:szCs w:val="24"/>
          <w:lang w:val="en-US"/>
        </w:rPr>
        <w:t>86.46</w:t>
      </w:r>
      <w:r>
        <w:rPr>
          <w:rFonts w:hint="eastAsia" w:ascii="仿宋_GB2312" w:hAnsi="仿宋_GB2312" w:eastAsia="仿宋_GB2312"/>
          <w:sz w:val="32"/>
          <w:szCs w:val="24"/>
          <w:lang w:val="en-US"/>
        </w:rPr>
        <w:t>万元，使用非财政拨款结余</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万元，年初结转和结余</w:t>
      </w:r>
      <w:r>
        <w:rPr>
          <w:rFonts w:hint="eastAsia" w:ascii="仿宋_GB2312" w:hAnsi="仿宋_GB2312" w:eastAsia="仿宋_GB2312"/>
          <w:kern w:val="0"/>
          <w:sz w:val="32"/>
          <w:szCs w:val="24"/>
          <w:lang w:val="en-US"/>
        </w:rPr>
        <w:t>2.56</w:t>
      </w:r>
      <w:r>
        <w:rPr>
          <w:rFonts w:hint="eastAsia" w:ascii="仿宋_GB2312" w:hAnsi="仿宋_GB2312" w:eastAsia="仿宋_GB2312"/>
          <w:sz w:val="32"/>
          <w:szCs w:val="24"/>
          <w:lang w:val="en-US"/>
        </w:rPr>
        <w:t>万元。收入总计</w:t>
      </w:r>
      <w:r>
        <w:rPr>
          <w:rFonts w:hint="eastAsia" w:ascii="仿宋_GB2312" w:hAnsi="仿宋_GB2312" w:eastAsia="仿宋_GB2312"/>
          <w:kern w:val="0"/>
          <w:sz w:val="32"/>
          <w:szCs w:val="24"/>
          <w:lang w:val="en-US"/>
        </w:rPr>
        <w:t>与上年相比，增加89.02万元，增长100.00%，主要原因是：</w:t>
      </w:r>
      <w:r>
        <w:rPr>
          <w:rFonts w:hint="eastAsia" w:ascii="仿宋_GB2312" w:hAnsi="仿宋_GB2312" w:eastAsia="仿宋_GB2312"/>
          <w:kern w:val="0"/>
          <w:sz w:val="32"/>
          <w:szCs w:val="24"/>
          <w:lang w:val="en-US" w:eastAsia="zh-CN"/>
        </w:rPr>
        <w:t>我单位2022年为新增单位</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sz w:val="32"/>
          <w:szCs w:val="24"/>
          <w:lang w:val="en-US"/>
        </w:rPr>
        <w:t>本年支出总计</w:t>
      </w:r>
      <w:r>
        <w:rPr>
          <w:rFonts w:hint="eastAsia" w:ascii="仿宋_GB2312" w:hAnsi="仿宋_GB2312" w:eastAsia="仿宋_GB2312"/>
          <w:kern w:val="0"/>
          <w:sz w:val="32"/>
          <w:szCs w:val="24"/>
          <w:lang w:val="en-US"/>
        </w:rPr>
        <w:t>89.02万元，</w:t>
      </w:r>
      <w:r>
        <w:rPr>
          <w:rFonts w:hint="eastAsia" w:ascii="仿宋_GB2312" w:hAnsi="仿宋_GB2312" w:eastAsia="仿宋_GB2312"/>
          <w:sz w:val="32"/>
          <w:szCs w:val="24"/>
          <w:lang w:val="en-US"/>
        </w:rPr>
        <w:t>其中：本年支出合计</w:t>
      </w:r>
      <w:r>
        <w:rPr>
          <w:rFonts w:hint="eastAsia" w:ascii="仿宋_GB2312" w:hAnsi="仿宋_GB2312" w:eastAsia="仿宋_GB2312"/>
          <w:kern w:val="0"/>
          <w:sz w:val="32"/>
          <w:szCs w:val="24"/>
          <w:lang w:val="en-US"/>
        </w:rPr>
        <w:t>86.23</w:t>
      </w:r>
      <w:r>
        <w:rPr>
          <w:rFonts w:hint="eastAsia" w:ascii="仿宋_GB2312" w:hAnsi="仿宋_GB2312" w:eastAsia="仿宋_GB2312"/>
          <w:sz w:val="32"/>
          <w:szCs w:val="24"/>
          <w:lang w:val="en-US"/>
        </w:rPr>
        <w:t>万元，结余分配</w:t>
      </w:r>
      <w:r>
        <w:rPr>
          <w:rFonts w:hint="eastAsia" w:ascii="仿宋_GB2312" w:hAnsi="仿宋_GB2312" w:eastAsia="仿宋_GB2312"/>
          <w:kern w:val="0"/>
          <w:sz w:val="32"/>
          <w:szCs w:val="24"/>
          <w:lang w:val="en-US"/>
        </w:rPr>
        <w:t>0.00</w:t>
      </w:r>
      <w:r>
        <w:rPr>
          <w:rFonts w:hint="eastAsia" w:ascii="仿宋_GB2312" w:hAnsi="仿宋_GB2312" w:eastAsia="仿宋_GB2312"/>
          <w:sz w:val="32"/>
          <w:szCs w:val="24"/>
          <w:lang w:val="en-US"/>
        </w:rPr>
        <w:t>万元，年末结转和结余</w:t>
      </w:r>
      <w:r>
        <w:rPr>
          <w:rFonts w:hint="eastAsia" w:ascii="仿宋_GB2312" w:hAnsi="仿宋_GB2312" w:eastAsia="仿宋_GB2312"/>
          <w:kern w:val="0"/>
          <w:sz w:val="32"/>
          <w:szCs w:val="24"/>
          <w:lang w:val="en-US"/>
        </w:rPr>
        <w:t>2.79</w:t>
      </w:r>
      <w:r>
        <w:rPr>
          <w:rFonts w:hint="eastAsia" w:ascii="仿宋_GB2312" w:hAnsi="仿宋_GB2312" w:eastAsia="仿宋_GB2312"/>
          <w:sz w:val="32"/>
          <w:szCs w:val="24"/>
          <w:lang w:val="en-US"/>
        </w:rPr>
        <w:t>万元。支出总计</w:t>
      </w:r>
      <w:r>
        <w:rPr>
          <w:rFonts w:hint="eastAsia" w:ascii="仿宋_GB2312" w:hAnsi="仿宋_GB2312" w:eastAsia="仿宋_GB2312"/>
          <w:kern w:val="0"/>
          <w:sz w:val="32"/>
          <w:szCs w:val="24"/>
          <w:lang w:val="en-US"/>
        </w:rPr>
        <w:t>与上年相比，增加89.02万元，增长100.00%，主要原因是：</w:t>
      </w:r>
      <w:r>
        <w:rPr>
          <w:rFonts w:hint="eastAsia" w:ascii="仿宋_GB2312" w:hAnsi="仿宋_GB2312" w:eastAsia="仿宋_GB2312"/>
          <w:kern w:val="0"/>
          <w:sz w:val="32"/>
          <w:szCs w:val="24"/>
          <w:lang w:val="en-US" w:eastAsia="zh-CN"/>
        </w:rPr>
        <w:t>我单位2022年为新增单位</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二、收入决算情况说明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收入86.46万元，其中：财政拨款收入86.46万元，占100.00%；上级补助收入0.00万元，占0.00%；事业收入0.00万元，占0.00%；经营收入0.00万元，占0.00%；附属单位上缴收入0.00万元，占0.00%；其他收入0.00万元，占0.00%。</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三、支出决算情况说明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2022年度本年支出86.23万元，其中：基本支出86.23万元，占100.00%；项目支出0.00万元，占0.00%；上缴上级支出0.00万元，占0.00%；经营支出0.00万元，占0.00%；对附属单位补助支出0.00万元，占0.00%。</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89.02万元，</w:t>
      </w:r>
      <w:r>
        <w:rPr>
          <w:rFonts w:hint="eastAsia" w:ascii="仿宋_GB2312" w:hAnsi="仿宋_GB2312" w:eastAsia="仿宋_GB2312"/>
          <w:sz w:val="32"/>
          <w:szCs w:val="24"/>
          <w:lang w:val="en-US"/>
        </w:rPr>
        <w:t>其中：年初财政拨款结转和结余</w:t>
      </w:r>
      <w:r>
        <w:rPr>
          <w:rFonts w:hint="eastAsia" w:ascii="仿宋_GB2312" w:hAnsi="仿宋_GB2312" w:eastAsia="仿宋_GB2312"/>
          <w:kern w:val="0"/>
          <w:sz w:val="32"/>
          <w:szCs w:val="24"/>
          <w:lang w:val="en-US"/>
        </w:rPr>
        <w:t>2.56</w:t>
      </w:r>
      <w:r>
        <w:rPr>
          <w:rFonts w:hint="eastAsia" w:ascii="仿宋_GB2312" w:hAnsi="仿宋_GB2312" w:eastAsia="仿宋_GB2312"/>
          <w:sz w:val="32"/>
          <w:szCs w:val="24"/>
          <w:lang w:val="en-US"/>
        </w:rPr>
        <w:t>万元，财政拨款本年收入</w:t>
      </w:r>
      <w:r>
        <w:rPr>
          <w:rFonts w:hint="eastAsia" w:ascii="仿宋_GB2312" w:hAnsi="仿宋_GB2312" w:eastAsia="仿宋_GB2312"/>
          <w:kern w:val="0"/>
          <w:sz w:val="32"/>
          <w:szCs w:val="24"/>
          <w:lang w:val="en-US"/>
        </w:rPr>
        <w:t>86.46</w:t>
      </w:r>
      <w:r>
        <w:rPr>
          <w:rFonts w:hint="eastAsia" w:ascii="仿宋_GB2312" w:hAnsi="仿宋_GB2312" w:eastAsia="仿宋_GB2312"/>
          <w:sz w:val="32"/>
          <w:szCs w:val="24"/>
          <w:lang w:val="en-US"/>
        </w:rPr>
        <w:t>万元。财政拨款收入总计</w:t>
      </w:r>
      <w:r>
        <w:rPr>
          <w:rFonts w:hint="eastAsia" w:ascii="仿宋_GB2312" w:hAnsi="仿宋_GB2312" w:eastAsia="仿宋_GB2312"/>
          <w:kern w:val="0"/>
          <w:sz w:val="32"/>
          <w:szCs w:val="24"/>
          <w:lang w:val="en-US"/>
        </w:rPr>
        <w:t>与上年相比，增加89.02万元，增长100.00%，主要原因是：</w:t>
      </w:r>
      <w:r>
        <w:rPr>
          <w:rFonts w:hint="eastAsia" w:ascii="仿宋_GB2312" w:hAnsi="仿宋_GB2312" w:eastAsia="仿宋_GB2312"/>
          <w:kern w:val="0"/>
          <w:sz w:val="32"/>
          <w:szCs w:val="24"/>
          <w:lang w:val="en-US" w:eastAsia="zh-CN"/>
        </w:rPr>
        <w:t>我单位2022年为新增单位</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89.02万元，</w:t>
      </w:r>
      <w:r>
        <w:rPr>
          <w:rFonts w:hint="eastAsia" w:ascii="仿宋_GB2312" w:hAnsi="仿宋_GB2312" w:eastAsia="仿宋_GB2312"/>
          <w:sz w:val="32"/>
          <w:szCs w:val="24"/>
          <w:lang w:val="en-US"/>
        </w:rPr>
        <w:t>其中：年末财政拨款结转和结余</w:t>
      </w:r>
      <w:r>
        <w:rPr>
          <w:rFonts w:hint="eastAsia" w:ascii="仿宋_GB2312" w:hAnsi="仿宋_GB2312" w:eastAsia="仿宋_GB2312"/>
          <w:kern w:val="0"/>
          <w:sz w:val="32"/>
          <w:szCs w:val="24"/>
          <w:lang w:val="en-US"/>
        </w:rPr>
        <w:t>2.79</w:t>
      </w:r>
      <w:r>
        <w:rPr>
          <w:rFonts w:hint="eastAsia" w:ascii="仿宋_GB2312" w:hAnsi="仿宋_GB2312" w:eastAsia="仿宋_GB2312"/>
          <w:sz w:val="32"/>
          <w:szCs w:val="24"/>
          <w:lang w:val="en-US"/>
        </w:rPr>
        <w:t>万元，财政拨款本年支出</w:t>
      </w:r>
      <w:r>
        <w:rPr>
          <w:rFonts w:hint="eastAsia" w:ascii="仿宋_GB2312" w:hAnsi="仿宋_GB2312" w:eastAsia="仿宋_GB2312"/>
          <w:kern w:val="0"/>
          <w:sz w:val="32"/>
          <w:szCs w:val="24"/>
          <w:lang w:val="en-US"/>
        </w:rPr>
        <w:t>86.23</w:t>
      </w:r>
      <w:r>
        <w:rPr>
          <w:rFonts w:hint="eastAsia" w:ascii="仿宋_GB2312" w:hAnsi="仿宋_GB2312" w:eastAsia="仿宋_GB2312"/>
          <w:sz w:val="32"/>
          <w:szCs w:val="24"/>
          <w:lang w:val="en-US"/>
        </w:rPr>
        <w:t>万元。财政拨款支出总计</w:t>
      </w:r>
      <w:r>
        <w:rPr>
          <w:rFonts w:hint="eastAsia" w:ascii="仿宋_GB2312" w:hAnsi="仿宋_GB2312" w:eastAsia="仿宋_GB2312"/>
          <w:kern w:val="0"/>
          <w:sz w:val="32"/>
          <w:szCs w:val="24"/>
          <w:lang w:val="en-US"/>
        </w:rPr>
        <w:t>与上年相比，增加89.02万元，增长100.00%，主要原因是：</w:t>
      </w:r>
      <w:r>
        <w:rPr>
          <w:rFonts w:hint="eastAsia" w:ascii="仿宋_GB2312" w:hAnsi="仿宋_GB2312" w:eastAsia="仿宋_GB2312"/>
          <w:kern w:val="0"/>
          <w:sz w:val="32"/>
          <w:szCs w:val="24"/>
          <w:lang w:val="en-US" w:eastAsia="zh-CN"/>
        </w:rPr>
        <w:t>我单位2022年为新增单位</w:t>
      </w:r>
      <w:r>
        <w:rPr>
          <w:rFonts w:hint="eastAsia" w:ascii="仿宋_GB2312" w:hAnsi="仿宋_GB2312" w:eastAsia="仿宋_GB2312"/>
          <w:kern w:val="0"/>
          <w:sz w:val="32"/>
          <w:szCs w:val="24"/>
          <w:lang w:val="en-US"/>
        </w:rPr>
        <w:t>。</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与年初预算数相比情况：财政拨款收入</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年初预算数98.91万元，决算数89.02万元，预决算差异率-10.00%，主要原因是：</w:t>
      </w:r>
      <w:r>
        <w:rPr>
          <w:rFonts w:hint="eastAsia" w:ascii="仿宋_GB2312" w:hAnsi="仿宋_GB2312" w:eastAsia="仿宋_GB2312"/>
          <w:kern w:val="0"/>
          <w:sz w:val="32"/>
          <w:szCs w:val="24"/>
          <w:lang w:val="en-US" w:eastAsia="zh-CN"/>
        </w:rPr>
        <w:t>本年由于疫情影响年鉴印刷项目未开展，收入减少，</w:t>
      </w:r>
      <w:r>
        <w:rPr>
          <w:rFonts w:hint="eastAsia" w:ascii="仿宋_GB2312" w:hAnsi="仿宋_GB2312" w:eastAsia="仿宋_GB2312"/>
          <w:sz w:val="32"/>
        </w:rPr>
        <w:t>导致本年预决算存在差异</w:t>
      </w:r>
      <w:bookmarkStart w:id="0" w:name="_GoBack"/>
      <w:bookmarkEnd w:id="0"/>
      <w:r>
        <w:rPr>
          <w:rFonts w:hint="eastAsia" w:ascii="仿宋_GB2312" w:hAnsi="仿宋_GB2312" w:eastAsia="仿宋_GB2312"/>
          <w:kern w:val="0"/>
          <w:sz w:val="32"/>
          <w:szCs w:val="24"/>
          <w:lang w:val="en-US"/>
        </w:rPr>
        <w:t>。财政拨款支出</w:t>
      </w:r>
      <w:r>
        <w:rPr>
          <w:rFonts w:hint="eastAsia" w:ascii="仿宋_GB2312" w:hAnsi="仿宋_GB2312" w:eastAsia="仿宋_GB2312"/>
          <w:sz w:val="32"/>
          <w:szCs w:val="24"/>
          <w:lang w:val="en-US"/>
        </w:rPr>
        <w:t>总计</w:t>
      </w:r>
      <w:r>
        <w:rPr>
          <w:rFonts w:hint="eastAsia" w:ascii="仿宋_GB2312" w:hAnsi="仿宋_GB2312" w:eastAsia="仿宋_GB2312"/>
          <w:kern w:val="0"/>
          <w:sz w:val="32"/>
          <w:szCs w:val="24"/>
          <w:lang w:val="en-US"/>
        </w:rPr>
        <w:t>年初预算数98.91万元，决算数89.02万元，预决算差异率-10.00%，主要原因是：</w:t>
      </w:r>
      <w:r>
        <w:rPr>
          <w:rFonts w:hint="eastAsia" w:ascii="仿宋_GB2312" w:hAnsi="仿宋_GB2312" w:eastAsia="仿宋_GB2312"/>
          <w:kern w:val="0"/>
          <w:sz w:val="32"/>
          <w:szCs w:val="24"/>
          <w:lang w:val="en-US" w:eastAsia="zh-CN"/>
        </w:rPr>
        <w:t>本年由于疫情影响年鉴印刷费未完全支付，</w:t>
      </w:r>
      <w:r>
        <w:rPr>
          <w:rFonts w:hint="eastAsia" w:ascii="仿宋_GB2312" w:hAnsi="仿宋_GB2312" w:eastAsia="仿宋_GB2312"/>
          <w:sz w:val="32"/>
        </w:rPr>
        <w:t>导致本年预决算存在差异</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ind w:firstLine="640"/>
        <w:rPr>
          <w:rFonts w:hint="default" w:eastAsia="Times New Roman"/>
          <w:sz w:val="32"/>
          <w:szCs w:val="24"/>
          <w:lang w:val="en-US"/>
        </w:rPr>
      </w:pPr>
      <w:r>
        <w:rPr>
          <w:rFonts w:hint="eastAsia" w:ascii="黑体" w:hAnsi="黑体" w:eastAsia="黑体"/>
          <w:sz w:val="32"/>
          <w:szCs w:val="24"/>
          <w:lang w:val="en-US"/>
        </w:rPr>
        <w:t>（一）一般公共预算财政拨款支出决算总体情况</w:t>
      </w:r>
    </w:p>
    <w:p>
      <w:pPr>
        <w:spacing w:line="600" w:lineRule="exact"/>
        <w:ind w:firstLine="640"/>
        <w:rPr>
          <w:rFonts w:hint="eastAsia" w:ascii="仿宋_GB2312" w:hAnsi="仿宋_GB2312" w:eastAsia="仿宋_GB2312"/>
          <w:kern w:val="0"/>
          <w:sz w:val="32"/>
          <w:szCs w:val="24"/>
          <w:lang w:val="en-US"/>
        </w:rPr>
      </w:pPr>
      <w:r>
        <w:rPr>
          <w:rFonts w:hint="eastAsia" w:ascii="仿宋_GB2312" w:hAnsi="仿宋_GB2312" w:eastAsia="仿宋_GB2312"/>
          <w:sz w:val="32"/>
          <w:szCs w:val="24"/>
          <w:lang w:val="en-US"/>
        </w:rPr>
        <w:t>2022年度一般公共预算财政拨款支出</w:t>
      </w:r>
      <w:r>
        <w:rPr>
          <w:rFonts w:hint="eastAsia" w:ascii="仿宋_GB2312" w:hAnsi="仿宋_GB2312" w:eastAsia="仿宋_GB2312"/>
          <w:kern w:val="0"/>
          <w:sz w:val="32"/>
          <w:szCs w:val="24"/>
          <w:lang w:val="en-US"/>
        </w:rPr>
        <w:t>86.23</w:t>
      </w:r>
      <w:r>
        <w:rPr>
          <w:rFonts w:hint="eastAsia" w:ascii="仿宋_GB2312" w:hAnsi="仿宋_GB2312" w:eastAsia="仿宋_GB2312"/>
          <w:sz w:val="32"/>
          <w:szCs w:val="24"/>
          <w:lang w:val="en-US"/>
        </w:rPr>
        <w:t>万元，占本年支出合计的</w:t>
      </w:r>
      <w:r>
        <w:rPr>
          <w:rFonts w:hint="eastAsia" w:ascii="仿宋_GB2312" w:hAnsi="仿宋_GB2312" w:eastAsia="仿宋_GB2312"/>
          <w:kern w:val="0"/>
          <w:sz w:val="32"/>
          <w:szCs w:val="24"/>
          <w:lang w:val="en-US"/>
        </w:rPr>
        <w:t>100.00%</w:t>
      </w:r>
      <w:r>
        <w:rPr>
          <w:rFonts w:hint="eastAsia" w:ascii="仿宋_GB2312" w:hAnsi="仿宋_GB2312" w:eastAsia="仿宋_GB2312"/>
          <w:sz w:val="32"/>
          <w:szCs w:val="24"/>
          <w:lang w:val="en-US"/>
        </w:rPr>
        <w:t>，与上年相比，</w:t>
      </w:r>
      <w:r>
        <w:rPr>
          <w:rFonts w:hint="eastAsia" w:ascii="仿宋_GB2312" w:hAnsi="仿宋_GB2312" w:eastAsia="仿宋_GB2312"/>
          <w:kern w:val="0"/>
          <w:sz w:val="32"/>
          <w:szCs w:val="24"/>
          <w:lang w:val="en-US"/>
        </w:rPr>
        <w:t>增加86.23万元，增长100.00%，主要原因是：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ind w:firstLine="640"/>
        <w:rPr>
          <w:rFonts w:hint="default" w:eastAsia="Times New Roman"/>
          <w:sz w:val="32"/>
          <w:szCs w:val="24"/>
          <w:lang w:val="en-US"/>
        </w:rPr>
      </w:pPr>
      <w:r>
        <w:rPr>
          <w:rFonts w:hint="eastAsia" w:ascii="黑体" w:hAnsi="黑体" w:eastAsia="黑体"/>
          <w:sz w:val="32"/>
          <w:szCs w:val="24"/>
          <w:lang w:val="en-US"/>
        </w:rPr>
        <w:t>（二）一般公共预算财政拨款支出决算结构情况</w:t>
      </w:r>
    </w:p>
    <w:p>
      <w:pPr>
        <w:spacing w:line="600" w:lineRule="exact"/>
        <w:ind w:firstLine="640"/>
        <w:rPr>
          <w:rFonts w:hint="eastAsia" w:ascii="仿宋_GB2312" w:hAnsi="仿宋_GB2312" w:eastAsia="仿宋_GB2312"/>
          <w:sz w:val="32"/>
          <w:szCs w:val="24"/>
          <w:lang w:val="en-US"/>
        </w:rPr>
      </w:pPr>
      <w:r>
        <w:rPr>
          <w:rFonts w:hint="eastAsia" w:ascii="仿宋_GB2312" w:hAnsi="仿宋_GB2312" w:eastAsia="仿宋_GB2312"/>
          <w:sz w:val="32"/>
          <w:szCs w:val="24"/>
          <w:lang w:val="en-US"/>
        </w:rPr>
        <w:t>1.一般公共服务支出（类）81.05万元，占93.99%；</w:t>
      </w:r>
    </w:p>
    <w:p>
      <w:pPr>
        <w:spacing w:line="600" w:lineRule="exact"/>
        <w:ind w:firstLine="640"/>
        <w:rPr>
          <w:rFonts w:hint="eastAsia" w:ascii="仿宋_GB2312" w:hAnsi="仿宋_GB2312" w:eastAsia="仿宋_GB2312"/>
          <w:kern w:val="0"/>
          <w:sz w:val="32"/>
          <w:szCs w:val="24"/>
          <w:lang w:val="en-US" w:eastAsia="zh-CN"/>
        </w:rPr>
      </w:pPr>
      <w:r>
        <w:rPr>
          <w:rFonts w:hint="eastAsia" w:ascii="仿宋_GB2312" w:hAnsi="仿宋_GB2312" w:eastAsia="仿宋_GB2312"/>
          <w:kern w:val="0"/>
          <w:sz w:val="32"/>
          <w:szCs w:val="24"/>
          <w:lang w:val="en-US"/>
        </w:rPr>
        <w:t>2.社会保障和就业支出（类）5.18万元，占6.01%</w:t>
      </w:r>
      <w:r>
        <w:rPr>
          <w:rFonts w:hint="eastAsia" w:ascii="仿宋_GB2312" w:hAnsi="仿宋_GB2312" w:eastAsia="仿宋_GB2312"/>
          <w:kern w:val="0"/>
          <w:sz w:val="32"/>
          <w:szCs w:val="24"/>
          <w:lang w:val="en-US" w:eastAsia="zh-CN"/>
        </w:rPr>
        <w:t>。</w:t>
      </w:r>
    </w:p>
    <w:p>
      <w:pPr>
        <w:ind w:firstLine="640"/>
        <w:rPr>
          <w:rFonts w:hint="default" w:eastAsia="Times New Roman"/>
          <w:sz w:val="32"/>
          <w:szCs w:val="24"/>
          <w:lang w:val="en-US"/>
        </w:rPr>
      </w:pPr>
      <w:r>
        <w:rPr>
          <w:rFonts w:hint="eastAsia" w:ascii="黑体" w:hAnsi="黑体" w:eastAsia="黑体"/>
          <w:sz w:val="32"/>
          <w:szCs w:val="24"/>
          <w:lang w:val="en-US"/>
        </w:rPr>
        <w:t>（三）一般公共预算财政拨款支出决算具体情况</w:t>
      </w:r>
    </w:p>
    <w:p>
      <w:pPr>
        <w:spacing w:line="600" w:lineRule="exact"/>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1.一般公共服务支出（类）档案事务（款）行政运行（项）:支出决算数为81.05万元，比上年决算增加81.05万元，增长</w:t>
      </w:r>
      <w:r>
        <w:rPr>
          <w:rFonts w:hint="eastAsia" w:ascii="仿宋_GB2312" w:hAnsi="仿宋_GB2312" w:eastAsia="仿宋_GB2312"/>
          <w:kern w:val="0"/>
          <w:sz w:val="32"/>
          <w:szCs w:val="24"/>
          <w:lang w:val="en-US" w:eastAsia="zh-CN"/>
        </w:rPr>
        <w:t>100.00</w:t>
      </w:r>
      <w:r>
        <w:rPr>
          <w:rFonts w:hint="eastAsia" w:ascii="仿宋_GB2312" w:hAnsi="仿宋_GB2312" w:eastAsia="仿宋_GB2312"/>
          <w:kern w:val="0"/>
          <w:sz w:val="32"/>
          <w:szCs w:val="24"/>
          <w:lang w:val="en-US"/>
        </w:rPr>
        <w:t>%，主要原因是：</w:t>
      </w:r>
      <w:r>
        <w:rPr>
          <w:rFonts w:hint="eastAsia" w:ascii="仿宋_GB2312" w:hAnsi="仿宋_GB2312" w:eastAsia="仿宋_GB2312"/>
          <w:kern w:val="0"/>
          <w:sz w:val="32"/>
          <w:szCs w:val="24"/>
          <w:lang w:val="en-US" w:eastAsia="zh-CN"/>
        </w:rPr>
        <w:t>我单位为2022年新增单位；</w:t>
      </w:r>
    </w:p>
    <w:p>
      <w:pPr>
        <w:spacing w:line="600" w:lineRule="exact"/>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2.社会保障和就业支出（类）行政事业单位养老支出（款）  机关事业单位基本养老保险缴费支出（项）:支出决算数为5.18万元，比上年决算增加5.18万元，增长</w:t>
      </w:r>
      <w:r>
        <w:rPr>
          <w:rFonts w:hint="eastAsia" w:ascii="仿宋_GB2312" w:hAnsi="仿宋_GB2312" w:eastAsia="仿宋_GB2312"/>
          <w:kern w:val="0"/>
          <w:sz w:val="32"/>
          <w:szCs w:val="24"/>
          <w:lang w:val="en-US" w:eastAsia="zh-CN"/>
        </w:rPr>
        <w:t>100.00</w:t>
      </w:r>
      <w:r>
        <w:rPr>
          <w:rFonts w:hint="eastAsia" w:ascii="仿宋_GB2312" w:hAnsi="仿宋_GB2312" w:eastAsia="仿宋_GB2312"/>
          <w:kern w:val="0"/>
          <w:sz w:val="32"/>
          <w:szCs w:val="24"/>
          <w:lang w:val="en-US"/>
        </w:rPr>
        <w:t>%，主要原因是：</w:t>
      </w:r>
      <w:r>
        <w:rPr>
          <w:rFonts w:hint="eastAsia" w:ascii="仿宋_GB2312" w:hAnsi="仿宋_GB2312" w:eastAsia="仿宋_GB2312"/>
          <w:kern w:val="0"/>
          <w:sz w:val="32"/>
          <w:szCs w:val="24"/>
          <w:lang w:val="en-US" w:eastAsia="zh-CN"/>
        </w:rPr>
        <w:t>我单位为2022年新增单位</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2022年度一般公共预算财政拨款基本支出86.23万元，其中：</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人员经费65.47万元，包括：基本工资、津贴补贴、机关事业单位基本养老保险缴费、职工基本医疗保险缴费、公务员医疗补助缴费、其他社会保障缴费、住房公积金、生活补助、奖励金。</w:t>
      </w:r>
    </w:p>
    <w:p>
      <w:pPr>
        <w:spacing w:line="360" w:lineRule="auto"/>
        <w:ind w:firstLine="640"/>
        <w:rPr>
          <w:rFonts w:hint="eastAsia" w:ascii="仿宋_GB2312" w:hAnsi="仿宋_GB2312" w:eastAsia="仿宋_GB2312"/>
          <w:kern w:val="0"/>
          <w:sz w:val="32"/>
          <w:szCs w:val="24"/>
          <w:lang w:val="en-US"/>
        </w:rPr>
      </w:pPr>
      <w:r>
        <w:rPr>
          <w:rFonts w:hint="eastAsia" w:ascii="仿宋_GB2312" w:hAnsi="仿宋_GB2312" w:eastAsia="仿宋_GB2312"/>
          <w:kern w:val="0"/>
          <w:sz w:val="32"/>
          <w:szCs w:val="24"/>
          <w:lang w:val="en-US"/>
        </w:rPr>
        <w:t>公用经费20.76万元，包括：办公费、邮电费、维修（护）费、劳务费、工会经费、福利费、其他商品和服务支出。</w:t>
      </w:r>
    </w:p>
    <w:p>
      <w:pPr>
        <w:spacing w:line="360" w:lineRule="auto"/>
        <w:ind w:firstLine="640"/>
        <w:rPr>
          <w:rFonts w:hint="default" w:eastAsia="Times New Roman"/>
          <w:sz w:val="32"/>
          <w:szCs w:val="24"/>
          <w:lang w:val="en-US"/>
        </w:rPr>
      </w:pPr>
      <w:r>
        <w:rPr>
          <w:rFonts w:hint="eastAsia" w:ascii="黑体" w:hAnsi="黑体" w:eastAsia="黑体"/>
          <w:sz w:val="32"/>
          <w:szCs w:val="24"/>
          <w:lang w:val="zh-CN"/>
        </w:rPr>
        <w:t>七、财政拨款</w:t>
      </w:r>
      <w:r>
        <w:rPr>
          <w:rFonts w:hint="eastAsia" w:ascii="黑体" w:hAnsi="黑体" w:eastAsia="黑体"/>
          <w:kern w:val="0"/>
          <w:sz w:val="32"/>
          <w:szCs w:val="24"/>
          <w:lang w:val="en-US"/>
        </w:rPr>
        <w:t>“三公”</w:t>
      </w:r>
      <w:r>
        <w:rPr>
          <w:rFonts w:hint="eastAsia" w:ascii="黑体" w:hAnsi="黑体" w:eastAsia="黑体"/>
          <w:sz w:val="32"/>
          <w:szCs w:val="24"/>
          <w:lang w:val="zh-CN"/>
        </w:rPr>
        <w:t>经费支出决算情况说明</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2022年度</w:t>
      </w:r>
      <w:r>
        <w:rPr>
          <w:rFonts w:hint="eastAsia" w:ascii="仿宋_GB2312" w:hAnsi="仿宋_GB2312" w:eastAsia="仿宋_GB2312"/>
          <w:sz w:val="32"/>
          <w:szCs w:val="24"/>
          <w:lang w:val="en-US"/>
        </w:rPr>
        <w:t>财政拨款</w:t>
      </w:r>
      <w:r>
        <w:rPr>
          <w:rFonts w:hint="eastAsia" w:ascii="仿宋_GB2312" w:hAnsi="仿宋_GB2312" w:eastAsia="仿宋_GB2312"/>
          <w:kern w:val="0"/>
          <w:sz w:val="32"/>
          <w:szCs w:val="24"/>
          <w:lang w:val="en-US"/>
        </w:rPr>
        <w:t>“三公”经费支出决算0.00万元，比上年增加0.00万元，增长0.00%，主要原因是：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其中：因公出国（境）费支出0.00万元，占0.00%，比上年增加0.00万元，增长0.00%，主要原因是：本年单位无因公出国（境）费支出；公务用车购置及运行维护费支出0.00万元，占0.00%，比上年增加0.00万元，增长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；公务接待费支出0.00万元，占0.00%，比上年增加0.00万元，增长0.00%，主要原因是：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。具体情况如下：</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因公出国（境）费支出0.00万元，开支内容包括本年单位无因公出国（境）费支出。单位全年安排的因公出国（境）团组0个，因公出国（境）0人次。</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公务用车购置及运行维护费0.00万元，其中：公务用车购置费0.00万元，公务用车运行维护费0.00万元。公务用车运行维护费开支内容包括</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。公务用车购置数0辆，公务用车保有量0辆。</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公务接待费0.00万元，开支内容包括</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。单位全年安排的国内公务接待0批次，0人次。</w:t>
      </w:r>
    </w:p>
    <w:p>
      <w:pPr>
        <w:shd w:val="clear" w:color="auto" w:fill="FFFFFF"/>
        <w:spacing w:line="360" w:lineRule="auto"/>
        <w:ind w:firstLine="640"/>
        <w:rPr>
          <w:rFonts w:hint="default" w:eastAsia="Times New Roman"/>
          <w:kern w:val="0"/>
          <w:sz w:val="32"/>
          <w:szCs w:val="24"/>
          <w:lang w:val="en-US"/>
        </w:rPr>
      </w:pPr>
      <w:r>
        <w:rPr>
          <w:rFonts w:hint="eastAsia" w:ascii="仿宋_GB2312" w:hAnsi="仿宋_GB2312" w:eastAsia="仿宋_GB2312"/>
          <w:kern w:val="0"/>
          <w:sz w:val="32"/>
          <w:szCs w:val="24"/>
          <w:lang w:val="en-US"/>
        </w:rPr>
        <w:t>与</w:t>
      </w:r>
      <w:r>
        <w:rPr>
          <w:rFonts w:hint="eastAsia" w:ascii="仿宋_GB2312" w:hAnsi="仿宋_GB2312" w:eastAsia="仿宋_GB2312"/>
          <w:sz w:val="32"/>
          <w:szCs w:val="24"/>
          <w:lang w:val="en-US"/>
        </w:rPr>
        <w:t>全年</w:t>
      </w:r>
      <w:r>
        <w:rPr>
          <w:rFonts w:hint="eastAsia" w:ascii="仿宋_GB2312" w:hAnsi="仿宋_GB2312" w:eastAsia="仿宋_GB2312"/>
          <w:kern w:val="0"/>
          <w:sz w:val="32"/>
          <w:szCs w:val="24"/>
          <w:lang w:val="en-US"/>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lang w:val="en-US"/>
        </w:rPr>
        <w:t>相比情况</w:t>
      </w:r>
      <w:r>
        <w:rPr>
          <w:rFonts w:hint="eastAsia" w:ascii="仿宋_GB2312" w:hAnsi="仿宋_GB2312" w:eastAsia="仿宋_GB2312"/>
          <w:sz w:val="32"/>
          <w:szCs w:val="24"/>
          <w:lang w:val="en-US"/>
        </w:rPr>
        <w:t>：</w:t>
      </w:r>
      <w:r>
        <w:rPr>
          <w:rFonts w:hint="default" w:eastAsia="Times New Roman"/>
          <w:kern w:val="0"/>
          <w:sz w:val="32"/>
          <w:szCs w:val="24"/>
          <w:lang w:val="en-US"/>
        </w:rPr>
        <w:t>“</w:t>
      </w:r>
      <w:r>
        <w:rPr>
          <w:rFonts w:hint="eastAsia" w:ascii="仿宋_GB2312" w:hAnsi="仿宋_GB2312" w:eastAsia="仿宋_GB2312"/>
          <w:kern w:val="0"/>
          <w:sz w:val="32"/>
          <w:szCs w:val="24"/>
          <w:lang w:val="en-US"/>
        </w:rPr>
        <w:t>三公</w:t>
      </w:r>
      <w:r>
        <w:rPr>
          <w:rFonts w:hint="default" w:eastAsia="Times New Roman"/>
          <w:kern w:val="0"/>
          <w:sz w:val="32"/>
          <w:szCs w:val="24"/>
          <w:lang w:val="en-US"/>
        </w:rPr>
        <w:t>”</w:t>
      </w:r>
      <w:r>
        <w:rPr>
          <w:rFonts w:hint="eastAsia" w:ascii="仿宋_GB2312" w:hAnsi="仿宋_GB2312" w:eastAsia="仿宋_GB2312"/>
          <w:kern w:val="0"/>
          <w:sz w:val="32"/>
          <w:szCs w:val="24"/>
          <w:lang w:val="en-US"/>
        </w:rPr>
        <w:t>经费支出</w:t>
      </w:r>
      <w:r>
        <w:rPr>
          <w:rFonts w:hint="eastAsia" w:ascii="仿宋_GB2312" w:hAnsi="仿宋_GB2312" w:eastAsia="仿宋_GB2312"/>
          <w:sz w:val="32"/>
          <w:szCs w:val="24"/>
          <w:lang w:val="en-US"/>
        </w:rPr>
        <w:t>全年预算数</w:t>
      </w:r>
      <w:r>
        <w:rPr>
          <w:rFonts w:hint="eastAsia" w:ascii="仿宋_GB2312" w:hAnsi="仿宋_GB2312" w:eastAsia="仿宋_GB2312"/>
          <w:kern w:val="0"/>
          <w:sz w:val="32"/>
          <w:szCs w:val="24"/>
          <w:lang w:val="en-US"/>
        </w:rPr>
        <w:t>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其中：因公出国（境）费全年预算数0.00万元，决算数0.00万元，预决算差异率0.00%，主要原因是：本年单位无因公出国（境）费支出；公务用车购置费全年预算数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；公务用车运行费全年预算数0.00万元，决算数0.00万元，预决算差异率0.00%，主要原因是：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；公务接待费全年预算数0.00万元，决算数0.00万元，预决算差异率0.00%，主要原因是：</w:t>
      </w:r>
      <w:r>
        <w:rPr>
          <w:rFonts w:hint="eastAsia" w:ascii="仿宋_GB2312" w:hAnsi="仿宋_GB2312" w:eastAsia="仿宋_GB2312"/>
          <w:kern w:val="0"/>
          <w:sz w:val="32"/>
          <w:szCs w:val="24"/>
          <w:lang w:val="en-US" w:eastAsia="zh-CN"/>
        </w:rPr>
        <w:t>本年单位无此项支出</w:t>
      </w:r>
      <w:r>
        <w:rPr>
          <w:rFonts w:hint="eastAsia" w:ascii="仿宋_GB2312" w:hAnsi="仿宋_GB2312" w:eastAsia="仿宋_GB2312"/>
          <w:kern w:val="0"/>
          <w:sz w:val="32"/>
          <w:szCs w:val="24"/>
          <w:lang w:val="en-US"/>
        </w:rPr>
        <w:t>。</w:t>
      </w:r>
    </w:p>
    <w:p>
      <w:pPr>
        <w:spacing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line="360" w:lineRule="auto"/>
        <w:ind w:firstLine="640"/>
        <w:rPr>
          <w:rFonts w:hint="eastAsia" w:ascii="仿宋_GB2312" w:hAnsi="仿宋_GB2312" w:eastAsia="仿宋_GB2312"/>
          <w:kern w:val="0"/>
          <w:sz w:val="32"/>
          <w:szCs w:val="24"/>
          <w:highlight w:val="yellow"/>
          <w:lang w:val="en-US"/>
        </w:rPr>
      </w:pPr>
      <w:r>
        <w:rPr>
          <w:rFonts w:hint="eastAsia" w:ascii="仿宋_GB2312" w:hAnsi="仿宋_GB2312" w:eastAsia="仿宋_GB2312"/>
          <w:kern w:val="0"/>
          <w:sz w:val="32"/>
          <w:szCs w:val="24"/>
          <w:lang w:val="en-US"/>
        </w:rPr>
        <w:t>我单位本年度无政府性基金预算财政拨款收入、支出及结转和结余，政府性基金预算财政拨款收入支出决算表为空表。</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九、国有资本经营预算财政拨款收入支出决算情况说明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我单位本年度无国有资本经营预算财政拨款收入、支出及结转和结余，国有资本经营预算财政拨款收入支出决算表为空表。</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十、其他重要事项的情况说明</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 xml:space="preserve">（一）机关运行经费支出情况 </w:t>
      </w:r>
    </w:p>
    <w:p>
      <w:pPr>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2022年度乌鲁木齐市米东区党史地方志编纂委员会办公室单位机关运行经费支出20.77万元，比上年增加20.77万元，增长100.00%，主要原因是：</w:t>
      </w:r>
      <w:r>
        <w:rPr>
          <w:rFonts w:hint="eastAsia" w:ascii="仿宋_GB2312" w:hAnsi="仿宋_GB2312" w:eastAsia="仿宋_GB2312"/>
          <w:color w:val="auto"/>
          <w:kern w:val="0"/>
          <w:sz w:val="32"/>
          <w:szCs w:val="24"/>
          <w:lang w:val="en-US" w:eastAsia="zh-CN"/>
        </w:rPr>
        <w:t>我单位为2022年新增单位</w:t>
      </w:r>
      <w:r>
        <w:rPr>
          <w:rFonts w:hint="eastAsia" w:ascii="仿宋_GB2312" w:hAnsi="仿宋_GB2312" w:eastAsia="仿宋_GB2312"/>
          <w:color w:val="auto"/>
          <w:kern w:val="0"/>
          <w:sz w:val="32"/>
          <w:szCs w:val="24"/>
          <w:lang w:val="en-US"/>
        </w:rPr>
        <w:t>。</w:t>
      </w:r>
    </w:p>
    <w:p>
      <w:pPr>
        <w:spacing w:line="360" w:lineRule="auto"/>
        <w:ind w:firstLine="640"/>
        <w:rPr>
          <w:rFonts w:hint="default" w:eastAsia="Times New Roman"/>
          <w:color w:val="auto"/>
          <w:sz w:val="32"/>
          <w:szCs w:val="24"/>
          <w:lang w:val="en-US"/>
        </w:rPr>
      </w:pPr>
      <w:r>
        <w:rPr>
          <w:rFonts w:hint="eastAsia" w:ascii="黑体" w:hAnsi="黑体" w:eastAsia="黑体"/>
          <w:color w:val="auto"/>
          <w:sz w:val="32"/>
          <w:szCs w:val="24"/>
          <w:lang w:val="en-US"/>
        </w:rPr>
        <w:t>（</w:t>
      </w:r>
      <w:r>
        <w:rPr>
          <w:rFonts w:hint="eastAsia" w:ascii="黑体" w:hAnsi="黑体" w:eastAsia="黑体"/>
          <w:color w:val="auto"/>
          <w:sz w:val="32"/>
          <w:szCs w:val="24"/>
          <w:lang w:val="zh-CN"/>
        </w:rPr>
        <w:t>二</w:t>
      </w:r>
      <w:r>
        <w:rPr>
          <w:rFonts w:hint="eastAsia" w:ascii="黑体" w:hAnsi="黑体" w:eastAsia="黑体"/>
          <w:color w:val="auto"/>
          <w:sz w:val="32"/>
          <w:szCs w:val="24"/>
          <w:lang w:val="en-US"/>
        </w:rPr>
        <w:t>）</w:t>
      </w:r>
      <w:r>
        <w:rPr>
          <w:rFonts w:hint="eastAsia" w:ascii="黑体" w:hAnsi="黑体" w:eastAsia="黑体"/>
          <w:color w:val="auto"/>
          <w:sz w:val="32"/>
          <w:szCs w:val="24"/>
          <w:lang w:val="zh-CN"/>
        </w:rPr>
        <w:t>政府采购情况</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2022年度政府采购支出总额0.00万元，其中：政府采购货物支出0.00万元、政府采购工程支出0.00万元、政府采购服务支出0.00万元。</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授予中小企业合同金额0.00万元，占政府采购支出总额的0.00%，其中：授予小微企业合同金额0.00万元，占政府采购支出总额的0.00%。</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（三）国有资产占用情况说明</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截止2022年12月31日，</w:t>
      </w:r>
      <w:r>
        <w:rPr>
          <w:rFonts w:hint="eastAsia" w:ascii="仿宋_GB2312" w:hAnsi="仿宋_GB2312" w:eastAsia="仿宋_GB2312"/>
          <w:color w:val="auto"/>
          <w:sz w:val="32"/>
          <w:szCs w:val="24"/>
          <w:lang w:val="en-US"/>
        </w:rPr>
        <w:t>固定资产原值</w:t>
      </w:r>
      <w:r>
        <w:rPr>
          <w:rFonts w:hint="eastAsia" w:ascii="仿宋_GB2312" w:hAnsi="仿宋_GB2312" w:eastAsia="仿宋_GB2312"/>
          <w:color w:val="auto"/>
          <w:kern w:val="0"/>
          <w:sz w:val="32"/>
          <w:szCs w:val="24"/>
          <w:lang w:val="en-US"/>
        </w:rPr>
        <w:t>24.18</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房屋0.00平方米，价值0.00万元。车辆1辆，价值4.28万元，其中：副部（省）级及以上领导用车0辆、主要领导干部用车0辆、机要通信用车0辆、应急保障用车0辆、执法执勤用车0辆、特种专业技术用车0辆、离退休干部用车0辆、其他用车1辆，其他用车主要是：</w:t>
      </w:r>
      <w:r>
        <w:rPr>
          <w:rFonts w:hint="eastAsia" w:ascii="仿宋_GB2312" w:hAnsi="仿宋_GB2312" w:eastAsia="仿宋_GB2312"/>
          <w:color w:val="auto"/>
          <w:kern w:val="0"/>
          <w:sz w:val="32"/>
          <w:szCs w:val="24"/>
          <w:lang w:val="en-US" w:eastAsia="zh-CN"/>
        </w:rPr>
        <w:t>单位业务用车</w:t>
      </w:r>
      <w:r>
        <w:rPr>
          <w:rFonts w:hint="eastAsia" w:ascii="仿宋_GB2312" w:hAnsi="仿宋_GB2312" w:eastAsia="仿宋_GB2312"/>
          <w:color w:val="auto"/>
          <w:kern w:val="0"/>
          <w:sz w:val="32"/>
          <w:szCs w:val="24"/>
          <w:lang w:val="en-US"/>
        </w:rPr>
        <w:t>；单价100</w:t>
      </w:r>
      <w:r>
        <w:rPr>
          <w:rFonts w:hint="eastAsia" w:ascii="仿宋_GB2312" w:hAnsi="仿宋_GB2312" w:eastAsia="仿宋_GB2312"/>
          <w:color w:val="auto"/>
          <w:sz w:val="32"/>
          <w:szCs w:val="24"/>
          <w:lang w:val="en-US"/>
        </w:rPr>
        <w:t>万元（含）以上设备（不含车辆）</w:t>
      </w:r>
      <w:r>
        <w:rPr>
          <w:rFonts w:hint="eastAsia" w:ascii="仿宋_GB2312" w:hAnsi="仿宋_GB2312" w:eastAsia="仿宋_GB2312"/>
          <w:color w:val="auto"/>
          <w:kern w:val="0"/>
          <w:sz w:val="32"/>
          <w:szCs w:val="24"/>
          <w:lang w:val="en-US"/>
        </w:rPr>
        <w:t>0台（套）。</w:t>
      </w:r>
    </w:p>
    <w:p>
      <w:pPr>
        <w:spacing w:line="360" w:lineRule="auto"/>
        <w:ind w:firstLine="640"/>
        <w:rPr>
          <w:rFonts w:hint="default" w:eastAsia="Times New Roman"/>
          <w:color w:val="auto"/>
          <w:sz w:val="32"/>
          <w:szCs w:val="24"/>
          <w:lang w:val="zh-CN"/>
        </w:rPr>
      </w:pPr>
      <w:r>
        <w:rPr>
          <w:rFonts w:hint="eastAsia" w:ascii="黑体" w:hAnsi="黑体" w:eastAsia="黑体"/>
          <w:color w:val="auto"/>
          <w:sz w:val="32"/>
          <w:szCs w:val="24"/>
          <w:lang w:val="zh-CN"/>
        </w:rPr>
        <w:t>十一、预算绩效的情况说明</w:t>
      </w:r>
    </w:p>
    <w:p>
      <w:pPr>
        <w:shd w:val="clear" w:color="auto" w:fill="FFFFFF"/>
        <w:spacing w:line="360" w:lineRule="auto"/>
        <w:ind w:firstLine="640"/>
        <w:rPr>
          <w:rFonts w:hint="default" w:eastAsia="Times New Roman"/>
          <w:color w:val="auto"/>
          <w:kern w:val="0"/>
          <w:sz w:val="24"/>
          <w:szCs w:val="24"/>
          <w:highlight w:val="white"/>
          <w:lang w:val="en-US"/>
        </w:rPr>
      </w:pPr>
      <w:r>
        <w:rPr>
          <w:rFonts w:hint="eastAsia" w:ascii="仿宋_GB2312" w:hAnsi="仿宋_GB2312" w:eastAsia="仿宋_GB2312"/>
          <w:color w:val="auto"/>
          <w:kern w:val="0"/>
          <w:sz w:val="32"/>
          <w:szCs w:val="24"/>
          <w:lang w:val="en-US"/>
        </w:rPr>
        <w:t>根据预算绩效管理要求，我单位2022年度开展预算绩效评价项目</w:t>
      </w:r>
      <w:r>
        <w:rPr>
          <w:rFonts w:hint="eastAsia" w:ascii="仿宋_GB2312" w:hAnsi="仿宋_GB2312" w:eastAsia="仿宋_GB2312"/>
          <w:color w:val="auto"/>
          <w:kern w:val="0"/>
          <w:sz w:val="32"/>
          <w:szCs w:val="24"/>
          <w:lang w:val="en-US" w:eastAsia="zh-CN"/>
        </w:rPr>
        <w:t>0</w:t>
      </w:r>
      <w:r>
        <w:rPr>
          <w:rFonts w:hint="eastAsia" w:ascii="仿宋_GB2312" w:hAnsi="仿宋_GB2312" w:eastAsia="仿宋_GB2312"/>
          <w:color w:val="auto"/>
          <w:kern w:val="0"/>
          <w:sz w:val="32"/>
          <w:szCs w:val="24"/>
          <w:lang w:val="en-US"/>
        </w:rPr>
        <w:t>个，</w:t>
      </w:r>
      <w:r>
        <w:rPr>
          <w:rFonts w:hint="eastAsia" w:ascii="仿宋_GB2312" w:hAnsi="仿宋_GB2312" w:eastAsia="仿宋_GB2312"/>
          <w:color w:val="auto"/>
          <w:sz w:val="32"/>
          <w:szCs w:val="24"/>
          <w:lang w:val="en-US"/>
        </w:rPr>
        <w:t>全年预算数</w:t>
      </w:r>
      <w:r>
        <w:rPr>
          <w:rFonts w:hint="eastAsia" w:ascii="仿宋_GB2312" w:hAnsi="仿宋_GB2312" w:eastAsia="仿宋_GB2312"/>
          <w:color w:val="auto"/>
          <w:kern w:val="0"/>
          <w:sz w:val="32"/>
          <w:szCs w:val="24"/>
          <w:lang w:val="en-US" w:eastAsia="zh-CN"/>
        </w:rPr>
        <w:t>0</w:t>
      </w:r>
      <w:r>
        <w:rPr>
          <w:rFonts w:hint="eastAsia" w:ascii="仿宋_GB2312" w:hAnsi="仿宋_GB2312" w:eastAsia="仿宋_GB2312"/>
          <w:color w:val="auto"/>
          <w:sz w:val="32"/>
          <w:szCs w:val="24"/>
          <w:lang w:val="en-US"/>
        </w:rPr>
        <w:t>万元，全年执行数</w:t>
      </w:r>
      <w:r>
        <w:rPr>
          <w:rFonts w:hint="eastAsia" w:ascii="仿宋_GB2312" w:hAnsi="仿宋_GB2312" w:eastAsia="仿宋_GB2312"/>
          <w:color w:val="auto"/>
          <w:kern w:val="0"/>
          <w:sz w:val="32"/>
          <w:szCs w:val="24"/>
          <w:lang w:val="en-US" w:eastAsia="zh-CN"/>
        </w:rPr>
        <w:t>0</w:t>
      </w:r>
      <w:r>
        <w:rPr>
          <w:rFonts w:hint="eastAsia" w:ascii="仿宋_GB2312" w:hAnsi="仿宋_GB2312" w:eastAsia="仿宋_GB2312"/>
          <w:color w:val="auto"/>
          <w:sz w:val="32"/>
          <w:szCs w:val="24"/>
          <w:lang w:val="en-US"/>
        </w:rPr>
        <w:t>万元。</w:t>
      </w:r>
      <w:r>
        <w:rPr>
          <w:rFonts w:hint="eastAsia" w:ascii="仿宋_GB2312" w:hAnsi="仿宋_GB2312" w:eastAsia="仿宋_GB2312"/>
          <w:color w:val="auto"/>
          <w:kern w:val="0"/>
          <w:sz w:val="32"/>
          <w:szCs w:val="24"/>
          <w:lang w:val="en-US"/>
        </w:rPr>
        <w:t>预算绩效管理取得的成效：我单位无预算绩效管理的项目。发现的问题及原因：我单位无预算绩效管理的项目。下一步改进措施：我单位无预算绩效管理的项目。</w:t>
      </w:r>
    </w:p>
    <w:p>
      <w:pPr>
        <w:shd w:val="clear" w:color="auto" w:fill="FFFFFF"/>
        <w:spacing w:before="100" w:after="240"/>
        <w:jc w:val="center"/>
        <w:rPr>
          <w:rFonts w:hint="default" w:eastAsia="Times New Roman"/>
          <w:b/>
          <w:color w:val="auto"/>
          <w:kern w:val="0"/>
          <w:sz w:val="28"/>
          <w:szCs w:val="24"/>
          <w:lang w:val="en-US"/>
        </w:rPr>
      </w:pPr>
      <w:r>
        <w:rPr>
          <w:rFonts w:hint="eastAsia" w:ascii="黑体" w:hAnsi="黑体" w:eastAsia="黑体"/>
          <w:color w:val="auto"/>
          <w:kern w:val="0"/>
          <w:sz w:val="32"/>
          <w:szCs w:val="24"/>
          <w:lang w:val="en-US"/>
        </w:rPr>
        <w:t>第三部分 专业名词解释</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财政拨款收入：指同级财政当年拨付的资金。</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上级补助收入：指事业单位从主管部门和上级单位取得的非财政补助收入。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事业收入：指事业单位开展专业业务活动及其辅助活动所取得的收入。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经营收入：指事业单位在专业业务活动及其辅助活动之外开展非独立核算经营活动取得的收入。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附属单位上缴收入：指事业单位附属的独立核算单位按有关规定上缴的收入。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其他收入：指除上述“财政拨款收入”、“事业收入”、“经营收入”、“附属单位上缴收入”等之外取得的收入。</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基本支出：指为保障机构正常运转、完成日常工作任务而发生的人员支出和公用支出。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项目支出：指在基本支出之外为完成特定行政任务和事业发展目标所发生的支出。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经营支出：指事业单位在专业业务活动及其辅助活动之外开展非独立核算经营活动发生的支出。</w:t>
      </w:r>
    </w:p>
    <w:p>
      <w:pPr>
        <w:shd w:val="clear" w:color="auto" w:fill="FFFFFF"/>
        <w:spacing w:line="360" w:lineRule="auto"/>
        <w:ind w:firstLine="640"/>
        <w:rPr>
          <w:rFonts w:hint="default" w:eastAsia="Times New Roman"/>
          <w:color w:val="auto"/>
          <w:kern w:val="0"/>
          <w:sz w:val="32"/>
          <w:szCs w:val="24"/>
          <w:lang w:val="en-US"/>
        </w:rPr>
      </w:pPr>
      <w:r>
        <w:rPr>
          <w:rFonts w:hint="eastAsia" w:ascii="仿宋_GB2312" w:hAnsi="仿宋_GB2312" w:eastAsia="仿宋_GB2312"/>
          <w:color w:val="auto"/>
          <w:kern w:val="0"/>
          <w:sz w:val="32"/>
          <w:szCs w:val="24"/>
          <w:lang w:val="en-US"/>
        </w:rPr>
        <w:t>对附属单位补助支出：指事业单位发生的用非财政预算资金对附属单位的补助支出。</w:t>
      </w:r>
    </w:p>
    <w:p>
      <w:pPr>
        <w:spacing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360" w:lineRule="auto"/>
        <w:ind w:firstLine="640"/>
        <w:rPr>
          <w:rFonts w:hint="default" w:eastAsia="Times New Roman"/>
          <w:color w:val="auto"/>
          <w:sz w:val="32"/>
          <w:szCs w:val="24"/>
          <w:lang w:val="en-US"/>
        </w:rPr>
      </w:pPr>
      <w:r>
        <w:rPr>
          <w:rFonts w:hint="eastAsia" w:ascii="仿宋_GB2312" w:hAnsi="仿宋_GB2312" w:eastAsia="仿宋_GB2312"/>
          <w:color w:val="auto"/>
          <w:sz w:val="32"/>
          <w:szCs w:val="24"/>
          <w:lang w:val="en-US"/>
        </w:rPr>
        <w:t>机关运行经费：行政单位和参照公务员法管理的事业单位财政拨款基本支出中的公用经费支出。</w:t>
      </w:r>
    </w:p>
    <w:p>
      <w:pPr>
        <w:shd w:val="clear" w:color="auto" w:fill="FFFFFF"/>
        <w:spacing w:before="100" w:after="240"/>
        <w:jc w:val="center"/>
        <w:rPr>
          <w:rFonts w:hint="default" w:eastAsia="Times New Roman"/>
          <w:color w:val="auto"/>
          <w:kern w:val="0"/>
          <w:sz w:val="32"/>
          <w:szCs w:val="24"/>
          <w:lang w:val="en-US"/>
        </w:rPr>
      </w:pPr>
      <w:r>
        <w:rPr>
          <w:rFonts w:hint="eastAsia" w:ascii="黑体" w:hAnsi="黑体" w:eastAsia="黑体"/>
          <w:color w:val="auto"/>
          <w:kern w:val="0"/>
          <w:sz w:val="32"/>
          <w:szCs w:val="24"/>
          <w:lang w:val="en-US"/>
        </w:rPr>
        <w:br w:type="page"/>
      </w:r>
      <w:r>
        <w:rPr>
          <w:rFonts w:hint="eastAsia" w:ascii="黑体" w:hAnsi="黑体" w:eastAsia="黑体"/>
          <w:color w:val="auto"/>
          <w:kern w:val="0"/>
          <w:sz w:val="32"/>
          <w:szCs w:val="24"/>
          <w:lang w:val="en-US"/>
        </w:rPr>
        <w:t>第四部分 部门决算报表（见附表）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一、《收入支出决算总表》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二、《收入决算表》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三、《支出决算表》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四、《财政拨款收入支出决算总表》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五、《一般公共预算财政拨款支出决算表》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六、《一般公共预算财政拨款基本支出决算表》</w:t>
      </w:r>
    </w:p>
    <w:p>
      <w:pPr>
        <w:spacing w:line="540" w:lineRule="exact"/>
        <w:ind w:firstLine="640"/>
        <w:rPr>
          <w:rFonts w:hint="default" w:eastAsia="Times New Roman"/>
          <w:color w:val="auto"/>
          <w:sz w:val="32"/>
          <w:szCs w:val="24"/>
          <w:lang w:val="en-US"/>
        </w:rPr>
      </w:pPr>
      <w:r>
        <w:rPr>
          <w:rFonts w:hint="eastAsia" w:ascii="黑体" w:hAnsi="黑体" w:eastAsia="黑体"/>
          <w:color w:val="auto"/>
          <w:sz w:val="32"/>
          <w:szCs w:val="24"/>
          <w:lang w:val="en-US"/>
        </w:rPr>
        <w:t>七、《财政拨款“三公”经费支出决算表》</w:t>
      </w:r>
    </w:p>
    <w:p>
      <w:pPr>
        <w:spacing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en-US"/>
        </w:rPr>
        <w:t>八、《政府性基金预算财政拨款收入支出决算表》</w:t>
      </w:r>
    </w:p>
    <w:p>
      <w:pPr>
        <w:spacing w:line="540" w:lineRule="exact"/>
        <w:ind w:firstLine="640"/>
        <w:rPr>
          <w:rFonts w:hint="default" w:eastAsia="Times New Roman"/>
          <w:color w:val="auto"/>
          <w:kern w:val="0"/>
          <w:sz w:val="32"/>
          <w:szCs w:val="24"/>
          <w:lang w:val="en-US"/>
        </w:rPr>
      </w:pPr>
      <w:r>
        <w:rPr>
          <w:rFonts w:hint="eastAsia" w:ascii="黑体" w:hAnsi="黑体" w:eastAsia="黑体"/>
          <w:color w:val="auto"/>
          <w:sz w:val="32"/>
          <w:szCs w:val="24"/>
          <w:lang w:val="zh-CN"/>
        </w:rPr>
        <w:t>九</w:t>
      </w:r>
      <w:r>
        <w:rPr>
          <w:rFonts w:hint="eastAsia" w:ascii="黑体" w:hAnsi="黑体" w:eastAsia="黑体"/>
          <w:color w:val="auto"/>
          <w:sz w:val="32"/>
          <w:szCs w:val="24"/>
          <w:lang w:val="en-US"/>
        </w:rPr>
        <w:t>、《国有资本经营预算财政拨款收入支出决算表》</w:t>
      </w:r>
    </w:p>
    <w:p>
      <w:pPr>
        <w:jc w:val="left"/>
        <w:rPr>
          <w:rFonts w:hint="default" w:eastAsia="Times New Roman"/>
          <w:color w:val="auto"/>
          <w:kern w:val="36"/>
          <w:sz w:val="40"/>
          <w:szCs w:val="24"/>
          <w:lang w:val="zh-CN"/>
        </w:rPr>
      </w:pPr>
    </w:p>
    <w:p>
      <w:pPr>
        <w:rPr>
          <w:rFonts w:hint="default" w:eastAsia="Times New Roman"/>
          <w:color w:val="auto"/>
          <w:sz w:val="21"/>
          <w:szCs w:val="24"/>
          <w:lang w:val="en-US"/>
        </w:rPr>
      </w:pPr>
    </w:p>
    <w:p>
      <w:pPr>
        <w:jc w:val="left"/>
        <w:rPr>
          <w:rFonts w:hint="default" w:eastAsia="Times New Roman"/>
          <w:color w:val="auto"/>
          <w:kern w:val="36"/>
          <w:sz w:val="40"/>
          <w:szCs w:val="24"/>
          <w:lang w:val="zh-CN"/>
        </w:rPr>
      </w:pPr>
    </w:p>
    <w:p>
      <w:pPr>
        <w:rPr>
          <w:rFonts w:hint="default" w:eastAsia="Times New Roman"/>
          <w:color w:val="auto"/>
          <w:sz w:val="21"/>
          <w:szCs w:val="24"/>
          <w:lang w:val="en-US"/>
        </w:rPr>
      </w:pPr>
    </w:p>
    <w:p>
      <w:pPr>
        <w:jc w:val="left"/>
        <w:rPr>
          <w:rFonts w:hint="default" w:eastAsia="Times New Roman"/>
          <w:color w:val="auto"/>
          <w:kern w:val="36"/>
          <w:sz w:val="40"/>
          <w:szCs w:val="24"/>
          <w:lang w:val="zh-CN"/>
        </w:rPr>
      </w:pPr>
    </w:p>
    <w:sectPr>
      <w:pgSz w:w="12240" w:h="15840"/>
      <w:pgMar w:top="1440" w:right="1800" w:bottom="1440" w:left="1800"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3214C46"/>
    <w:rsid w:val="37925D3F"/>
    <w:rsid w:val="77F95CDF"/>
    <w:rsid w:val="7EFA1A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jc w:val="both"/>
    </w:pPr>
    <w:rPr>
      <w:rFonts w:hint="default" w:ascii="Times New Roman" w:hAnsi="Times New Roman" w:eastAsia="宋体" w:cs="Times New Roman"/>
      <w:kern w:val="2"/>
      <w:sz w:val="21"/>
      <w:szCs w:val="24"/>
    </w:rPr>
  </w:style>
  <w:style w:type="character" w:default="1" w:styleId="3">
    <w:name w:val="Default Paragraph Font"/>
    <w:unhideWhenUsed/>
    <w:qFormat/>
    <w:uiPriority w:val="99"/>
    <w:rPr>
      <w:rFonts w:hint="default"/>
      <w:sz w:val="24"/>
      <w:szCs w:val="24"/>
    </w:rPr>
  </w:style>
  <w:style w:type="table" w:default="1" w:styleId="2">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4413</Words>
  <Characters>4937</Characters>
  <TotalTime>1</TotalTime>
  <ScaleCrop>false</ScaleCrop>
  <LinksUpToDate>false</LinksUpToDate>
  <CharactersWithSpaces>4956</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2023-08-24T07:26:00Z</dcterms:created>
  <dc:creator>asus</dc:creator>
  <cp:lastModifiedBy>逐梦令</cp:lastModifiedBy>
  <dcterms:modified xsi:type="dcterms:W3CDTF">2023-08-31T08:47:44Z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7BC0C239831347849270D9C6E45908D2_13</vt:lpwstr>
  </property>
</Properties>
</file>