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before="240" w:after="240"/>
        <w:jc w:val="center"/>
        <w:rPr>
          <w:rFonts w:hint="default" w:eastAsia="Times New Roman"/>
          <w:kern w:val="36"/>
          <w:sz w:val="40"/>
          <w:szCs w:val="24"/>
          <w:lang w:val="zh-CN"/>
        </w:rPr>
      </w:pPr>
    </w:p>
    <w:p>
      <w:pPr>
        <w:shd w:val="clear" w:color="auto" w:fill="FFFFFF"/>
        <w:spacing w:before="240" w:after="240"/>
        <w:jc w:val="center"/>
        <w:rPr>
          <w:rFonts w:hint="default" w:eastAsia="Times New Roman"/>
          <w:kern w:val="36"/>
          <w:sz w:val="40"/>
          <w:szCs w:val="24"/>
          <w:lang w:val="zh-CN"/>
        </w:rPr>
      </w:pPr>
    </w:p>
    <w:p>
      <w:pPr>
        <w:jc w:val="center"/>
        <w:rPr>
          <w:rFonts w:hint="eastAsia" w:ascii="方正小标宋_GBK" w:hAnsi="方正小标宋_GBK" w:eastAsia="方正小标宋_GBK"/>
          <w:sz w:val="44"/>
          <w:szCs w:val="24"/>
          <w:lang w:val="en-US"/>
        </w:rPr>
      </w:pPr>
      <w:r>
        <w:rPr>
          <w:rFonts w:hint="eastAsia" w:ascii="方正小标宋_GBK" w:hAnsi="方正小标宋_GBK" w:eastAsia="方正小标宋_GBK"/>
          <w:sz w:val="44"/>
          <w:szCs w:val="24"/>
          <w:lang w:val="en-US"/>
        </w:rPr>
        <w:t>乌鲁木齐市米东区动物卫生监督所（渔政管理站）</w:t>
      </w:r>
    </w:p>
    <w:p>
      <w:pPr>
        <w:jc w:val="center"/>
        <w:rPr>
          <w:rFonts w:hint="default" w:eastAsia="Times New Roman"/>
          <w:kern w:val="36"/>
          <w:sz w:val="40"/>
          <w:szCs w:val="24"/>
          <w:lang w:val="zh-CN"/>
        </w:rPr>
      </w:pPr>
      <w:r>
        <w:rPr>
          <w:rFonts w:hint="eastAsia" w:ascii="方正小标宋_GBK" w:hAnsi="方正小标宋_GBK" w:eastAsia="方正小标宋_GBK"/>
          <w:sz w:val="44"/>
          <w:szCs w:val="24"/>
          <w:lang w:val="en-US"/>
        </w:rPr>
        <w:t>2022年度部门决算公开说明</w:t>
      </w:r>
    </w:p>
    <w:p>
      <w:pPr>
        <w:shd w:val="clear" w:color="auto" w:fill="FFFFFF"/>
        <w:spacing w:before="240" w:after="240"/>
        <w:jc w:val="center"/>
        <w:rPr>
          <w:rFonts w:hint="default" w:eastAsia="Times New Roman"/>
          <w:b/>
          <w:kern w:val="36"/>
          <w:sz w:val="24"/>
          <w:szCs w:val="24"/>
          <w:lang w:val="ar-SA"/>
        </w:rPr>
      </w:pPr>
    </w:p>
    <w:p>
      <w:pPr>
        <w:shd w:val="clear" w:color="auto" w:fill="FFFFFF"/>
        <w:spacing w:before="240" w:after="240"/>
        <w:jc w:val="center"/>
        <w:rPr>
          <w:rFonts w:hint="default" w:eastAsia="Times New Roman"/>
          <w:kern w:val="36"/>
          <w:sz w:val="40"/>
          <w:szCs w:val="24"/>
          <w:lang w:val="zh-CN"/>
        </w:rPr>
      </w:pPr>
    </w:p>
    <w:p>
      <w:pPr>
        <w:spacing w:line="540" w:lineRule="exact"/>
        <w:jc w:val="center"/>
        <w:rPr>
          <w:rFonts w:hint="default" w:eastAsia="Times New Roman"/>
          <w:b/>
          <w:kern w:val="0"/>
          <w:sz w:val="24"/>
          <w:szCs w:val="24"/>
          <w:lang w:val="en-US"/>
        </w:rPr>
      </w:pPr>
      <w:r>
        <w:rPr>
          <w:rFonts w:hint="default" w:eastAsia="Times New Roman"/>
          <w:b/>
          <w:kern w:val="36"/>
          <w:sz w:val="36"/>
          <w:szCs w:val="24"/>
          <w:lang w:val="en-US"/>
        </w:rPr>
        <w:br w:type="page"/>
      </w:r>
      <w:r>
        <w:rPr>
          <w:rFonts w:hint="eastAsia" w:ascii="仿宋_GB2312" w:hAnsi="仿宋_GB2312" w:eastAsia="仿宋_GB2312"/>
          <w:b/>
          <w:kern w:val="0"/>
          <w:sz w:val="36"/>
          <w:szCs w:val="24"/>
          <w:lang w:val="en-US"/>
        </w:rPr>
        <w:t>目  录</w:t>
      </w:r>
    </w:p>
    <w:p>
      <w:pPr>
        <w:spacing w:line="360" w:lineRule="auto"/>
        <w:rPr>
          <w:rFonts w:hint="default" w:eastAsia="Times New Roman"/>
          <w:kern w:val="0"/>
          <w:sz w:val="32"/>
          <w:szCs w:val="24"/>
          <w:lang w:val="en-US"/>
        </w:rPr>
      </w:pPr>
      <w:r>
        <w:rPr>
          <w:rFonts w:hint="eastAsia" w:ascii="仿宋_GB2312" w:hAnsi="仿宋_GB2312" w:eastAsia="仿宋_GB2312"/>
          <w:b/>
          <w:kern w:val="0"/>
          <w:sz w:val="32"/>
          <w:szCs w:val="24"/>
          <w:lang w:val="en-US"/>
        </w:rPr>
        <w:t>第一部分 单位概况</w:t>
      </w:r>
    </w:p>
    <w:p>
      <w:pPr>
        <w:spacing w:line="360" w:lineRule="auto"/>
        <w:rPr>
          <w:rFonts w:hint="default" w:eastAsia="Times New Roman"/>
          <w:kern w:val="0"/>
          <w:sz w:val="32"/>
          <w:szCs w:val="24"/>
          <w:lang w:val="en-US"/>
        </w:rPr>
      </w:pPr>
      <w:r>
        <w:rPr>
          <w:rFonts w:hint="eastAsia" w:ascii="仿宋_GB2312" w:hAnsi="仿宋_GB2312" w:eastAsia="仿宋_GB2312"/>
          <w:kern w:val="0"/>
          <w:sz w:val="32"/>
          <w:szCs w:val="24"/>
          <w:lang w:val="en-US"/>
        </w:rPr>
        <w:t>一、主要职能</w:t>
      </w:r>
    </w:p>
    <w:p>
      <w:pPr>
        <w:spacing w:line="360" w:lineRule="auto"/>
        <w:rPr>
          <w:rFonts w:hint="default" w:eastAsia="Times New Roman"/>
          <w:kern w:val="0"/>
          <w:sz w:val="32"/>
          <w:szCs w:val="24"/>
          <w:lang w:val="en-US"/>
        </w:rPr>
      </w:pPr>
      <w:r>
        <w:rPr>
          <w:rFonts w:hint="eastAsia" w:ascii="仿宋_GB2312" w:hAnsi="仿宋_GB2312" w:eastAsia="仿宋_GB2312"/>
          <w:kern w:val="0"/>
          <w:sz w:val="32"/>
          <w:szCs w:val="24"/>
          <w:lang w:val="en-US"/>
        </w:rPr>
        <w:t>二、</w:t>
      </w:r>
      <w:r>
        <w:rPr>
          <w:rFonts w:hint="eastAsia" w:ascii="仿宋_GB2312" w:hAnsi="仿宋_GB2312" w:eastAsia="仿宋_GB2312"/>
          <w:sz w:val="32"/>
          <w:szCs w:val="24"/>
          <w:lang w:val="en-US"/>
        </w:rPr>
        <w:t>机构设置及人员情况</w:t>
      </w:r>
    </w:p>
    <w:p>
      <w:pPr>
        <w:spacing w:line="360" w:lineRule="auto"/>
        <w:rPr>
          <w:rFonts w:hint="default" w:eastAsia="Times New Roman"/>
          <w:kern w:val="0"/>
          <w:sz w:val="32"/>
          <w:szCs w:val="24"/>
          <w:lang w:val="en-US"/>
        </w:rPr>
      </w:pPr>
      <w:r>
        <w:rPr>
          <w:rFonts w:hint="eastAsia" w:ascii="仿宋_GB2312" w:hAnsi="仿宋_GB2312" w:eastAsia="仿宋_GB2312"/>
          <w:b/>
          <w:kern w:val="0"/>
          <w:sz w:val="32"/>
          <w:szCs w:val="24"/>
          <w:lang w:val="en-US"/>
        </w:rPr>
        <w:t>第二部分 部门决算情况说明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一、收入支出决算总体情况说明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二、收入决算情况说明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三、支出决算情况说明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四、财政拨款收入支出决算总体情况说明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五、一般公共预算财政拨款支出决算情况说明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六、一般公共预算财政拨款基本支出决算情况说明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七、财政拨款“三公”经费支出决算情况说明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八、政府性基金预算</w:t>
      </w:r>
      <w:r>
        <w:rPr>
          <w:rFonts w:hint="eastAsia" w:ascii="仿宋_GB2312" w:hAnsi="仿宋_GB2312" w:eastAsia="仿宋_GB2312"/>
          <w:sz w:val="32"/>
          <w:szCs w:val="24"/>
          <w:lang w:val="zh-CN"/>
        </w:rPr>
        <w:t>财政拨款</w:t>
      </w:r>
      <w:r>
        <w:rPr>
          <w:rFonts w:hint="eastAsia" w:ascii="仿宋_GB2312" w:hAnsi="仿宋_GB2312" w:eastAsia="仿宋_GB2312"/>
          <w:sz w:val="32"/>
          <w:szCs w:val="24"/>
          <w:lang w:val="en-US"/>
        </w:rPr>
        <w:t>收入支出决算情况说明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九、国有资本经营预算财政拨款收入支出决算情况说明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十、其他重要事项的情况说明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（一）机关运行经费支出情况</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（二）政府采购情况</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（三）国有资产占用情况说明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十</w:t>
      </w:r>
      <w:r>
        <w:rPr>
          <w:rFonts w:hint="eastAsia" w:ascii="仿宋_GB2312" w:hAnsi="仿宋_GB2312" w:eastAsia="仿宋_GB2312"/>
          <w:sz w:val="32"/>
          <w:szCs w:val="24"/>
          <w:lang w:val="zh-CN"/>
        </w:rPr>
        <w:t>一</w:t>
      </w:r>
      <w:r>
        <w:rPr>
          <w:rFonts w:hint="eastAsia" w:ascii="仿宋_GB2312" w:hAnsi="仿宋_GB2312" w:eastAsia="仿宋_GB2312"/>
          <w:sz w:val="32"/>
          <w:szCs w:val="24"/>
          <w:lang w:val="en-US"/>
        </w:rPr>
        <w:t>、预算绩效的情况说明</w:t>
      </w:r>
    </w:p>
    <w:p>
      <w:pPr>
        <w:spacing w:line="360" w:lineRule="auto"/>
        <w:rPr>
          <w:rFonts w:hint="default" w:eastAsia="Times New Roman"/>
          <w:b/>
          <w:kern w:val="0"/>
          <w:sz w:val="32"/>
          <w:szCs w:val="24"/>
          <w:lang w:val="en-US"/>
        </w:rPr>
      </w:pPr>
      <w:r>
        <w:rPr>
          <w:rFonts w:hint="eastAsia" w:ascii="仿宋_GB2312" w:hAnsi="仿宋_GB2312" w:eastAsia="仿宋_GB2312"/>
          <w:b/>
          <w:kern w:val="0"/>
          <w:sz w:val="32"/>
          <w:szCs w:val="24"/>
          <w:lang w:val="en-US"/>
        </w:rPr>
        <w:t>第三部分 专业名词解释</w:t>
      </w:r>
    </w:p>
    <w:p>
      <w:pPr>
        <w:spacing w:line="360" w:lineRule="auto"/>
        <w:rPr>
          <w:rFonts w:hint="default" w:eastAsia="Times New Roman"/>
          <w:b/>
          <w:kern w:val="0"/>
          <w:sz w:val="32"/>
          <w:szCs w:val="24"/>
          <w:lang w:val="en-US"/>
        </w:rPr>
      </w:pPr>
      <w:r>
        <w:rPr>
          <w:rFonts w:hint="eastAsia" w:ascii="仿宋_GB2312" w:hAnsi="仿宋_GB2312" w:eastAsia="仿宋_GB2312"/>
          <w:b/>
          <w:kern w:val="0"/>
          <w:sz w:val="32"/>
          <w:szCs w:val="24"/>
          <w:lang w:val="en-US"/>
        </w:rPr>
        <w:t>第四部分 部</w:t>
      </w:r>
      <w:r>
        <w:rPr>
          <w:rFonts w:hint="eastAsia" w:ascii="仿宋_GB2312" w:hAnsi="仿宋_GB2312" w:eastAsia="仿宋_GB2312"/>
          <w:b/>
          <w:sz w:val="32"/>
          <w:szCs w:val="24"/>
          <w:lang w:val="en-US"/>
        </w:rPr>
        <w:t>门决算报表（见附表）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一、《收入支出决算总表》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二、《收入决算表》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三、《支出决算表》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四、《财政拨款收入支出决算总表》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五、《一般公共预算财政拨款支出决算表》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六、《一般公共预算财政拨款基本支出决算表》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七、《财政拨款“三公”经费支出决算表》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八、《政府性基金预算财政拨款收入支出决算表》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九、《国有资本经营预算财政拨款收入支出决算表》</w:t>
      </w:r>
    </w:p>
    <w:p>
      <w:pPr>
        <w:spacing w:line="540" w:lineRule="exact"/>
        <w:ind w:firstLine="640"/>
        <w:rPr>
          <w:rFonts w:hint="default" w:eastAsia="Times New Roman"/>
          <w:b/>
          <w:kern w:val="0"/>
          <w:sz w:val="28"/>
          <w:szCs w:val="24"/>
          <w:lang w:val="en-US"/>
        </w:rPr>
      </w:pPr>
    </w:p>
    <w:p>
      <w:pPr>
        <w:shd w:val="clear" w:color="auto" w:fill="FFFFFF"/>
        <w:spacing w:line="360" w:lineRule="auto"/>
        <w:jc w:val="center"/>
        <w:rPr>
          <w:rFonts w:hint="default" w:eastAsia="Times New Roman"/>
          <w:kern w:val="0"/>
          <w:sz w:val="32"/>
          <w:szCs w:val="24"/>
          <w:lang w:val="en-US"/>
        </w:rPr>
      </w:pPr>
    </w:p>
    <w:p>
      <w:pPr>
        <w:shd w:val="clear" w:color="auto" w:fill="FFFFFF"/>
        <w:spacing w:line="360" w:lineRule="auto"/>
        <w:jc w:val="center"/>
        <w:rPr>
          <w:rFonts w:hint="eastAsia" w:ascii="黑体" w:hAnsi="黑体" w:eastAsia="黑体"/>
          <w:kern w:val="0"/>
          <w:sz w:val="32"/>
          <w:szCs w:val="24"/>
          <w:lang w:val="ar-SA"/>
        </w:rPr>
      </w:pPr>
      <w:r>
        <w:rPr>
          <w:rFonts w:hint="default" w:eastAsia="Times New Roman"/>
          <w:kern w:val="0"/>
          <w:sz w:val="32"/>
          <w:szCs w:val="24"/>
          <w:lang w:val="en-US"/>
        </w:rPr>
        <w:br w:type="page"/>
      </w:r>
      <w:r>
        <w:rPr>
          <w:rFonts w:hint="eastAsia" w:ascii="黑体" w:hAnsi="黑体" w:eastAsia="黑体"/>
          <w:kern w:val="0"/>
          <w:sz w:val="32"/>
          <w:szCs w:val="24"/>
          <w:lang w:val="en-US"/>
        </w:rPr>
        <w:t>第一部分 单位概况</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一、主要职能</w:t>
      </w:r>
    </w:p>
    <w:p>
      <w:pPr>
        <w:shd w:val="clear" w:color="auto" w:fill="FFFFFF"/>
        <w:spacing w:line="360" w:lineRule="auto"/>
        <w:ind w:firstLine="640"/>
        <w:rPr>
          <w:rFonts w:hint="eastAsia" w:ascii="仿宋_GB2312" w:hAnsi="仿宋_GB2312" w:eastAsia="仿宋_GB2312" w:cs="Times New Roman"/>
          <w:kern w:val="0"/>
          <w:sz w:val="32"/>
          <w:szCs w:val="24"/>
          <w:lang w:val="en-US" w:eastAsia="zh-CN"/>
        </w:rPr>
      </w:pPr>
      <w:r>
        <w:rPr>
          <w:rFonts w:hint="eastAsia" w:ascii="仿宋_GB2312" w:hAnsi="仿宋_GB2312" w:eastAsia="仿宋_GB2312" w:cs="Times New Roman"/>
          <w:kern w:val="0"/>
          <w:sz w:val="32"/>
          <w:szCs w:val="24"/>
          <w:lang w:val="zh-CN"/>
        </w:rPr>
        <w:t>1、实施全区动物及其产品检疫工作和监督管理工作。</w:t>
      </w:r>
    </w:p>
    <w:p>
      <w:pPr>
        <w:shd w:val="clear" w:color="auto" w:fill="FFFFFF"/>
        <w:spacing w:line="360" w:lineRule="auto"/>
        <w:ind w:firstLine="640"/>
        <w:rPr>
          <w:rFonts w:hint="eastAsia" w:ascii="仿宋_GB2312" w:hAnsi="仿宋_GB2312" w:eastAsia="仿宋_GB2312" w:cs="Times New Roman"/>
          <w:kern w:val="0"/>
          <w:sz w:val="32"/>
          <w:szCs w:val="24"/>
          <w:lang w:val="zh-CN"/>
        </w:rPr>
      </w:pPr>
      <w:r>
        <w:rPr>
          <w:rFonts w:hint="eastAsia" w:ascii="仿宋_GB2312" w:hAnsi="仿宋_GB2312" w:eastAsia="仿宋_GB2312" w:cs="Times New Roman"/>
          <w:kern w:val="0"/>
          <w:sz w:val="32"/>
          <w:szCs w:val="24"/>
          <w:lang w:val="zh-CN"/>
        </w:rPr>
        <w:t>2、依法负责全区动物防疫、检疫和动物产品安全监督工作。</w:t>
      </w:r>
    </w:p>
    <w:p>
      <w:pPr>
        <w:shd w:val="clear" w:color="auto" w:fill="FFFFFF"/>
        <w:spacing w:line="360" w:lineRule="auto"/>
        <w:ind w:firstLine="640"/>
        <w:rPr>
          <w:rFonts w:hint="eastAsia" w:ascii="仿宋_GB2312" w:hAnsi="仿宋_GB2312" w:eastAsia="仿宋_GB2312" w:cs="Times New Roman"/>
          <w:kern w:val="0"/>
          <w:sz w:val="32"/>
          <w:szCs w:val="24"/>
          <w:lang w:val="zh-CN"/>
        </w:rPr>
      </w:pPr>
      <w:r>
        <w:rPr>
          <w:rFonts w:hint="eastAsia" w:ascii="仿宋_GB2312" w:hAnsi="仿宋_GB2312" w:eastAsia="仿宋_GB2312" w:cs="Times New Roman"/>
          <w:kern w:val="0"/>
          <w:sz w:val="32"/>
          <w:szCs w:val="24"/>
          <w:lang w:val="zh-CN"/>
        </w:rPr>
        <w:t>3、负责依法查处全区重大动物防疫案件。</w:t>
      </w:r>
    </w:p>
    <w:p>
      <w:pPr>
        <w:shd w:val="clear" w:color="auto" w:fill="FFFFFF"/>
        <w:spacing w:line="360" w:lineRule="auto"/>
        <w:ind w:firstLine="640"/>
        <w:rPr>
          <w:rFonts w:hint="eastAsia" w:ascii="仿宋_GB2312" w:hAnsi="仿宋_GB2312" w:eastAsia="仿宋_GB2312" w:cs="Times New Roman"/>
          <w:kern w:val="0"/>
          <w:sz w:val="32"/>
          <w:szCs w:val="24"/>
          <w:lang w:val="zh-CN"/>
        </w:rPr>
      </w:pPr>
      <w:r>
        <w:rPr>
          <w:rFonts w:hint="eastAsia" w:ascii="仿宋_GB2312" w:hAnsi="仿宋_GB2312" w:eastAsia="仿宋_GB2312" w:cs="Times New Roman"/>
          <w:kern w:val="0"/>
          <w:sz w:val="32"/>
          <w:szCs w:val="24"/>
          <w:lang w:val="zh-CN"/>
        </w:rPr>
        <w:t>4、依法对兽药生产、销售、安全使用进行监督管理。</w:t>
      </w:r>
    </w:p>
    <w:p>
      <w:pPr>
        <w:shd w:val="clear" w:color="auto" w:fill="FFFFFF"/>
        <w:spacing w:line="360" w:lineRule="auto"/>
        <w:ind w:firstLine="640"/>
        <w:rPr>
          <w:rFonts w:hint="eastAsia" w:ascii="仿宋_GB2312" w:hAnsi="仿宋_GB2312" w:eastAsia="仿宋_GB2312" w:cs="Times New Roman"/>
          <w:kern w:val="0"/>
          <w:sz w:val="32"/>
          <w:szCs w:val="24"/>
          <w:lang w:val="zh-CN"/>
        </w:rPr>
      </w:pPr>
      <w:r>
        <w:rPr>
          <w:rFonts w:hint="eastAsia" w:ascii="仿宋_GB2312" w:hAnsi="仿宋_GB2312" w:eastAsia="仿宋_GB2312" w:cs="Times New Roman"/>
          <w:kern w:val="0"/>
          <w:sz w:val="32"/>
          <w:szCs w:val="24"/>
          <w:lang w:val="zh-CN"/>
        </w:rPr>
        <w:t>5、依法负责进出境动物及产品的检疫监督工作。</w:t>
      </w:r>
    </w:p>
    <w:p>
      <w:pPr>
        <w:shd w:val="clear" w:color="auto" w:fill="FFFFFF"/>
        <w:spacing w:line="360" w:lineRule="auto"/>
        <w:ind w:firstLine="640"/>
        <w:rPr>
          <w:rFonts w:hint="eastAsia" w:ascii="仿宋_GB2312" w:hAnsi="仿宋_GB2312" w:eastAsia="仿宋_GB2312" w:cs="Times New Roman"/>
          <w:kern w:val="0"/>
          <w:sz w:val="32"/>
          <w:szCs w:val="24"/>
          <w:lang w:val="zh-CN"/>
        </w:rPr>
      </w:pPr>
      <w:r>
        <w:rPr>
          <w:rFonts w:hint="eastAsia" w:ascii="仿宋_GB2312" w:hAnsi="仿宋_GB2312" w:eastAsia="仿宋_GB2312" w:cs="Times New Roman"/>
          <w:kern w:val="0"/>
          <w:sz w:val="32"/>
          <w:szCs w:val="24"/>
          <w:lang w:val="zh-CN"/>
        </w:rPr>
        <w:t>6、负责检疫监督有关票、证、章的管理和发放工作等。</w:t>
      </w:r>
    </w:p>
    <w:p>
      <w:pPr>
        <w:shd w:val="clear" w:color="auto" w:fill="FFFFFF"/>
        <w:spacing w:line="360" w:lineRule="auto"/>
        <w:ind w:firstLine="640"/>
        <w:rPr>
          <w:rFonts w:hint="eastAsia" w:ascii="仿宋_GB2312" w:hAnsi="仿宋_GB2312" w:eastAsia="仿宋_GB2312" w:cs="Times New Roman"/>
          <w:kern w:val="0"/>
          <w:sz w:val="32"/>
          <w:szCs w:val="24"/>
          <w:lang w:val="zh-CN"/>
        </w:rPr>
      </w:pPr>
      <w:r>
        <w:rPr>
          <w:rFonts w:hint="eastAsia" w:ascii="仿宋_GB2312" w:hAnsi="仿宋_GB2312" w:eastAsia="仿宋_GB2312" w:cs="Times New Roman"/>
          <w:kern w:val="0"/>
          <w:sz w:val="32"/>
          <w:szCs w:val="24"/>
          <w:lang w:val="zh-CN"/>
        </w:rPr>
        <w:t>7、完成上级交办的其它工作。</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二、机构设置及人员情况</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乌鲁木齐市米东区动物卫生监督所（渔政管理站）2022年度，实有人数15人，其中：在职人员11人，离休人员0人，退休人员4人。</w:t>
      </w:r>
    </w:p>
    <w:p>
      <w:pPr>
        <w:shd w:val="clear" w:color="auto" w:fill="FFFFFF"/>
        <w:spacing w:line="360" w:lineRule="auto"/>
        <w:ind w:firstLine="640"/>
        <w:rPr>
          <w:rFonts w:hint="default" w:eastAsia="Times New Roman"/>
          <w:kern w:val="0"/>
          <w:sz w:val="24"/>
          <w:szCs w:val="24"/>
          <w:lang w:val="ar-SA"/>
        </w:rPr>
      </w:pPr>
      <w:r>
        <w:rPr>
          <w:rFonts w:hint="eastAsia" w:ascii="仿宋_GB2312" w:hAnsi="仿宋_GB2312" w:eastAsia="仿宋_GB2312"/>
          <w:kern w:val="0"/>
          <w:sz w:val="32"/>
          <w:szCs w:val="24"/>
          <w:lang w:val="en-US"/>
        </w:rPr>
        <w:t>从部门决算单位构成看，乌鲁木齐市米东区动物卫生监督所（渔政管理站）部门决算包括：乌鲁木齐市米东区动物卫生监督所（渔政管理站）</w:t>
      </w:r>
      <w:r>
        <w:rPr>
          <w:rFonts w:hint="eastAsia" w:ascii="仿宋_GB2312" w:hAnsi="仿宋_GB2312" w:eastAsia="仿宋_GB2312"/>
          <w:kern w:val="0"/>
          <w:sz w:val="32"/>
          <w:szCs w:val="24"/>
          <w:lang w:val="zh-CN"/>
        </w:rPr>
        <w:t>决算。单位无下属预算单位，下设</w:t>
      </w:r>
      <w:r>
        <w:rPr>
          <w:rFonts w:hint="eastAsia" w:ascii="仿宋_GB2312" w:hAnsi="仿宋_GB2312" w:eastAsia="仿宋_GB2312"/>
          <w:kern w:val="0"/>
          <w:sz w:val="32"/>
          <w:szCs w:val="24"/>
          <w:lang w:val="en-US" w:eastAsia="zh-CN"/>
        </w:rPr>
        <w:t>2</w:t>
      </w:r>
      <w:r>
        <w:rPr>
          <w:rFonts w:hint="eastAsia" w:ascii="仿宋_GB2312" w:hAnsi="仿宋_GB2312" w:eastAsia="仿宋_GB2312"/>
          <w:kern w:val="0"/>
          <w:sz w:val="32"/>
          <w:szCs w:val="24"/>
          <w:lang w:val="zh-CN"/>
        </w:rPr>
        <w:t>个科室，分别是：</w:t>
      </w:r>
      <w:r>
        <w:rPr>
          <w:rFonts w:hint="eastAsia" w:ascii="仿宋_GB2312" w:hAnsi="仿宋_GB2312" w:eastAsia="仿宋_GB2312"/>
          <w:kern w:val="0"/>
          <w:sz w:val="32"/>
          <w:szCs w:val="24"/>
          <w:lang w:val="en-US"/>
        </w:rPr>
        <w:t>业务科</w:t>
      </w:r>
      <w:r>
        <w:rPr>
          <w:rFonts w:hint="eastAsia" w:ascii="仿宋_GB2312" w:hAnsi="仿宋_GB2312" w:eastAsia="仿宋_GB2312"/>
          <w:kern w:val="0"/>
          <w:sz w:val="32"/>
          <w:szCs w:val="24"/>
          <w:lang w:val="en-US" w:eastAsia="zh-CN"/>
        </w:rPr>
        <w:t>、</w:t>
      </w:r>
      <w:r>
        <w:rPr>
          <w:rFonts w:hint="eastAsia" w:ascii="仿宋_GB2312" w:hAnsi="仿宋_GB2312" w:eastAsia="仿宋_GB2312"/>
          <w:kern w:val="0"/>
          <w:sz w:val="32"/>
          <w:szCs w:val="24"/>
          <w:lang w:val="en-US"/>
        </w:rPr>
        <w:t>执法大队</w:t>
      </w:r>
      <w:r>
        <w:rPr>
          <w:rFonts w:hint="eastAsia" w:ascii="仿宋_GB2312" w:hAnsi="仿宋_GB2312" w:eastAsia="仿宋_GB2312"/>
          <w:kern w:val="0"/>
          <w:sz w:val="32"/>
          <w:szCs w:val="24"/>
          <w:lang w:val="zh-CN"/>
        </w:rPr>
        <w:t>。</w:t>
      </w:r>
    </w:p>
    <w:p>
      <w:pPr>
        <w:shd w:val="clear" w:color="auto" w:fill="FFFFFF"/>
        <w:spacing w:before="100" w:after="240"/>
        <w:jc w:val="center"/>
        <w:rPr>
          <w:rFonts w:hint="default" w:eastAsia="Times New Roman"/>
          <w:kern w:val="0"/>
          <w:sz w:val="28"/>
          <w:szCs w:val="24"/>
          <w:lang w:val="ar-SA"/>
        </w:rPr>
      </w:pPr>
      <w:r>
        <w:rPr>
          <w:rFonts w:hint="eastAsia" w:ascii="黑体" w:hAnsi="黑体" w:eastAsia="黑体"/>
          <w:kern w:val="0"/>
          <w:sz w:val="32"/>
          <w:szCs w:val="24"/>
          <w:lang w:val="en-US"/>
        </w:rPr>
        <w:t>第二部分 部门决算情况说明</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一、收入支出决算总体情况说明</w:t>
      </w:r>
    </w:p>
    <w:p>
      <w:pPr>
        <w:shd w:val="clear" w:color="auto" w:fill="FFFFFF"/>
        <w:spacing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2022年度收入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177.84万元，</w:t>
      </w:r>
      <w:r>
        <w:rPr>
          <w:rFonts w:hint="eastAsia" w:ascii="仿宋_GB2312" w:hAnsi="仿宋_GB2312" w:eastAsia="仿宋_GB2312"/>
          <w:sz w:val="32"/>
          <w:szCs w:val="24"/>
          <w:lang w:val="en-US"/>
        </w:rPr>
        <w:t>其中：本年收入合计</w:t>
      </w:r>
      <w:r>
        <w:rPr>
          <w:rFonts w:hint="eastAsia" w:ascii="仿宋_GB2312" w:hAnsi="仿宋_GB2312" w:eastAsia="仿宋_GB2312"/>
          <w:kern w:val="0"/>
          <w:sz w:val="32"/>
          <w:szCs w:val="24"/>
          <w:lang w:val="en-US"/>
        </w:rPr>
        <w:t>177.84</w:t>
      </w:r>
      <w:r>
        <w:rPr>
          <w:rFonts w:hint="eastAsia" w:ascii="仿宋_GB2312" w:hAnsi="仿宋_GB2312" w:eastAsia="仿宋_GB2312"/>
          <w:sz w:val="32"/>
          <w:szCs w:val="24"/>
          <w:lang w:val="en-US"/>
        </w:rPr>
        <w:t>万元，使用非财政拨款结余</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万元，年初结转和结余</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万元。收入总计</w:t>
      </w:r>
      <w:r>
        <w:rPr>
          <w:rFonts w:hint="eastAsia" w:ascii="仿宋_GB2312" w:hAnsi="仿宋_GB2312" w:eastAsia="仿宋_GB2312"/>
          <w:kern w:val="0"/>
          <w:sz w:val="32"/>
          <w:szCs w:val="24"/>
          <w:lang w:val="en-US"/>
        </w:rPr>
        <w:t>与上年相比，增加177.84万元，增长100.00%，主要原因是：</w:t>
      </w:r>
      <w:r>
        <w:rPr>
          <w:rFonts w:hint="eastAsia" w:ascii="仿宋_GB2312" w:hAnsi="仿宋_GB2312" w:eastAsia="仿宋_GB2312"/>
          <w:kern w:val="0"/>
          <w:sz w:val="32"/>
          <w:szCs w:val="24"/>
          <w:lang w:val="en-US" w:eastAsia="zh-CN"/>
        </w:rPr>
        <w:t>我单位为2022年新增单位</w:t>
      </w:r>
      <w:r>
        <w:rPr>
          <w:rFonts w:hint="eastAsia" w:ascii="仿宋_GB2312" w:hAnsi="仿宋_GB2312" w:eastAsia="仿宋_GB2312"/>
          <w:kern w:val="0"/>
          <w:sz w:val="32"/>
          <w:szCs w:val="24"/>
          <w:lang w:val="en-US"/>
        </w:rPr>
        <w:t>。</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sz w:val="32"/>
          <w:szCs w:val="24"/>
          <w:lang w:val="en-US"/>
        </w:rPr>
        <w:t>本年支出总计</w:t>
      </w:r>
      <w:r>
        <w:rPr>
          <w:rFonts w:hint="eastAsia" w:ascii="仿宋_GB2312" w:hAnsi="仿宋_GB2312" w:eastAsia="仿宋_GB2312"/>
          <w:kern w:val="0"/>
          <w:sz w:val="32"/>
          <w:szCs w:val="24"/>
          <w:lang w:val="en-US"/>
        </w:rPr>
        <w:t>177.84万元，</w:t>
      </w:r>
      <w:r>
        <w:rPr>
          <w:rFonts w:hint="eastAsia" w:ascii="仿宋_GB2312" w:hAnsi="仿宋_GB2312" w:eastAsia="仿宋_GB2312"/>
          <w:sz w:val="32"/>
          <w:szCs w:val="24"/>
          <w:lang w:val="en-US"/>
        </w:rPr>
        <w:t>其中：本年支出合计</w:t>
      </w:r>
      <w:r>
        <w:rPr>
          <w:rFonts w:hint="eastAsia" w:ascii="仿宋_GB2312" w:hAnsi="仿宋_GB2312" w:eastAsia="仿宋_GB2312"/>
          <w:kern w:val="0"/>
          <w:sz w:val="32"/>
          <w:szCs w:val="24"/>
          <w:lang w:val="en-US"/>
        </w:rPr>
        <w:t>177.84</w:t>
      </w:r>
      <w:r>
        <w:rPr>
          <w:rFonts w:hint="eastAsia" w:ascii="仿宋_GB2312" w:hAnsi="仿宋_GB2312" w:eastAsia="仿宋_GB2312"/>
          <w:sz w:val="32"/>
          <w:szCs w:val="24"/>
          <w:lang w:val="en-US"/>
        </w:rPr>
        <w:t>万元，结余分配</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万元，年末结转和结余</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万元。支出总计</w:t>
      </w:r>
      <w:r>
        <w:rPr>
          <w:rFonts w:hint="eastAsia" w:ascii="仿宋_GB2312" w:hAnsi="仿宋_GB2312" w:eastAsia="仿宋_GB2312"/>
          <w:kern w:val="0"/>
          <w:sz w:val="32"/>
          <w:szCs w:val="24"/>
          <w:lang w:val="en-US"/>
        </w:rPr>
        <w:t>与上年相比，增加177.84万元，增长100.00%，主要原因是：</w:t>
      </w:r>
      <w:r>
        <w:rPr>
          <w:rFonts w:hint="eastAsia" w:ascii="仿宋_GB2312" w:hAnsi="仿宋_GB2312" w:eastAsia="仿宋_GB2312"/>
          <w:kern w:val="0"/>
          <w:sz w:val="32"/>
          <w:szCs w:val="24"/>
          <w:lang w:val="en-US" w:eastAsia="zh-CN"/>
        </w:rPr>
        <w:t>我单位为2022年新增单位</w:t>
      </w:r>
      <w:r>
        <w:rPr>
          <w:rFonts w:hint="eastAsia" w:ascii="仿宋_GB2312" w:hAnsi="仿宋_GB2312" w:eastAsia="仿宋_GB2312"/>
          <w:kern w:val="0"/>
          <w:sz w:val="32"/>
          <w:szCs w:val="24"/>
          <w:lang w:val="en-US"/>
        </w:rPr>
        <w:t>。</w:t>
      </w:r>
    </w:p>
    <w:p>
      <w:pPr>
        <w:spacing w:line="360" w:lineRule="auto"/>
        <w:ind w:firstLine="640"/>
        <w:rPr>
          <w:rFonts w:hint="default" w:eastAsia="Times New Roman"/>
          <w:sz w:val="32"/>
          <w:szCs w:val="24"/>
          <w:lang w:val="en-US"/>
        </w:rPr>
      </w:pPr>
      <w:r>
        <w:rPr>
          <w:rFonts w:hint="eastAsia" w:ascii="黑体" w:hAnsi="黑体" w:eastAsia="黑体"/>
          <w:sz w:val="32"/>
          <w:szCs w:val="24"/>
          <w:lang w:val="zh-CN"/>
        </w:rPr>
        <w:t>二、收入决算情况说明</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2022年度本年收入177.84万元，其中：财政拨款收入177.84万元，占100.00%；上级补助收入0.00万元，占0.00%；事业收入0.00万元，占0.00%；经营收入0.00万元，占0.00%；附属单位上缴收入0.00万元，占0.00%；其他收入0.00万元，占0.00%。</w:t>
      </w:r>
    </w:p>
    <w:p>
      <w:pPr>
        <w:spacing w:line="360" w:lineRule="auto"/>
        <w:ind w:firstLine="640"/>
        <w:rPr>
          <w:rFonts w:hint="default" w:eastAsia="Times New Roman"/>
          <w:sz w:val="32"/>
          <w:szCs w:val="24"/>
          <w:lang w:val="en-US"/>
        </w:rPr>
      </w:pPr>
      <w:r>
        <w:rPr>
          <w:rFonts w:hint="eastAsia" w:ascii="黑体" w:hAnsi="黑体" w:eastAsia="黑体"/>
          <w:sz w:val="32"/>
          <w:szCs w:val="24"/>
          <w:lang w:val="zh-CN"/>
        </w:rPr>
        <w:t>三、支出决算情况说明</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2022年度本年支出177.84万元，其中：基本支出177.84万元，占100.00%；项目支出0.00万元，占0.00%；上缴上级支出0.00万元，占0.00%；经营支出0.00万元，占0.00%；对附属单位补助支出0.00万元，占0.00%。</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四、财政拨款收入支出决算总体情况说明</w:t>
      </w:r>
    </w:p>
    <w:p>
      <w:pPr>
        <w:shd w:val="clear" w:color="auto" w:fill="FFFFFF"/>
        <w:spacing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2022年度财政拨款收入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177.84万元，</w:t>
      </w:r>
      <w:r>
        <w:rPr>
          <w:rFonts w:hint="eastAsia" w:ascii="仿宋_GB2312" w:hAnsi="仿宋_GB2312" w:eastAsia="仿宋_GB2312"/>
          <w:sz w:val="32"/>
          <w:szCs w:val="24"/>
          <w:lang w:val="en-US"/>
        </w:rPr>
        <w:t>其中：年初财政拨款结转和结余</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万元，财政拨款本年收入</w:t>
      </w:r>
      <w:r>
        <w:rPr>
          <w:rFonts w:hint="eastAsia" w:ascii="仿宋_GB2312" w:hAnsi="仿宋_GB2312" w:eastAsia="仿宋_GB2312"/>
          <w:kern w:val="0"/>
          <w:sz w:val="32"/>
          <w:szCs w:val="24"/>
          <w:lang w:val="en-US"/>
        </w:rPr>
        <w:t>177.84</w:t>
      </w:r>
      <w:r>
        <w:rPr>
          <w:rFonts w:hint="eastAsia" w:ascii="仿宋_GB2312" w:hAnsi="仿宋_GB2312" w:eastAsia="仿宋_GB2312"/>
          <w:sz w:val="32"/>
          <w:szCs w:val="24"/>
          <w:lang w:val="en-US"/>
        </w:rPr>
        <w:t>万元。财政拨款收入总计</w:t>
      </w:r>
      <w:r>
        <w:rPr>
          <w:rFonts w:hint="eastAsia" w:ascii="仿宋_GB2312" w:hAnsi="仿宋_GB2312" w:eastAsia="仿宋_GB2312"/>
          <w:kern w:val="0"/>
          <w:sz w:val="32"/>
          <w:szCs w:val="24"/>
          <w:lang w:val="en-US"/>
        </w:rPr>
        <w:t>与上年相比，增加177.84万元，增长100.00%，主要原因是：</w:t>
      </w:r>
      <w:r>
        <w:rPr>
          <w:rFonts w:hint="eastAsia" w:ascii="仿宋_GB2312" w:hAnsi="仿宋_GB2312" w:eastAsia="仿宋_GB2312"/>
          <w:kern w:val="0"/>
          <w:sz w:val="32"/>
          <w:szCs w:val="24"/>
          <w:lang w:val="en-US" w:eastAsia="zh-CN"/>
        </w:rPr>
        <w:t>我单位为2022年新增单位</w:t>
      </w:r>
      <w:r>
        <w:rPr>
          <w:rFonts w:hint="eastAsia" w:ascii="仿宋_GB2312" w:hAnsi="仿宋_GB2312" w:eastAsia="仿宋_GB2312"/>
          <w:kern w:val="0"/>
          <w:sz w:val="32"/>
          <w:szCs w:val="24"/>
          <w:lang w:val="en-US"/>
        </w:rPr>
        <w:t>。</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财政拨款支出</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177.84万元，</w:t>
      </w:r>
      <w:r>
        <w:rPr>
          <w:rFonts w:hint="eastAsia" w:ascii="仿宋_GB2312" w:hAnsi="仿宋_GB2312" w:eastAsia="仿宋_GB2312"/>
          <w:sz w:val="32"/>
          <w:szCs w:val="24"/>
          <w:lang w:val="en-US"/>
        </w:rPr>
        <w:t>其中：年末财政拨款结转和结余</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万元，财政拨款本年支出</w:t>
      </w:r>
      <w:r>
        <w:rPr>
          <w:rFonts w:hint="eastAsia" w:ascii="仿宋_GB2312" w:hAnsi="仿宋_GB2312" w:eastAsia="仿宋_GB2312"/>
          <w:kern w:val="0"/>
          <w:sz w:val="32"/>
          <w:szCs w:val="24"/>
          <w:lang w:val="en-US"/>
        </w:rPr>
        <w:t>177.84</w:t>
      </w:r>
      <w:r>
        <w:rPr>
          <w:rFonts w:hint="eastAsia" w:ascii="仿宋_GB2312" w:hAnsi="仿宋_GB2312" w:eastAsia="仿宋_GB2312"/>
          <w:sz w:val="32"/>
          <w:szCs w:val="24"/>
          <w:lang w:val="en-US"/>
        </w:rPr>
        <w:t>万元。财政拨款支出总计</w:t>
      </w:r>
      <w:r>
        <w:rPr>
          <w:rFonts w:hint="eastAsia" w:ascii="仿宋_GB2312" w:hAnsi="仿宋_GB2312" w:eastAsia="仿宋_GB2312"/>
          <w:kern w:val="0"/>
          <w:sz w:val="32"/>
          <w:szCs w:val="24"/>
          <w:lang w:val="en-US"/>
        </w:rPr>
        <w:t>与上年相比，增加177.84万元，增长100.00%，主要原因是：</w:t>
      </w:r>
      <w:r>
        <w:rPr>
          <w:rFonts w:hint="eastAsia" w:ascii="仿宋_GB2312" w:hAnsi="仿宋_GB2312" w:eastAsia="仿宋_GB2312"/>
          <w:kern w:val="0"/>
          <w:sz w:val="32"/>
          <w:szCs w:val="24"/>
          <w:lang w:val="en-US" w:eastAsia="zh-CN"/>
        </w:rPr>
        <w:t>我单位为2022年新增单位</w:t>
      </w:r>
      <w:r>
        <w:rPr>
          <w:rFonts w:hint="eastAsia" w:ascii="仿宋_GB2312" w:hAnsi="仿宋_GB2312" w:eastAsia="仿宋_GB2312"/>
          <w:kern w:val="0"/>
          <w:sz w:val="32"/>
          <w:szCs w:val="24"/>
          <w:lang w:val="en-US"/>
        </w:rPr>
        <w:t>。</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与年初预算数相比情况：财政拨款收入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年初预算数202.03万元，决算数177.84万元，预决算差异率-11.97%，主要原因是：</w:t>
      </w:r>
      <w:r>
        <w:rPr>
          <w:rFonts w:hint="eastAsia" w:ascii="仿宋_GB2312" w:hAnsi="仿宋_GB2312" w:eastAsia="仿宋_GB2312"/>
          <w:kern w:val="0"/>
          <w:sz w:val="32"/>
          <w:szCs w:val="24"/>
          <w:lang w:val="en-US" w:eastAsia="zh-CN"/>
        </w:rPr>
        <w:t>本年业务减少，年中调减人员经费和办公费，与预算相比导致差异</w:t>
      </w:r>
      <w:r>
        <w:rPr>
          <w:rFonts w:hint="eastAsia" w:ascii="仿宋_GB2312" w:hAnsi="仿宋_GB2312" w:eastAsia="仿宋_GB2312"/>
          <w:kern w:val="0"/>
          <w:sz w:val="32"/>
          <w:szCs w:val="24"/>
          <w:lang w:val="en-US"/>
        </w:rPr>
        <w:t>。财政拨款支出</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年初预算数202.03万元，决算数177.84万元，预决算差异率-11.97%，主要原因是：</w:t>
      </w:r>
      <w:r>
        <w:rPr>
          <w:rFonts w:hint="eastAsia" w:ascii="仿宋_GB2312" w:hAnsi="仿宋_GB2312" w:eastAsia="仿宋_GB2312"/>
          <w:kern w:val="0"/>
          <w:sz w:val="32"/>
          <w:szCs w:val="24"/>
          <w:lang w:val="en-US" w:eastAsia="zh-CN"/>
        </w:rPr>
        <w:t>本年业务减少，年中调减人员经费和办公费，支出减少，与预算相比导致差异</w:t>
      </w:r>
      <w:r>
        <w:rPr>
          <w:rFonts w:hint="eastAsia" w:ascii="仿宋_GB2312" w:hAnsi="仿宋_GB2312" w:eastAsia="仿宋_GB2312"/>
          <w:kern w:val="0"/>
          <w:sz w:val="32"/>
          <w:szCs w:val="24"/>
          <w:lang w:val="en-US"/>
        </w:rPr>
        <w:t>。</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五、一般公共预算财政拨款支出决算情况说明</w:t>
      </w:r>
    </w:p>
    <w:p>
      <w:pPr>
        <w:ind w:firstLine="640"/>
        <w:rPr>
          <w:rFonts w:hint="default" w:eastAsia="Times New Roman"/>
          <w:sz w:val="32"/>
          <w:szCs w:val="24"/>
          <w:lang w:val="en-US"/>
        </w:rPr>
      </w:pPr>
      <w:r>
        <w:rPr>
          <w:rFonts w:hint="eastAsia" w:ascii="黑体" w:hAnsi="黑体" w:eastAsia="黑体"/>
          <w:sz w:val="32"/>
          <w:szCs w:val="24"/>
          <w:lang w:val="en-US"/>
        </w:rPr>
        <w:t>（一）一般公共预算财政拨款支出决算总体情况</w:t>
      </w:r>
    </w:p>
    <w:p>
      <w:pPr>
        <w:spacing w:line="600" w:lineRule="exact"/>
        <w:ind w:firstLine="640"/>
        <w:rPr>
          <w:rFonts w:hint="eastAsia" w:ascii="仿宋_GB2312" w:hAnsi="仿宋_GB2312" w:eastAsia="仿宋_GB2312"/>
          <w:kern w:val="0"/>
          <w:sz w:val="32"/>
          <w:szCs w:val="24"/>
          <w:lang w:val="en-US"/>
        </w:rPr>
      </w:pPr>
      <w:r>
        <w:rPr>
          <w:rFonts w:hint="eastAsia" w:ascii="仿宋_GB2312" w:hAnsi="仿宋_GB2312" w:eastAsia="仿宋_GB2312"/>
          <w:sz w:val="32"/>
          <w:szCs w:val="24"/>
          <w:lang w:val="en-US"/>
        </w:rPr>
        <w:t>2022年度一般公共预算财政拨款支出</w:t>
      </w:r>
      <w:r>
        <w:rPr>
          <w:rFonts w:hint="eastAsia" w:ascii="仿宋_GB2312" w:hAnsi="仿宋_GB2312" w:eastAsia="仿宋_GB2312"/>
          <w:kern w:val="0"/>
          <w:sz w:val="32"/>
          <w:szCs w:val="24"/>
          <w:lang w:val="en-US"/>
        </w:rPr>
        <w:t>177.84</w:t>
      </w:r>
      <w:r>
        <w:rPr>
          <w:rFonts w:hint="eastAsia" w:ascii="仿宋_GB2312" w:hAnsi="仿宋_GB2312" w:eastAsia="仿宋_GB2312"/>
          <w:sz w:val="32"/>
          <w:szCs w:val="24"/>
          <w:lang w:val="en-US"/>
        </w:rPr>
        <w:t>万元，占本年支出合计的</w:t>
      </w:r>
      <w:r>
        <w:rPr>
          <w:rFonts w:hint="eastAsia" w:ascii="仿宋_GB2312" w:hAnsi="仿宋_GB2312" w:eastAsia="仿宋_GB2312"/>
          <w:kern w:val="0"/>
          <w:sz w:val="32"/>
          <w:szCs w:val="24"/>
          <w:lang w:val="en-US"/>
        </w:rPr>
        <w:t>100.00%</w:t>
      </w:r>
      <w:r>
        <w:rPr>
          <w:rFonts w:hint="eastAsia" w:ascii="仿宋_GB2312" w:hAnsi="仿宋_GB2312" w:eastAsia="仿宋_GB2312"/>
          <w:sz w:val="32"/>
          <w:szCs w:val="24"/>
          <w:lang w:val="en-US"/>
        </w:rPr>
        <w:t>，与上年相比，</w:t>
      </w:r>
      <w:r>
        <w:rPr>
          <w:rFonts w:hint="eastAsia" w:ascii="仿宋_GB2312" w:hAnsi="仿宋_GB2312" w:eastAsia="仿宋_GB2312"/>
          <w:kern w:val="0"/>
          <w:sz w:val="32"/>
          <w:szCs w:val="24"/>
          <w:lang w:val="en-US"/>
        </w:rPr>
        <w:t>增加177.84万元，增长100.00%，主要原因是：</w:t>
      </w:r>
      <w:r>
        <w:rPr>
          <w:rFonts w:hint="eastAsia" w:ascii="仿宋_GB2312" w:hAnsi="仿宋_GB2312" w:eastAsia="仿宋_GB2312"/>
          <w:kern w:val="0"/>
          <w:sz w:val="32"/>
          <w:szCs w:val="24"/>
          <w:lang w:val="en-US" w:eastAsia="zh-CN"/>
        </w:rPr>
        <w:t>我单位为2022年新增单位</w:t>
      </w:r>
      <w:r>
        <w:rPr>
          <w:rFonts w:hint="eastAsia" w:ascii="仿宋_GB2312" w:hAnsi="仿宋_GB2312" w:eastAsia="仿宋_GB2312"/>
          <w:kern w:val="0"/>
          <w:sz w:val="32"/>
          <w:szCs w:val="24"/>
          <w:lang w:val="en-US"/>
        </w:rPr>
        <w:t>。</w:t>
      </w:r>
    </w:p>
    <w:p>
      <w:pPr>
        <w:ind w:firstLine="640"/>
        <w:rPr>
          <w:rFonts w:hint="default" w:eastAsia="Times New Roman"/>
          <w:sz w:val="32"/>
          <w:szCs w:val="24"/>
          <w:lang w:val="en-US"/>
        </w:rPr>
      </w:pPr>
      <w:r>
        <w:rPr>
          <w:rFonts w:hint="eastAsia" w:ascii="黑体" w:hAnsi="黑体" w:eastAsia="黑体"/>
          <w:sz w:val="32"/>
          <w:szCs w:val="24"/>
          <w:lang w:val="en-US"/>
        </w:rPr>
        <w:t>（二）一般公共预算财政拨款支出决算结构情况</w:t>
      </w:r>
    </w:p>
    <w:p>
      <w:pPr>
        <w:spacing w:line="600" w:lineRule="exact"/>
        <w:ind w:firstLine="640"/>
        <w:rPr>
          <w:rFonts w:hint="default" w:eastAsia="Times New Roman"/>
          <w:kern w:val="0"/>
          <w:sz w:val="32"/>
          <w:szCs w:val="24"/>
          <w:lang w:val="en-US"/>
        </w:rPr>
      </w:pPr>
      <w:r>
        <w:rPr>
          <w:rFonts w:hint="eastAsia" w:ascii="仿宋_GB2312" w:hAnsi="仿宋_GB2312" w:eastAsia="仿宋_GB2312"/>
          <w:sz w:val="32"/>
          <w:szCs w:val="24"/>
          <w:lang w:val="en-US"/>
        </w:rPr>
        <w:t>1.社会保障和就业支出（类）16.66万元，占9.37%；</w:t>
      </w:r>
    </w:p>
    <w:p>
      <w:pPr>
        <w:spacing w:line="600" w:lineRule="exact"/>
        <w:ind w:firstLine="640"/>
        <w:rPr>
          <w:rFonts w:hint="eastAsia" w:ascii="仿宋_GB2312" w:hAnsi="仿宋_GB2312" w:eastAsia="仿宋_GB2312"/>
          <w:kern w:val="0"/>
          <w:sz w:val="32"/>
          <w:szCs w:val="24"/>
          <w:lang w:val="en-US" w:eastAsia="zh-CN"/>
        </w:rPr>
      </w:pPr>
      <w:r>
        <w:rPr>
          <w:rFonts w:hint="eastAsia" w:ascii="仿宋_GB2312" w:hAnsi="仿宋_GB2312" w:eastAsia="仿宋_GB2312"/>
          <w:kern w:val="0"/>
          <w:sz w:val="32"/>
          <w:szCs w:val="24"/>
          <w:lang w:val="en-US"/>
        </w:rPr>
        <w:t>2.农林水支出（类）161.18万元，占90.63%</w:t>
      </w:r>
      <w:r>
        <w:rPr>
          <w:rFonts w:hint="eastAsia" w:ascii="仿宋_GB2312" w:hAnsi="仿宋_GB2312" w:eastAsia="仿宋_GB2312"/>
          <w:kern w:val="0"/>
          <w:sz w:val="32"/>
          <w:szCs w:val="24"/>
          <w:lang w:val="en-US" w:eastAsia="zh-CN"/>
        </w:rPr>
        <w:t>。</w:t>
      </w:r>
    </w:p>
    <w:p>
      <w:pPr>
        <w:ind w:firstLine="640"/>
        <w:rPr>
          <w:rFonts w:hint="default" w:eastAsia="Times New Roman"/>
          <w:sz w:val="32"/>
          <w:szCs w:val="24"/>
          <w:lang w:val="en-US"/>
        </w:rPr>
      </w:pPr>
      <w:r>
        <w:rPr>
          <w:rFonts w:hint="eastAsia" w:ascii="黑体" w:hAnsi="黑体" w:eastAsia="黑体"/>
          <w:sz w:val="32"/>
          <w:szCs w:val="24"/>
          <w:lang w:val="en-US"/>
        </w:rPr>
        <w:t>（三）一般公共预算财政拨款支出决算具体情况</w:t>
      </w:r>
    </w:p>
    <w:p>
      <w:pPr>
        <w:spacing w:line="600" w:lineRule="exact"/>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1.社会保障和就业支出（类）行政事业单位养老支出（款）机关事业单位基本养老保险缴费支出（项）:支出决算数为16.66万元，比上年决算增加16.66万元，增长100.00%，主要原因是：</w:t>
      </w:r>
      <w:r>
        <w:rPr>
          <w:rFonts w:hint="eastAsia" w:ascii="仿宋_GB2312" w:hAnsi="仿宋_GB2312" w:eastAsia="仿宋_GB2312"/>
          <w:kern w:val="0"/>
          <w:sz w:val="32"/>
          <w:szCs w:val="24"/>
          <w:lang w:val="en-US" w:eastAsia="zh-CN"/>
        </w:rPr>
        <w:t>我单位为2022年新增单位；</w:t>
      </w:r>
    </w:p>
    <w:p>
      <w:pPr>
        <w:spacing w:line="600" w:lineRule="exact"/>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2.农林水支出（类）农业农村（款）行政运行（项）:支出决算数为161.18万元，比上年决算增加161.18万元，增长</w:t>
      </w:r>
      <w:r>
        <w:rPr>
          <w:rFonts w:hint="eastAsia" w:ascii="仿宋_GB2312" w:hAnsi="仿宋_GB2312" w:eastAsia="仿宋_GB2312"/>
          <w:kern w:val="0"/>
          <w:sz w:val="32"/>
          <w:szCs w:val="24"/>
          <w:lang w:val="en-US" w:eastAsia="zh-CN"/>
        </w:rPr>
        <w:t>100.00</w:t>
      </w:r>
      <w:r>
        <w:rPr>
          <w:rFonts w:hint="eastAsia" w:ascii="仿宋_GB2312" w:hAnsi="仿宋_GB2312" w:eastAsia="仿宋_GB2312"/>
          <w:kern w:val="0"/>
          <w:sz w:val="32"/>
          <w:szCs w:val="24"/>
          <w:lang w:val="en-US"/>
        </w:rPr>
        <w:t>%，主要原因是：</w:t>
      </w:r>
      <w:r>
        <w:rPr>
          <w:rFonts w:hint="eastAsia" w:ascii="仿宋_GB2312" w:hAnsi="仿宋_GB2312" w:eastAsia="仿宋_GB2312"/>
          <w:kern w:val="0"/>
          <w:sz w:val="32"/>
          <w:szCs w:val="24"/>
          <w:lang w:val="en-US" w:eastAsia="zh-CN"/>
        </w:rPr>
        <w:t>我单位为2022年新增单位</w:t>
      </w:r>
      <w:r>
        <w:rPr>
          <w:rFonts w:hint="eastAsia" w:ascii="仿宋_GB2312" w:hAnsi="仿宋_GB2312" w:eastAsia="仿宋_GB2312"/>
          <w:kern w:val="0"/>
          <w:sz w:val="32"/>
          <w:szCs w:val="24"/>
          <w:lang w:val="en-US"/>
        </w:rPr>
        <w:t>。</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六、一般公共预算财政拨款基本支出决算情况说明</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2022年度一般公共预算财政拨款基本支出177.84万元，其中：</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人员经费177.84万元，包括：基本工资、津贴补贴、机关事业单位基本养老保险缴费、职工基本医疗保险缴费、公务员医疗补助缴费、其他社会保障缴费、住房公积金、生活补助、奖励金。</w:t>
      </w:r>
    </w:p>
    <w:p>
      <w:pPr>
        <w:spacing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公用经费0.00万元。</w:t>
      </w:r>
    </w:p>
    <w:p>
      <w:pPr>
        <w:spacing w:line="360" w:lineRule="auto"/>
        <w:ind w:firstLine="640"/>
        <w:rPr>
          <w:rFonts w:hint="default" w:eastAsia="Times New Roman"/>
          <w:sz w:val="32"/>
          <w:szCs w:val="24"/>
          <w:lang w:val="en-US"/>
        </w:rPr>
      </w:pPr>
      <w:r>
        <w:rPr>
          <w:rFonts w:hint="eastAsia" w:ascii="黑体" w:hAnsi="黑体" w:eastAsia="黑体"/>
          <w:sz w:val="32"/>
          <w:szCs w:val="24"/>
          <w:lang w:val="zh-CN"/>
        </w:rPr>
        <w:t>七、财政拨款</w:t>
      </w:r>
      <w:r>
        <w:rPr>
          <w:rFonts w:hint="eastAsia" w:ascii="黑体" w:hAnsi="黑体" w:eastAsia="黑体"/>
          <w:kern w:val="0"/>
          <w:sz w:val="32"/>
          <w:szCs w:val="24"/>
          <w:lang w:val="en-US"/>
        </w:rPr>
        <w:t>“三公”</w:t>
      </w:r>
      <w:r>
        <w:rPr>
          <w:rFonts w:hint="eastAsia" w:ascii="黑体" w:hAnsi="黑体" w:eastAsia="黑体"/>
          <w:sz w:val="32"/>
          <w:szCs w:val="24"/>
          <w:lang w:val="zh-CN"/>
        </w:rPr>
        <w:t>经费支出决算情况说明</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2022年度</w:t>
      </w:r>
      <w:r>
        <w:rPr>
          <w:rFonts w:hint="eastAsia" w:ascii="仿宋_GB2312" w:hAnsi="仿宋_GB2312" w:eastAsia="仿宋_GB2312"/>
          <w:sz w:val="32"/>
          <w:szCs w:val="24"/>
          <w:lang w:val="en-US"/>
        </w:rPr>
        <w:t>财政拨款</w:t>
      </w:r>
      <w:r>
        <w:rPr>
          <w:rFonts w:hint="eastAsia" w:ascii="仿宋_GB2312" w:hAnsi="仿宋_GB2312" w:eastAsia="仿宋_GB2312"/>
          <w:kern w:val="0"/>
          <w:sz w:val="32"/>
          <w:szCs w:val="24"/>
          <w:lang w:val="en-US"/>
        </w:rPr>
        <w:t>“三公”经费支出决算0.00万元，比上年增加0.00万元，增长0.00%，主要原因是：</w:t>
      </w:r>
      <w:bookmarkStart w:id="0" w:name="_Hlk110848701"/>
      <w:r>
        <w:rPr>
          <w:rFonts w:hint="eastAsia" w:ascii="仿宋_GB2312" w:eastAsia="仿宋_GB2312" w:cs="仿宋_GB2312"/>
          <w:kern w:val="0"/>
          <w:sz w:val="32"/>
          <w:szCs w:val="32"/>
        </w:rPr>
        <w:t>本年单位无此项支出</w:t>
      </w:r>
      <w:bookmarkEnd w:id="0"/>
      <w:r>
        <w:rPr>
          <w:rFonts w:hint="eastAsia" w:ascii="仿宋_GB2312" w:hAnsi="仿宋_GB2312" w:eastAsia="仿宋_GB2312"/>
          <w:kern w:val="0"/>
          <w:sz w:val="32"/>
          <w:szCs w:val="24"/>
          <w:lang w:val="en-US"/>
        </w:rPr>
        <w:t>。其中：因公出国（境）费支出0.00万元，占0.00%，比上年增加0.00万元，增长0.00%，主要原因是：本年单位无因公出国（境）费支出；公务用车购置及运行维护费支出0.00万元，占0.00%，比上年增加0.00万元，增长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szCs w:val="24"/>
          <w:lang w:val="en-US"/>
        </w:rPr>
        <w:t>；公务接待费支出0.00万元，占0.00%，比上年增加0.00万元，增长0.00%，主要原因是：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szCs w:val="24"/>
          <w:lang w:val="en-US"/>
        </w:rPr>
        <w:t>。具体情况如下：</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因公出国（境）费支出0.00万元，开支内容包括本年单位无因公出国（境）费支出。单位全年安排的因公出国（境）团组0个，因公出国（境）0人次。</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公务用车购置及运行维护费0.00万元，其中：公务用车购置费0.00万元，公务用车运行维护费0.00万元。公务用车运行维护费开支内容包括</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szCs w:val="24"/>
          <w:lang w:val="en-US"/>
        </w:rPr>
        <w:t>。公务用车购置数0辆，公务用车保有量0辆。</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公务接待费0.00万元，开支内容包括</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szCs w:val="24"/>
          <w:lang w:val="en-US"/>
        </w:rPr>
        <w:t>。单位全年安排的国内公务接待0批次，0人次。</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与</w:t>
      </w:r>
      <w:r>
        <w:rPr>
          <w:rFonts w:hint="eastAsia" w:ascii="仿宋_GB2312" w:hAnsi="仿宋_GB2312" w:eastAsia="仿宋_GB2312"/>
          <w:sz w:val="32"/>
          <w:szCs w:val="24"/>
          <w:lang w:val="en-US"/>
        </w:rPr>
        <w:t>全年</w:t>
      </w:r>
      <w:r>
        <w:rPr>
          <w:rFonts w:hint="eastAsia" w:ascii="仿宋_GB2312" w:hAnsi="仿宋_GB2312" w:eastAsia="仿宋_GB2312"/>
          <w:kern w:val="0"/>
          <w:sz w:val="32"/>
          <w:szCs w:val="24"/>
          <w:lang w:val="en-US"/>
        </w:rPr>
        <w:t>预算</w:t>
      </w:r>
      <w:r>
        <w:rPr>
          <w:rFonts w:hint="eastAsia" w:ascii="仿宋_GB2312" w:hAnsi="仿宋_GB2312" w:eastAsia="仿宋_GB2312"/>
          <w:kern w:val="0"/>
          <w:sz w:val="32"/>
          <w:szCs w:val="24"/>
          <w:lang w:val="zh-CN"/>
        </w:rPr>
        <w:t>数</w:t>
      </w:r>
      <w:r>
        <w:rPr>
          <w:rFonts w:hint="eastAsia" w:ascii="仿宋_GB2312" w:hAnsi="仿宋_GB2312" w:eastAsia="仿宋_GB2312"/>
          <w:kern w:val="0"/>
          <w:sz w:val="32"/>
          <w:szCs w:val="24"/>
          <w:lang w:val="en-US"/>
        </w:rPr>
        <w:t>相比情况</w:t>
      </w:r>
      <w:r>
        <w:rPr>
          <w:rFonts w:hint="eastAsia" w:ascii="仿宋_GB2312" w:hAnsi="仿宋_GB2312" w:eastAsia="仿宋_GB2312"/>
          <w:sz w:val="32"/>
          <w:szCs w:val="24"/>
          <w:lang w:val="en-US"/>
        </w:rPr>
        <w:t>：</w:t>
      </w:r>
      <w:r>
        <w:rPr>
          <w:rFonts w:hint="default" w:eastAsia="Times New Roman"/>
          <w:kern w:val="0"/>
          <w:sz w:val="32"/>
          <w:szCs w:val="24"/>
          <w:lang w:val="en-US"/>
        </w:rPr>
        <w:t>“</w:t>
      </w:r>
      <w:r>
        <w:rPr>
          <w:rFonts w:hint="eastAsia" w:ascii="仿宋_GB2312" w:hAnsi="仿宋_GB2312" w:eastAsia="仿宋_GB2312"/>
          <w:kern w:val="0"/>
          <w:sz w:val="32"/>
          <w:szCs w:val="24"/>
          <w:lang w:val="en-US"/>
        </w:rPr>
        <w:t>三公</w:t>
      </w:r>
      <w:r>
        <w:rPr>
          <w:rFonts w:hint="default" w:eastAsia="Times New Roman"/>
          <w:kern w:val="0"/>
          <w:sz w:val="32"/>
          <w:szCs w:val="24"/>
          <w:lang w:val="en-US"/>
        </w:rPr>
        <w:t>”</w:t>
      </w:r>
      <w:r>
        <w:rPr>
          <w:rFonts w:hint="eastAsia" w:ascii="仿宋_GB2312" w:hAnsi="仿宋_GB2312" w:eastAsia="仿宋_GB2312"/>
          <w:kern w:val="0"/>
          <w:sz w:val="32"/>
          <w:szCs w:val="24"/>
          <w:lang w:val="en-US"/>
        </w:rPr>
        <w:t>经费支出</w:t>
      </w:r>
      <w:r>
        <w:rPr>
          <w:rFonts w:hint="eastAsia" w:ascii="仿宋_GB2312" w:hAnsi="仿宋_GB2312" w:eastAsia="仿宋_GB2312"/>
          <w:sz w:val="32"/>
          <w:szCs w:val="24"/>
          <w:lang w:val="en-US"/>
        </w:rPr>
        <w:t>全年预算数</w:t>
      </w:r>
      <w:r>
        <w:rPr>
          <w:rFonts w:hint="eastAsia" w:ascii="仿宋_GB2312" w:hAnsi="仿宋_GB2312" w:eastAsia="仿宋_GB2312"/>
          <w:kern w:val="0"/>
          <w:sz w:val="32"/>
          <w:szCs w:val="24"/>
          <w:lang w:val="en-US"/>
        </w:rPr>
        <w:t>0.00万元，决算数0.00万元，预决算差异率0.00%，主要原因是：本年单位无此项支出。其中：因公出国（境）费全年预算数0.00万元，决算数0.00万元，预决算差异率0.00%，主要原因是：本年单位无因公出国（境）费支出；公务用车购置费全年预算数0.00万元，决算数0.00万元，预决算差异率0.00%，主要原因是：本年单位无此项支出；公务用车运行费全年预算数0.00万元，决算数0.00万元，预决算差异率0.00%，主要原因是：本年单位无此项支出；公务接待费全年预算数0.00万元，决算数0.00万元，预决算差异率0.00%，主要原因是：本年单位无此项支出。</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八、政府性基金预算财政拨款收入支出决算情况说明</w:t>
      </w:r>
    </w:p>
    <w:p>
      <w:pPr>
        <w:shd w:val="clear" w:color="auto" w:fill="FFFFFF"/>
        <w:spacing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我单位本年度无政府性基金预算财政拨款收入、支出及结转和结余，政府性基金预算财政拨款收入支出决算表为空表。</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九、国有资本经营预算财政拨款收入支出决算情况说明</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我单位本年度无国有资本经营预算财政拨款收入、支出及结转和结余，国有资本经营预算财政拨款收入支出决算表为空表。</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十、其他重要事项的情况说明</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 xml:space="preserve">（一）机关运行经费支出情况 </w:t>
      </w:r>
    </w:p>
    <w:p>
      <w:pPr>
        <w:spacing w:line="360" w:lineRule="auto"/>
        <w:ind w:firstLine="640"/>
        <w:rPr>
          <w:rFonts w:hint="eastAsia" w:ascii="仿宋_GB2312" w:hAnsi="仿宋_GB2312" w:eastAsia="仿宋_GB2312"/>
          <w:color w:val="auto"/>
          <w:kern w:val="0"/>
          <w:sz w:val="32"/>
          <w:szCs w:val="24"/>
          <w:lang w:val="en-US" w:eastAsia="zh-CN"/>
        </w:rPr>
      </w:pPr>
      <w:r>
        <w:rPr>
          <w:rFonts w:hint="eastAsia" w:ascii="仿宋_GB2312" w:hAnsi="仿宋_GB2312" w:eastAsia="仿宋_GB2312"/>
          <w:color w:val="auto"/>
          <w:kern w:val="0"/>
          <w:sz w:val="32"/>
          <w:szCs w:val="24"/>
          <w:lang w:val="en-US"/>
        </w:rPr>
        <w:t>2022年度乌鲁木齐市米东区动物卫生监督所（渔政管理站）单位公用经费0.00万元</w:t>
      </w:r>
      <w:r>
        <w:rPr>
          <w:rFonts w:hint="eastAsia" w:ascii="仿宋_GB2312" w:hAnsi="仿宋_GB2312" w:eastAsia="仿宋_GB2312"/>
          <w:color w:val="auto"/>
          <w:kern w:val="0"/>
          <w:sz w:val="32"/>
          <w:szCs w:val="24"/>
          <w:lang w:val="en-US" w:eastAsia="zh-CN"/>
        </w:rPr>
        <w:t>。</w:t>
      </w:r>
    </w:p>
    <w:p>
      <w:pPr>
        <w:spacing w:line="360" w:lineRule="auto"/>
        <w:ind w:firstLine="640"/>
        <w:rPr>
          <w:rFonts w:hint="default" w:eastAsia="Times New Roman"/>
          <w:color w:val="auto"/>
          <w:sz w:val="32"/>
          <w:szCs w:val="24"/>
          <w:lang w:val="en-US"/>
        </w:rPr>
      </w:pPr>
      <w:r>
        <w:rPr>
          <w:rFonts w:hint="eastAsia" w:ascii="黑体" w:hAnsi="黑体" w:eastAsia="黑体"/>
          <w:color w:val="auto"/>
          <w:sz w:val="32"/>
          <w:szCs w:val="24"/>
          <w:lang w:val="en-US"/>
        </w:rPr>
        <w:t>（</w:t>
      </w:r>
      <w:r>
        <w:rPr>
          <w:rFonts w:hint="eastAsia" w:ascii="黑体" w:hAnsi="黑体" w:eastAsia="黑体"/>
          <w:color w:val="auto"/>
          <w:sz w:val="32"/>
          <w:szCs w:val="24"/>
          <w:lang w:val="zh-CN"/>
        </w:rPr>
        <w:t>二</w:t>
      </w:r>
      <w:r>
        <w:rPr>
          <w:rFonts w:hint="eastAsia" w:ascii="黑体" w:hAnsi="黑体" w:eastAsia="黑体"/>
          <w:color w:val="auto"/>
          <w:sz w:val="32"/>
          <w:szCs w:val="24"/>
          <w:lang w:val="en-US"/>
        </w:rPr>
        <w:t>）</w:t>
      </w:r>
      <w:r>
        <w:rPr>
          <w:rFonts w:hint="eastAsia" w:ascii="黑体" w:hAnsi="黑体" w:eastAsia="黑体"/>
          <w:color w:val="auto"/>
          <w:sz w:val="32"/>
          <w:szCs w:val="24"/>
          <w:lang w:val="zh-CN"/>
        </w:rPr>
        <w:t>政府采购情况</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2022年度政府采购支出总额0.00万元，其中：政府采购货物支出0.00万元、政府采购工程支出0.00万元、政府采购服务支出0.00万元。</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授予中小企业合同金额0.00万元，占政府采购支出总额的0.00%，其中：授予小微企业合同金额0.00万元，占政府采购支出总额的0.00%。</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（三）国有资产占用情况说明</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截止2022年12月31日，</w:t>
      </w:r>
      <w:r>
        <w:rPr>
          <w:rFonts w:hint="eastAsia" w:ascii="仿宋_GB2312" w:hAnsi="仿宋_GB2312" w:eastAsia="仿宋_GB2312"/>
          <w:color w:val="auto"/>
          <w:sz w:val="32"/>
          <w:szCs w:val="24"/>
          <w:lang w:val="en-US"/>
        </w:rPr>
        <w:t>固定资产原值</w:t>
      </w:r>
      <w:r>
        <w:rPr>
          <w:rFonts w:hint="eastAsia" w:ascii="仿宋_GB2312" w:hAnsi="仿宋_GB2312" w:eastAsia="仿宋_GB2312"/>
          <w:color w:val="auto"/>
          <w:kern w:val="0"/>
          <w:sz w:val="32"/>
          <w:szCs w:val="24"/>
          <w:lang w:val="en-US"/>
        </w:rPr>
        <w:t>0.00</w:t>
      </w:r>
      <w:r>
        <w:rPr>
          <w:rFonts w:hint="eastAsia" w:ascii="仿宋_GB2312" w:hAnsi="仿宋_GB2312" w:eastAsia="仿宋_GB2312"/>
          <w:color w:val="auto"/>
          <w:sz w:val="32"/>
          <w:szCs w:val="24"/>
          <w:lang w:val="en-US"/>
        </w:rPr>
        <w:t>万元，</w:t>
      </w:r>
      <w:r>
        <w:rPr>
          <w:rFonts w:hint="eastAsia" w:ascii="仿宋_GB2312" w:hAnsi="仿宋_GB2312" w:eastAsia="仿宋_GB2312"/>
          <w:color w:val="auto"/>
          <w:kern w:val="0"/>
          <w:sz w:val="32"/>
          <w:szCs w:val="24"/>
          <w:lang w:val="en-US"/>
        </w:rPr>
        <w:t>房屋0.00平方米，价值0.00万元。车辆0辆，价值0.00万元，其中：副部（省）级及以上领导用车0辆、主要领导干部用车0辆、机要通信用车0辆、应急保障用车0辆、执法执勤用车0辆、特种专业技术用车0辆、离退休干部用车0辆、其他用车0辆，其他用车主要是：</w:t>
      </w:r>
      <w:r>
        <w:rPr>
          <w:rFonts w:hint="eastAsia" w:ascii="仿宋_GB2312" w:hAnsi="仿宋_GB2312" w:eastAsia="仿宋_GB2312"/>
          <w:color w:val="auto"/>
          <w:kern w:val="0"/>
          <w:sz w:val="32"/>
          <w:szCs w:val="24"/>
          <w:lang w:val="en-US" w:eastAsia="zh-CN"/>
        </w:rPr>
        <w:t>我单位无其他用车</w:t>
      </w:r>
      <w:r>
        <w:rPr>
          <w:rFonts w:hint="eastAsia" w:ascii="仿宋_GB2312" w:hAnsi="仿宋_GB2312" w:eastAsia="仿宋_GB2312"/>
          <w:color w:val="auto"/>
          <w:kern w:val="0"/>
          <w:sz w:val="32"/>
          <w:szCs w:val="24"/>
          <w:lang w:val="en-US"/>
        </w:rPr>
        <w:t>；单价100</w:t>
      </w:r>
      <w:r>
        <w:rPr>
          <w:rFonts w:hint="eastAsia" w:ascii="仿宋_GB2312" w:hAnsi="仿宋_GB2312" w:eastAsia="仿宋_GB2312"/>
          <w:color w:val="auto"/>
          <w:sz w:val="32"/>
          <w:szCs w:val="24"/>
          <w:lang w:val="en-US"/>
        </w:rPr>
        <w:t>万元（含）以上设备（不含车辆）</w:t>
      </w:r>
      <w:r>
        <w:rPr>
          <w:rFonts w:hint="eastAsia" w:ascii="仿宋_GB2312" w:hAnsi="仿宋_GB2312" w:eastAsia="仿宋_GB2312"/>
          <w:color w:val="auto"/>
          <w:kern w:val="0"/>
          <w:sz w:val="32"/>
          <w:szCs w:val="24"/>
          <w:lang w:val="en-US"/>
        </w:rPr>
        <w:t>0台（套）。</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十一、预算绩效的情况说明</w:t>
      </w:r>
    </w:p>
    <w:p>
      <w:pPr>
        <w:shd w:val="clear" w:color="auto" w:fill="FFFFFF"/>
        <w:spacing w:line="360" w:lineRule="auto"/>
        <w:ind w:firstLine="640"/>
        <w:rPr>
          <w:rFonts w:hint="default" w:eastAsia="Times New Roman"/>
          <w:color w:val="auto"/>
          <w:kern w:val="0"/>
          <w:sz w:val="24"/>
          <w:szCs w:val="24"/>
          <w:lang w:val="en-US"/>
        </w:rPr>
      </w:pPr>
      <w:r>
        <w:rPr>
          <w:rFonts w:hint="eastAsia" w:ascii="仿宋_GB2312" w:hAnsi="仿宋_GB2312" w:eastAsia="仿宋_GB2312"/>
          <w:color w:val="auto"/>
          <w:kern w:val="0"/>
          <w:sz w:val="32"/>
          <w:szCs w:val="24"/>
          <w:lang w:val="en-US"/>
        </w:rPr>
        <w:t>根据预算绩效管理要求，我单位2022年度开展预算绩效评价项目</w:t>
      </w:r>
      <w:r>
        <w:rPr>
          <w:rFonts w:hint="eastAsia" w:ascii="仿宋_GB2312" w:hAnsi="仿宋_GB2312" w:eastAsia="仿宋_GB2312"/>
          <w:color w:val="auto"/>
          <w:kern w:val="0"/>
          <w:sz w:val="32"/>
          <w:szCs w:val="24"/>
          <w:lang w:val="en-US" w:eastAsia="zh-CN"/>
        </w:rPr>
        <w:t>0</w:t>
      </w:r>
      <w:r>
        <w:rPr>
          <w:rFonts w:hint="eastAsia" w:ascii="仿宋_GB2312" w:hAnsi="仿宋_GB2312" w:eastAsia="仿宋_GB2312"/>
          <w:color w:val="auto"/>
          <w:kern w:val="0"/>
          <w:sz w:val="32"/>
          <w:szCs w:val="24"/>
          <w:lang w:val="en-US"/>
        </w:rPr>
        <w:t>个，</w:t>
      </w:r>
      <w:r>
        <w:rPr>
          <w:rFonts w:hint="eastAsia" w:ascii="仿宋_GB2312" w:hAnsi="仿宋_GB2312" w:eastAsia="仿宋_GB2312"/>
          <w:color w:val="auto"/>
          <w:sz w:val="32"/>
          <w:szCs w:val="24"/>
          <w:lang w:val="en-US"/>
        </w:rPr>
        <w:t>全年预算数</w:t>
      </w:r>
      <w:r>
        <w:rPr>
          <w:rFonts w:hint="eastAsia" w:ascii="仿宋_GB2312" w:hAnsi="仿宋_GB2312" w:eastAsia="仿宋_GB2312"/>
          <w:color w:val="auto"/>
          <w:kern w:val="0"/>
          <w:sz w:val="32"/>
          <w:szCs w:val="24"/>
          <w:lang w:val="en-US" w:eastAsia="zh-CN"/>
        </w:rPr>
        <w:t>0.00</w:t>
      </w:r>
      <w:r>
        <w:rPr>
          <w:rFonts w:hint="eastAsia" w:ascii="仿宋_GB2312" w:hAnsi="仿宋_GB2312" w:eastAsia="仿宋_GB2312"/>
          <w:color w:val="auto"/>
          <w:sz w:val="32"/>
          <w:szCs w:val="24"/>
          <w:lang w:val="en-US"/>
        </w:rPr>
        <w:t>万元，全年执行数</w:t>
      </w:r>
      <w:r>
        <w:rPr>
          <w:rFonts w:hint="eastAsia" w:ascii="仿宋_GB2312" w:hAnsi="仿宋_GB2312" w:eastAsia="仿宋_GB2312"/>
          <w:color w:val="auto"/>
          <w:kern w:val="0"/>
          <w:sz w:val="32"/>
          <w:szCs w:val="24"/>
          <w:lang w:val="en-US" w:eastAsia="zh-CN"/>
        </w:rPr>
        <w:t>0.00</w:t>
      </w:r>
      <w:bookmarkStart w:id="1" w:name="_GoBack"/>
      <w:bookmarkEnd w:id="1"/>
      <w:r>
        <w:rPr>
          <w:rFonts w:hint="eastAsia" w:ascii="仿宋_GB2312" w:hAnsi="仿宋_GB2312" w:eastAsia="仿宋_GB2312"/>
          <w:color w:val="auto"/>
          <w:sz w:val="32"/>
          <w:szCs w:val="24"/>
          <w:lang w:val="en-US"/>
        </w:rPr>
        <w:t>万元。</w:t>
      </w:r>
      <w:r>
        <w:rPr>
          <w:rFonts w:hint="eastAsia" w:ascii="仿宋_GB2312" w:hAnsi="仿宋_GB2312" w:eastAsia="仿宋_GB2312"/>
          <w:color w:val="auto"/>
          <w:kern w:val="0"/>
          <w:sz w:val="32"/>
          <w:szCs w:val="24"/>
          <w:lang w:val="en-US"/>
        </w:rPr>
        <w:t>预算绩效管理取得的成效：我单位无绩效管理的项目。发现的问题及原因：我单位无绩效管理的项目。下一步改进措施：我单位无绩效管理的项目。</w:t>
      </w:r>
    </w:p>
    <w:p>
      <w:pPr>
        <w:shd w:val="clear" w:color="auto" w:fill="FFFFFF"/>
        <w:spacing w:before="100" w:after="240"/>
        <w:jc w:val="center"/>
        <w:rPr>
          <w:rFonts w:hint="default" w:eastAsia="Times New Roman"/>
          <w:b/>
          <w:color w:val="auto"/>
          <w:kern w:val="0"/>
          <w:sz w:val="28"/>
          <w:szCs w:val="24"/>
          <w:lang w:val="en-US"/>
        </w:rPr>
      </w:pPr>
      <w:r>
        <w:rPr>
          <w:rFonts w:hint="eastAsia" w:ascii="黑体" w:hAnsi="黑体" w:eastAsia="黑体"/>
          <w:color w:val="auto"/>
          <w:kern w:val="0"/>
          <w:sz w:val="32"/>
          <w:szCs w:val="24"/>
          <w:lang w:val="en-US"/>
        </w:rPr>
        <w:t>第三部分 专业名词解释</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财政拨款收入：指同级财政当年拨付的资金。</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上级补助收入：指事业单位从主管部门和上级单位取得的非财政补助收入。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事业收入：指事业单位开展专业业务活动及其辅助活动所取得的收入。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经营收入：指事业单位在专业业务活动及其辅助活动之外开展非独立核算经营活动取得的收入。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附属单位上缴收入：指事业单位附属的独立核算单位按有关规定上缴的收入。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其他收入：指除上述“财政拨款收入”、“事业收入”、“经营收入”、“附属单位上缴收入”等之外取得的收入。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基本支出：指为保障机构正常运转、完成日常工作任务而发生的人员支出和公用支出。</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项目支出：指在基本支出之外为完成特定行政任务和事业发展目标所发生的支出。</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经营支出：指事业单位在专业业务活动及其辅助活动之外开展非独立核算经营活动发生的支出。</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对附属单位补助支出：指事业单位发生的用非财政预算资金对附属单位的补助支出。</w:t>
      </w:r>
    </w:p>
    <w:p>
      <w:pPr>
        <w:spacing w:line="360" w:lineRule="auto"/>
        <w:ind w:firstLine="640"/>
        <w:rPr>
          <w:rFonts w:hint="default" w:eastAsia="Times New Roman"/>
          <w:color w:val="auto"/>
          <w:sz w:val="32"/>
          <w:szCs w:val="24"/>
          <w:lang w:val="en-US"/>
        </w:rPr>
      </w:pPr>
      <w:r>
        <w:rPr>
          <w:rFonts w:hint="eastAsia" w:ascii="仿宋_GB2312" w:hAnsi="仿宋_GB2312" w:eastAsia="仿宋_GB2312"/>
          <w:color w:val="auto"/>
          <w:sz w:val="32"/>
          <w:szCs w:val="24"/>
          <w:lang w:val="en-US"/>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360" w:lineRule="auto"/>
        <w:ind w:firstLine="640"/>
        <w:rPr>
          <w:rFonts w:hint="default" w:eastAsia="Times New Roman"/>
          <w:color w:val="auto"/>
          <w:sz w:val="32"/>
          <w:szCs w:val="24"/>
          <w:lang w:val="en-US"/>
        </w:rPr>
      </w:pPr>
      <w:r>
        <w:rPr>
          <w:rFonts w:hint="eastAsia" w:ascii="仿宋_GB2312" w:hAnsi="仿宋_GB2312" w:eastAsia="仿宋_GB2312"/>
          <w:color w:val="auto"/>
          <w:sz w:val="32"/>
          <w:szCs w:val="24"/>
          <w:lang w:val="en-US"/>
        </w:rPr>
        <w:t>机关运行经费：行政单位和参照公务员法管理的事业单位财政拨款基本支出中的公用经费支出。</w:t>
      </w:r>
    </w:p>
    <w:p>
      <w:pPr>
        <w:shd w:val="clear" w:color="auto" w:fill="FFFFFF"/>
        <w:spacing w:line="360" w:lineRule="auto"/>
        <w:ind w:firstLine="640"/>
        <w:rPr>
          <w:rFonts w:hint="default" w:eastAsia="Times New Roman"/>
          <w:color w:val="auto"/>
          <w:kern w:val="0"/>
          <w:sz w:val="32"/>
          <w:szCs w:val="24"/>
          <w:lang w:val="en-US"/>
        </w:rPr>
      </w:pPr>
    </w:p>
    <w:p>
      <w:pPr>
        <w:shd w:val="clear" w:color="auto" w:fill="FFFFFF"/>
        <w:spacing w:before="100" w:after="240"/>
        <w:jc w:val="center"/>
        <w:rPr>
          <w:rFonts w:hint="default" w:eastAsia="Times New Roman"/>
          <w:color w:val="auto"/>
          <w:kern w:val="0"/>
          <w:sz w:val="32"/>
          <w:szCs w:val="24"/>
          <w:lang w:val="en-US"/>
        </w:rPr>
      </w:pPr>
      <w:r>
        <w:rPr>
          <w:rFonts w:hint="eastAsia" w:ascii="黑体" w:hAnsi="黑体" w:eastAsia="黑体"/>
          <w:color w:val="auto"/>
          <w:kern w:val="0"/>
          <w:sz w:val="32"/>
          <w:szCs w:val="24"/>
          <w:lang w:val="en-US"/>
        </w:rPr>
        <w:br w:type="page"/>
      </w:r>
      <w:r>
        <w:rPr>
          <w:rFonts w:hint="eastAsia" w:ascii="黑体" w:hAnsi="黑体" w:eastAsia="黑体"/>
          <w:color w:val="auto"/>
          <w:kern w:val="0"/>
          <w:sz w:val="32"/>
          <w:szCs w:val="24"/>
          <w:lang w:val="en-US"/>
        </w:rPr>
        <w:t>第四部分 部门决算报表（见附表）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一、《收入支出决算总表》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二、《收入决算表》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三、《支出决算表》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四、《财政拨款收入支出决算总表》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五、《一般公共预算财政拨款支出决算表》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六、《一般公共预算财政拨款基本支出决算表》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七、《财政拨款“三公”经费支出决算表》</w:t>
      </w:r>
    </w:p>
    <w:p>
      <w:pPr>
        <w:spacing w:line="540" w:lineRule="exact"/>
        <w:ind w:firstLine="640"/>
        <w:rPr>
          <w:rFonts w:hint="default" w:eastAsia="Times New Roman"/>
          <w:color w:val="auto"/>
          <w:kern w:val="0"/>
          <w:sz w:val="32"/>
          <w:szCs w:val="24"/>
          <w:lang w:val="en-US"/>
        </w:rPr>
      </w:pPr>
      <w:r>
        <w:rPr>
          <w:rFonts w:hint="eastAsia" w:ascii="黑体" w:hAnsi="黑体" w:eastAsia="黑体"/>
          <w:color w:val="auto"/>
          <w:sz w:val="32"/>
          <w:szCs w:val="24"/>
          <w:lang w:val="en-US"/>
        </w:rPr>
        <w:t>八、《政府性基金预算财政拨款收入支出决算表》</w:t>
      </w:r>
    </w:p>
    <w:p>
      <w:pPr>
        <w:spacing w:line="540" w:lineRule="exact"/>
        <w:ind w:firstLine="640"/>
        <w:rPr>
          <w:rFonts w:hint="default" w:eastAsia="Times New Roman"/>
          <w:color w:val="auto"/>
          <w:kern w:val="0"/>
          <w:sz w:val="32"/>
          <w:szCs w:val="24"/>
          <w:lang w:val="en-US"/>
        </w:rPr>
      </w:pPr>
      <w:r>
        <w:rPr>
          <w:rFonts w:hint="eastAsia" w:ascii="黑体" w:hAnsi="黑体" w:eastAsia="黑体"/>
          <w:color w:val="auto"/>
          <w:sz w:val="32"/>
          <w:szCs w:val="24"/>
          <w:lang w:val="zh-CN"/>
        </w:rPr>
        <w:t>九</w:t>
      </w:r>
      <w:r>
        <w:rPr>
          <w:rFonts w:hint="eastAsia" w:ascii="黑体" w:hAnsi="黑体" w:eastAsia="黑体"/>
          <w:color w:val="auto"/>
          <w:sz w:val="32"/>
          <w:szCs w:val="24"/>
          <w:lang w:val="en-US"/>
        </w:rPr>
        <w:t>、《国有资本经营预算财政拨款收入支出决算表》</w:t>
      </w:r>
    </w:p>
    <w:p>
      <w:pPr>
        <w:jc w:val="left"/>
        <w:rPr>
          <w:rFonts w:hint="default" w:eastAsia="Times New Roman"/>
          <w:color w:val="auto"/>
          <w:kern w:val="36"/>
          <w:sz w:val="40"/>
          <w:szCs w:val="24"/>
          <w:lang w:val="zh-CN"/>
        </w:rPr>
      </w:pPr>
    </w:p>
    <w:p>
      <w:pPr>
        <w:rPr>
          <w:rFonts w:hint="default" w:eastAsia="Times New Roman"/>
          <w:color w:val="auto"/>
          <w:sz w:val="21"/>
          <w:szCs w:val="24"/>
          <w:lang w:val="en-US"/>
        </w:rPr>
      </w:pPr>
    </w:p>
    <w:p>
      <w:pPr>
        <w:jc w:val="left"/>
        <w:rPr>
          <w:rFonts w:hint="default" w:eastAsia="Times New Roman"/>
          <w:color w:val="auto"/>
          <w:kern w:val="36"/>
          <w:sz w:val="40"/>
          <w:szCs w:val="24"/>
          <w:lang w:val="zh-CN"/>
        </w:rPr>
      </w:pPr>
    </w:p>
    <w:p>
      <w:pPr>
        <w:rPr>
          <w:rFonts w:hint="default" w:eastAsia="Times New Roman"/>
          <w:color w:val="auto"/>
          <w:sz w:val="21"/>
          <w:szCs w:val="24"/>
          <w:lang w:val="en-US"/>
        </w:rPr>
      </w:pPr>
    </w:p>
    <w:p>
      <w:pPr>
        <w:jc w:val="left"/>
        <w:rPr>
          <w:rFonts w:hint="default" w:eastAsia="Times New Roman"/>
          <w:color w:val="auto"/>
          <w:kern w:val="36"/>
          <w:sz w:val="40"/>
          <w:szCs w:val="24"/>
          <w:lang w:val="zh-CN"/>
        </w:rPr>
      </w:pPr>
    </w:p>
    <w:sectPr>
      <w:pgSz w:w="12240" w:h="15840"/>
      <w:pgMar w:top="1440" w:right="1800" w:bottom="1440" w:left="1800"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3"/>
  <w:displayVerticalDrawingGridEvery w:val="3"/>
  <w:doNotUseMarginsForDrawingGridOrigin w:val="1"/>
  <w:drawingGridHorizontalOrigin w:val="1701"/>
  <w:drawingGridVerticalOrigin w:val="1984"/>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0D844EEC"/>
    <w:rsid w:val="39904CF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qFormat="1" w:uiPriority="99" w:semiHidden="0"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uiPriority w:val="0"/>
    <w:pPr>
      <w:jc w:val="both"/>
    </w:pPr>
    <w:rPr>
      <w:rFonts w:hint="default" w:ascii="Times New Roman" w:hAnsi="Times New Roman" w:eastAsia="宋体" w:cs="Times New Roman"/>
      <w:kern w:val="2"/>
      <w:sz w:val="21"/>
      <w:szCs w:val="24"/>
    </w:rPr>
  </w:style>
  <w:style w:type="character" w:default="1" w:styleId="3">
    <w:name w:val="Default Paragraph Font"/>
    <w:unhideWhenUsed/>
    <w:qFormat/>
    <w:uiPriority w:val="99"/>
    <w:rPr>
      <w:rFonts w:hint="default"/>
      <w:sz w:val="24"/>
      <w:szCs w:val="24"/>
    </w:rPr>
  </w:style>
  <w:style w:type="table" w:default="1" w:styleId="2">
    <w:name w:val="Normal Table"/>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13</Pages>
  <Words>4292</Words>
  <Characters>4840</Characters>
  <TotalTime>8</TotalTime>
  <ScaleCrop>false</ScaleCrop>
  <LinksUpToDate>false</LinksUpToDate>
  <CharactersWithSpaces>4851</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2023-08-28T09:36:00Z</dcterms:created>
  <dc:creator>asus</dc:creator>
  <cp:lastModifiedBy>逐梦令</cp:lastModifiedBy>
  <dcterms:modified xsi:type="dcterms:W3CDTF">2023-09-01T09:04:45Z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7DBD8E2F4E244070B447A6A165CD7230_13</vt:lpwstr>
  </property>
</Properties>
</file>