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eastAsia"/>
          <w:kern w:val="36"/>
          <w:sz w:val="40"/>
          <w:szCs w:val="24"/>
          <w:lang w:val="zh-CN"/>
        </w:rPr>
      </w:pPr>
    </w:p>
    <w:p>
      <w:pPr>
        <w:shd w:val="clear" w:color="auto" w:fill="FFFFFF"/>
        <w:spacing w:before="240" w:after="240"/>
        <w:jc w:val="center"/>
        <w:rPr>
          <w:rFonts w:hint="eastAsia"/>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乌鲁木齐市米东区化工工业园管理委员会</w:t>
      </w:r>
    </w:p>
    <w:p>
      <w:pPr>
        <w:jc w:val="center"/>
        <w:rPr>
          <w:rFonts w:hint="eastAsia"/>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eastAsia"/>
          <w:b/>
          <w:kern w:val="36"/>
          <w:sz w:val="24"/>
          <w:szCs w:val="24"/>
          <w:lang w:val="ar-SA"/>
        </w:rPr>
      </w:pPr>
    </w:p>
    <w:p>
      <w:pPr>
        <w:shd w:val="clear" w:color="auto" w:fill="FFFFFF"/>
        <w:spacing w:before="240" w:after="240"/>
        <w:jc w:val="center"/>
        <w:rPr>
          <w:rFonts w:hint="eastAsia"/>
          <w:kern w:val="36"/>
          <w:sz w:val="40"/>
          <w:szCs w:val="24"/>
          <w:lang w:val="zh-CN"/>
        </w:rPr>
      </w:pPr>
    </w:p>
    <w:p>
      <w:pPr>
        <w:spacing w:line="540" w:lineRule="exact"/>
        <w:jc w:val="center"/>
        <w:rPr>
          <w:rFonts w:hint="eastAsia"/>
          <w:b/>
          <w:kern w:val="0"/>
          <w:sz w:val="24"/>
          <w:szCs w:val="24"/>
          <w:lang w:val="en-US"/>
        </w:rPr>
      </w:pPr>
      <w:r>
        <w:rPr>
          <w:rFonts w:hint="eastAsia"/>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eastAsia"/>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eastAsia"/>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eastAsia"/>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eastAsia"/>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eastAsia"/>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eastAsia"/>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eastAsia"/>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eastAsia"/>
          <w:sz w:val="32"/>
          <w:szCs w:val="24"/>
          <w:lang w:val="en-US"/>
        </w:rPr>
      </w:pPr>
      <w:r>
        <w:rPr>
          <w:rFonts w:hint="eastAsia" w:ascii="仿宋_GB2312" w:hAnsi="仿宋_GB2312" w:eastAsia="仿宋_GB2312"/>
          <w:sz w:val="32"/>
          <w:szCs w:val="24"/>
          <w:lang w:val="en-US"/>
        </w:rPr>
        <w:t>（二）政府采购情况</w:t>
      </w:r>
    </w:p>
    <w:p>
      <w:pPr>
        <w:spacing w:line="360" w:lineRule="auto"/>
        <w:rPr>
          <w:rFonts w:hint="eastAsia"/>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eastAsia"/>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eastAsia"/>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eastAsia"/>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eastAsia"/>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eastAsia"/>
          <w:sz w:val="32"/>
          <w:szCs w:val="24"/>
          <w:lang w:val="en-US"/>
        </w:rPr>
      </w:pPr>
      <w:r>
        <w:rPr>
          <w:rFonts w:hint="eastAsia" w:ascii="仿宋_GB2312" w:hAnsi="仿宋_GB2312" w:eastAsia="仿宋_GB2312"/>
          <w:sz w:val="32"/>
          <w:szCs w:val="24"/>
          <w:lang w:val="en-US"/>
        </w:rPr>
        <w:t>二、《收入决算表》</w:t>
      </w:r>
    </w:p>
    <w:p>
      <w:pPr>
        <w:spacing w:line="360" w:lineRule="auto"/>
        <w:rPr>
          <w:rFonts w:hint="eastAsia"/>
          <w:sz w:val="32"/>
          <w:szCs w:val="24"/>
          <w:lang w:val="en-US"/>
        </w:rPr>
      </w:pPr>
      <w:r>
        <w:rPr>
          <w:rFonts w:hint="eastAsia" w:ascii="仿宋_GB2312" w:hAnsi="仿宋_GB2312" w:eastAsia="仿宋_GB2312"/>
          <w:sz w:val="32"/>
          <w:szCs w:val="24"/>
          <w:lang w:val="en-US"/>
        </w:rPr>
        <w:t>三、《支出决算表》</w:t>
      </w:r>
    </w:p>
    <w:p>
      <w:pPr>
        <w:spacing w:line="360" w:lineRule="auto"/>
        <w:rPr>
          <w:rFonts w:hint="eastAsia"/>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eastAsia"/>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eastAsia"/>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eastAsia"/>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eastAsia"/>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eastAsia"/>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eastAsia"/>
          <w:b/>
          <w:kern w:val="0"/>
          <w:sz w:val="28"/>
          <w:szCs w:val="24"/>
          <w:lang w:val="en-US"/>
        </w:rPr>
      </w:pPr>
    </w:p>
    <w:p>
      <w:pPr>
        <w:shd w:val="clear" w:color="auto" w:fill="FFFFFF"/>
        <w:spacing w:line="360" w:lineRule="auto"/>
        <w:jc w:val="center"/>
        <w:rPr>
          <w:rFonts w:hint="eastAsia"/>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eastAsia"/>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eastAsia"/>
          <w:sz w:val="32"/>
          <w:szCs w:val="24"/>
          <w:lang w:val="zh-CN"/>
        </w:rPr>
      </w:pPr>
      <w:r>
        <w:rPr>
          <w:rFonts w:hint="eastAsia" w:ascii="黑体" w:hAnsi="黑体" w:eastAsia="黑体"/>
          <w:sz w:val="32"/>
          <w:szCs w:val="24"/>
          <w:lang w:val="zh-CN"/>
        </w:rPr>
        <w:t>一、主要职能</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（一）根据党的路线、方针、政策和国家法律、法规及自治区、乌鲁木齐市、米东区关于园区各项工作的要求、决定，制定适用于化工园建设与发展的管理措施和实施细则。</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（二）贯彻落实国家、自治区、乌鲁木齐市、米东区有关产业政策，加强服务，促进园区企业发展壮大和产业升级。</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（三）研究编制化工园的经济发展规划，确定园区开发及基础设施建设工作计划，经米东区委、区政府批准后组织实施。</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（四）负责化工园招商引资、经济贸易合作和交流、协作等；组织入园项目的考察、论证、洽谈和签订投资合同等；负责入园项目优惠政策和扶持政策的统一申报落实等工作。</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（五）按总体规划，接受委托或授权，办理基本建设前期部分审批事项，加强园区基础设施建设与管理。监督和管理化工园内基础设施和公共设施的建设，按计划组织和协调相关部门实施园区公共基础设施建设。</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（六）负责园区内的财务和国有资产管理。</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（七）贯彻执行国家关于安全生产管理法律法规，做好园区企业安全生产检查工作，提出整改意见，并监督落实。</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（八）完成米东区委、区人民政府交办的其他工作。</w:t>
      </w:r>
    </w:p>
    <w:p>
      <w:pPr>
        <w:spacing w:line="360" w:lineRule="auto"/>
        <w:ind w:firstLine="640"/>
        <w:rPr>
          <w:rFonts w:hint="eastAsia"/>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乌鲁木齐市米东区化工工业园管理委员会2022年度，实有人数31人，其中：在职人员24人，离休人员0人，退休人员7人。</w:t>
      </w:r>
    </w:p>
    <w:p>
      <w:pPr>
        <w:shd w:val="clear" w:color="auto" w:fill="FFFFFF"/>
        <w:spacing w:line="360" w:lineRule="auto"/>
        <w:ind w:firstLine="640"/>
        <w:rPr>
          <w:rFonts w:hint="eastAsia"/>
          <w:kern w:val="0"/>
          <w:sz w:val="24"/>
          <w:szCs w:val="24"/>
          <w:lang w:val="ar-SA"/>
        </w:rPr>
      </w:pPr>
      <w:r>
        <w:rPr>
          <w:rFonts w:hint="eastAsia" w:ascii="仿宋_GB2312" w:hAnsi="仿宋_GB2312" w:eastAsia="仿宋_GB2312"/>
          <w:kern w:val="0"/>
          <w:sz w:val="32"/>
          <w:szCs w:val="24"/>
          <w:lang w:val="en-US"/>
        </w:rPr>
        <w:t>从部门决算单位构成看，乌鲁木齐市米东区化工工业园管理委员会部门决算包括：乌鲁木齐市米东区化工工业园管理委员会</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rPr>
        <w:t>综合办公室、产业发展科、企业服务科、安全生产监督管理科、环境保护监督管理科</w:t>
      </w:r>
      <w:r>
        <w:rPr>
          <w:rFonts w:hint="eastAsia" w:ascii="仿宋_GB2312" w:hAnsi="仿宋_GB2312" w:eastAsia="仿宋_GB2312"/>
          <w:kern w:val="0"/>
          <w:sz w:val="32"/>
          <w:szCs w:val="24"/>
          <w:lang w:val="zh-CN"/>
        </w:rPr>
        <w:t>。</w:t>
      </w:r>
    </w:p>
    <w:p>
      <w:pPr>
        <w:shd w:val="clear" w:color="auto" w:fill="FFFFFF"/>
        <w:spacing w:before="100" w:after="240"/>
        <w:jc w:val="center"/>
        <w:rPr>
          <w:rFonts w:hint="eastAsia"/>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eastAsia"/>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8,995.00万元，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8,776.83</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218.17</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与上年相比，增加7,356.48万元，增长448.97%，主要原因是：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增加专项债化工园二期基础设施项目经费</w:t>
      </w:r>
      <w:r>
        <w:rPr>
          <w:rFonts w:hint="eastAsia" w:ascii="仿宋_GB2312" w:hAnsi="仿宋_GB2312" w:eastAsia="仿宋_GB2312"/>
          <w:kern w:val="0"/>
          <w:sz w:val="32"/>
          <w:szCs w:val="24"/>
          <w:lang w:val="en-US" w:eastAsia="zh-CN"/>
        </w:rPr>
        <w:t>，收入增加</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8,995.00万元，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8,785.29</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209.71</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与上年相比，增加7,356.48万元，增长448.97%，主要原因是：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增加专项债化工园二期基础设施项目经费</w:t>
      </w:r>
      <w:r>
        <w:rPr>
          <w:rFonts w:hint="eastAsia" w:ascii="仿宋_GB2312" w:hAnsi="仿宋_GB2312" w:eastAsia="仿宋_GB2312"/>
          <w:kern w:val="0"/>
          <w:sz w:val="32"/>
          <w:szCs w:val="24"/>
          <w:lang w:val="en-US" w:eastAsia="zh-CN"/>
        </w:rPr>
        <w:t>，支出增加</w:t>
      </w:r>
      <w:r>
        <w:rPr>
          <w:rFonts w:hint="eastAsia" w:ascii="仿宋_GB2312" w:hAnsi="仿宋_GB2312" w:eastAsia="仿宋_GB2312"/>
          <w:kern w:val="0"/>
          <w:sz w:val="32"/>
          <w:szCs w:val="24"/>
          <w:lang w:val="en-US"/>
        </w:rPr>
        <w:t>。</w:t>
      </w:r>
    </w:p>
    <w:p>
      <w:pPr>
        <w:spacing w:line="360" w:lineRule="auto"/>
        <w:ind w:firstLine="640"/>
        <w:rPr>
          <w:rFonts w:hint="eastAsia"/>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2022年度本年收入8,776.83万元，其中：财政拨款收入8,773.97万元，占99.97%；上级补助收入0.00万元，占0.00%；事业收入0.00万元，占0.00%；经营收入0.00万元，占0.00%；附属单位上缴收入0.00万元，占0.00%；其他收入2.86万元，占0.03%。</w:t>
      </w:r>
    </w:p>
    <w:p>
      <w:pPr>
        <w:spacing w:line="360" w:lineRule="auto"/>
        <w:ind w:firstLine="640"/>
        <w:rPr>
          <w:rFonts w:hint="eastAsia"/>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2022年度本年支出8,785.29万元，其中：基本支出785.29万元，占8.94%；项目支出8,000.00万元，占91.06%；上缴上级支出0.00万元，占0.00%；经营支出0.00万元，占0.00%；对附属单位补助支出0.00万元，占0.00%。</w:t>
      </w:r>
    </w:p>
    <w:p>
      <w:pPr>
        <w:spacing w:line="360" w:lineRule="auto"/>
        <w:ind w:firstLine="640"/>
        <w:rPr>
          <w:rFonts w:hint="eastAsia"/>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8,783.41万元，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9.44</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8,773.97</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与上年相比，增加7,877.61万元，增长869.69%，主要原因是：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增加专项债化工园二期基础设施项目经费</w:t>
      </w:r>
      <w:r>
        <w:rPr>
          <w:rFonts w:hint="eastAsia" w:ascii="仿宋_GB2312" w:hAnsi="仿宋_GB2312" w:eastAsia="仿宋_GB2312"/>
          <w:kern w:val="0"/>
          <w:sz w:val="32"/>
          <w:szCs w:val="24"/>
          <w:lang w:val="en-US" w:eastAsia="zh-CN"/>
        </w:rPr>
        <w:t>，收入增加</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8,783.41万元，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9.44</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8,773.97</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与上年相比，增加7,877.61万元，增长869.69%，主要原因是：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增加专项债化工园二期基础设施项目经费</w:t>
      </w:r>
      <w:r>
        <w:rPr>
          <w:rFonts w:hint="eastAsia" w:ascii="仿宋_GB2312" w:hAnsi="仿宋_GB2312" w:eastAsia="仿宋_GB2312"/>
          <w:kern w:val="0"/>
          <w:sz w:val="32"/>
          <w:szCs w:val="24"/>
          <w:lang w:val="en-US" w:eastAsia="zh-CN"/>
        </w:rPr>
        <w:t>，支出增加</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年初预算数1,084.84万元，决算数8,783.41万元，预决算差异率709.65%，主要原因是：</w:t>
      </w:r>
      <w:r>
        <w:rPr>
          <w:rFonts w:hint="eastAsia" w:ascii="仿宋_GB2312" w:hAnsi="仿宋_GB2312" w:eastAsia="仿宋_GB2312"/>
          <w:kern w:val="0"/>
          <w:sz w:val="32"/>
          <w:szCs w:val="24"/>
          <w:lang w:val="en-US" w:eastAsia="zh-CN"/>
        </w:rPr>
        <w:t>本年追加</w:t>
      </w:r>
      <w:r>
        <w:rPr>
          <w:rFonts w:hint="eastAsia" w:ascii="仿宋_GB2312" w:hAnsi="仿宋_GB2312" w:eastAsia="仿宋_GB2312"/>
          <w:kern w:val="0"/>
          <w:sz w:val="32"/>
          <w:szCs w:val="24"/>
          <w:lang w:val="en-US"/>
        </w:rPr>
        <w:t>专项债化工园二期基础设施项目经费</w:t>
      </w:r>
      <w:r>
        <w:rPr>
          <w:rFonts w:hint="eastAsia" w:ascii="仿宋_GB2312" w:hAnsi="仿宋_GB2312" w:eastAsia="仿宋_GB2312"/>
          <w:kern w:val="0"/>
          <w:sz w:val="32"/>
          <w:szCs w:val="24"/>
          <w:lang w:val="en-US" w:eastAsia="zh-CN"/>
        </w:rPr>
        <w:t>，收入增加，与预算相比导致差异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年初预算数1,084.84万元，决算数8,783.41万元，预决算差异率709.65%，主要原因是：本年追加专项债化工园二期基础设施项目经费，</w:t>
      </w:r>
      <w:r>
        <w:rPr>
          <w:rFonts w:hint="eastAsia" w:ascii="仿宋_GB2312" w:hAnsi="仿宋_GB2312" w:eastAsia="仿宋_GB2312"/>
          <w:kern w:val="0"/>
          <w:sz w:val="32"/>
          <w:szCs w:val="24"/>
          <w:lang w:val="en-US" w:eastAsia="zh-CN"/>
        </w:rPr>
        <w:t>支出</w:t>
      </w:r>
      <w:r>
        <w:rPr>
          <w:rFonts w:hint="eastAsia" w:ascii="仿宋_GB2312" w:hAnsi="仿宋_GB2312" w:eastAsia="仿宋_GB2312"/>
          <w:kern w:val="0"/>
          <w:sz w:val="32"/>
          <w:szCs w:val="24"/>
          <w:lang w:val="en-US"/>
        </w:rPr>
        <w:t>增加，与预算相比导致差异。</w:t>
      </w:r>
    </w:p>
    <w:p>
      <w:pPr>
        <w:spacing w:line="360" w:lineRule="auto"/>
        <w:ind w:firstLine="640"/>
        <w:rPr>
          <w:rFonts w:hint="eastAsia"/>
          <w:sz w:val="32"/>
          <w:szCs w:val="24"/>
          <w:lang w:val="zh-CN"/>
        </w:rPr>
      </w:pPr>
      <w:r>
        <w:rPr>
          <w:rFonts w:hint="eastAsia" w:ascii="黑体" w:hAnsi="黑体" w:eastAsia="黑体"/>
          <w:sz w:val="32"/>
          <w:szCs w:val="24"/>
          <w:lang w:val="zh-CN"/>
        </w:rPr>
        <w:t>五、一般公共预算财政拨款支出决算情况说明</w:t>
      </w:r>
    </w:p>
    <w:p>
      <w:pPr>
        <w:ind w:firstLine="640"/>
        <w:rPr>
          <w:rFonts w:hint="eastAsia"/>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773.97</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8.82%</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减少122.38万元，下降13.65%，主要原因是：</w:t>
      </w:r>
      <w:r>
        <w:rPr>
          <w:rFonts w:hint="eastAsia" w:ascii="仿宋_GB2312" w:hAnsi="仿宋_GB2312" w:eastAsia="仿宋_GB2312"/>
          <w:kern w:val="0"/>
          <w:sz w:val="32"/>
          <w:szCs w:val="24"/>
          <w:lang w:val="en-US" w:eastAsia="zh-CN"/>
        </w:rPr>
        <w:t>本年减少了园区详规环评、园区发展资金、园区项目测绘费、园区企业项目保证金等项目支出</w:t>
      </w:r>
      <w:r>
        <w:rPr>
          <w:rFonts w:hint="eastAsia" w:ascii="仿宋_GB2312" w:hAnsi="仿宋_GB2312" w:eastAsia="仿宋_GB2312"/>
          <w:kern w:val="0"/>
          <w:sz w:val="32"/>
          <w:szCs w:val="24"/>
          <w:lang w:val="en-US"/>
        </w:rPr>
        <w:t>。</w:t>
      </w:r>
    </w:p>
    <w:p>
      <w:pPr>
        <w:ind w:firstLine="640"/>
        <w:rPr>
          <w:rFonts w:hint="eastAsia"/>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eastAsia" w:ascii="仿宋_GB2312" w:hAnsi="仿宋_GB2312" w:eastAsia="仿宋_GB2312"/>
          <w:sz w:val="32"/>
          <w:szCs w:val="24"/>
          <w:lang w:val="en-US"/>
        </w:rPr>
      </w:pPr>
      <w:r>
        <w:rPr>
          <w:rFonts w:hint="eastAsia" w:ascii="仿宋_GB2312" w:hAnsi="仿宋_GB2312" w:eastAsia="仿宋_GB2312"/>
          <w:sz w:val="32"/>
          <w:szCs w:val="24"/>
          <w:lang w:val="en-US"/>
        </w:rPr>
        <w:t>1.一般公共服务支出（类）738.31万元，占95.39%；</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rPr>
        <w:t>2.社会保障和就业支出（类）35.66万元，占4.61%</w:t>
      </w:r>
      <w:r>
        <w:rPr>
          <w:rFonts w:hint="eastAsia" w:ascii="仿宋_GB2312" w:hAnsi="仿宋_GB2312" w:eastAsia="仿宋_GB2312"/>
          <w:kern w:val="0"/>
          <w:sz w:val="32"/>
          <w:szCs w:val="24"/>
          <w:lang w:val="en-US" w:eastAsia="zh-CN"/>
        </w:rPr>
        <w:t>。</w:t>
      </w:r>
    </w:p>
    <w:p>
      <w:pPr>
        <w:ind w:firstLine="640"/>
        <w:rPr>
          <w:rFonts w:hint="eastAsia"/>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rPr>
        <w:t>1.一般公共服务支出（类）政府办公厅（室）及相关机构事务（款）行政运行（项）:支出决算数为738.31万元，比上年决算增加135.11万元，增长22.40%，主要原因是：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一次性补发了调标工资、绩效工资，人员晋升工资，</w:t>
      </w:r>
      <w:r>
        <w:rPr>
          <w:rFonts w:hint="eastAsia" w:ascii="仿宋_GB2312" w:hAnsi="仿宋_GB2312" w:eastAsia="仿宋_GB2312"/>
          <w:kern w:val="0"/>
          <w:sz w:val="32"/>
          <w:szCs w:val="24"/>
          <w:lang w:val="en-US" w:eastAsia="zh-CN"/>
        </w:rPr>
        <w:t>增加临聘人员工资，导致此项指出较上年增加；</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rPr>
        <w:t>2.一般公共服务支出（类）政府办公厅（室）及相关机构事务（款）一般行政管理事务（项）:支出决算数为0.00万元，比上年决算</w:t>
      </w:r>
      <w:r>
        <w:rPr>
          <w:rFonts w:hint="eastAsia" w:ascii="仿宋_GB2312" w:hAnsi="仿宋_GB2312" w:eastAsia="仿宋_GB2312"/>
          <w:kern w:val="0"/>
          <w:sz w:val="32"/>
          <w:szCs w:val="24"/>
          <w:lang w:val="en-US" w:eastAsia="zh-CN"/>
        </w:rPr>
        <w:t>减少</w:t>
      </w:r>
      <w:r>
        <w:rPr>
          <w:rFonts w:hint="eastAsia" w:ascii="仿宋_GB2312" w:hAnsi="仿宋_GB2312" w:eastAsia="仿宋_GB2312"/>
          <w:kern w:val="0"/>
          <w:sz w:val="32"/>
          <w:szCs w:val="24"/>
          <w:lang w:val="en-US"/>
        </w:rPr>
        <w:t>48.62万元，下降100.00%，主要原因是：</w:t>
      </w:r>
      <w:r>
        <w:rPr>
          <w:rFonts w:hint="eastAsia" w:ascii="仿宋_GB2312" w:hAnsi="仿宋_GB2312" w:eastAsia="仿宋_GB2312"/>
          <w:kern w:val="0"/>
          <w:sz w:val="32"/>
          <w:szCs w:val="24"/>
          <w:lang w:val="en-US" w:eastAsia="zh-CN"/>
        </w:rPr>
        <w:t>本年无</w:t>
      </w:r>
      <w:r>
        <w:rPr>
          <w:rFonts w:hint="eastAsia" w:ascii="仿宋_GB2312" w:hAnsi="仿宋_GB2312" w:eastAsia="仿宋_GB2312"/>
          <w:kern w:val="0"/>
          <w:sz w:val="32"/>
          <w:szCs w:val="24"/>
          <w:lang w:val="en-US"/>
        </w:rPr>
        <w:t>污水处理服务</w:t>
      </w:r>
      <w:r>
        <w:rPr>
          <w:rFonts w:hint="eastAsia" w:ascii="仿宋_GB2312" w:hAnsi="仿宋_GB2312" w:eastAsia="仿宋_GB2312"/>
          <w:kern w:val="0"/>
          <w:sz w:val="32"/>
          <w:szCs w:val="24"/>
          <w:lang w:val="en-US" w:eastAsia="zh-CN"/>
        </w:rPr>
        <w:t>费，此功能科目未支出；</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.一般公共服务支出（类）政府办公厅（室）及相关机构事务（款）其他政府办公厅（室）及相关机构事务支出（项）:支出决算数为0.00万元，比上年决算减少114.40万元，增长100.00%，主要原因是：</w:t>
      </w:r>
      <w:r>
        <w:rPr>
          <w:rFonts w:hint="eastAsia" w:ascii="仿宋_GB2312" w:hAnsi="仿宋_GB2312" w:eastAsia="仿宋_GB2312"/>
          <w:kern w:val="0"/>
          <w:sz w:val="32"/>
          <w:szCs w:val="24"/>
          <w:lang w:val="en-US" w:eastAsia="zh-CN"/>
        </w:rPr>
        <w:t>本年无</w:t>
      </w:r>
      <w:r>
        <w:rPr>
          <w:rFonts w:hint="eastAsia" w:ascii="仿宋_GB2312" w:hAnsi="仿宋_GB2312" w:eastAsia="仿宋_GB2312"/>
          <w:kern w:val="0"/>
          <w:sz w:val="32"/>
          <w:szCs w:val="24"/>
          <w:lang w:val="en-US"/>
        </w:rPr>
        <w:t>园区控制性详规编制费，园区控制性详规环评编制费</w:t>
      </w:r>
      <w:r>
        <w:rPr>
          <w:rFonts w:hint="eastAsia" w:ascii="仿宋_GB2312" w:hAnsi="仿宋_GB2312" w:eastAsia="仿宋_GB2312"/>
          <w:kern w:val="0"/>
          <w:sz w:val="32"/>
          <w:szCs w:val="24"/>
          <w:lang w:val="en-US" w:eastAsia="zh-CN"/>
        </w:rPr>
        <w:t>，此功能科目未支出；</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eastAsia="zh-CN"/>
        </w:rPr>
        <w:t>4</w:t>
      </w:r>
      <w:r>
        <w:rPr>
          <w:rFonts w:hint="eastAsia" w:ascii="仿宋_GB2312" w:hAnsi="仿宋_GB2312" w:eastAsia="仿宋_GB2312"/>
          <w:kern w:val="0"/>
          <w:sz w:val="32"/>
          <w:szCs w:val="24"/>
          <w:lang w:val="en-US"/>
        </w:rPr>
        <w:t>.一般公共服务支出（类）商贸事务（款）其他商贸事务支出（项）:支出决算数为0.00万元，比上年决算减少65.00万元，下降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本年无</w:t>
      </w:r>
      <w:r>
        <w:rPr>
          <w:rFonts w:hint="eastAsia" w:ascii="仿宋_GB2312" w:hAnsi="仿宋_GB2312" w:eastAsia="仿宋_GB2312"/>
          <w:kern w:val="0"/>
          <w:sz w:val="32"/>
          <w:szCs w:val="24"/>
          <w:lang w:val="en-US"/>
        </w:rPr>
        <w:t>园区项目蓝线报批费用</w:t>
      </w:r>
      <w:r>
        <w:rPr>
          <w:rFonts w:hint="eastAsia" w:ascii="仿宋_GB2312" w:hAnsi="仿宋_GB2312" w:eastAsia="仿宋_GB2312"/>
          <w:kern w:val="0"/>
          <w:sz w:val="32"/>
          <w:szCs w:val="24"/>
          <w:lang w:val="en-US" w:eastAsia="zh-CN"/>
        </w:rPr>
        <w:t>，此功能科目未支出；</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en-US"/>
        </w:rPr>
        <w:t>.社会保障和就业支出（类）民政管理事务（款）基层政权建设和社区治理（项）:支出决算数为0.00万元，比上年决算减少1.13万元，下降100.00%，主要原因是：</w:t>
      </w:r>
      <w:r>
        <w:rPr>
          <w:rFonts w:hint="eastAsia" w:ascii="仿宋_GB2312" w:hAnsi="仿宋_GB2312" w:eastAsia="仿宋_GB2312"/>
          <w:kern w:val="0"/>
          <w:sz w:val="32"/>
          <w:szCs w:val="24"/>
          <w:lang w:val="en-US" w:eastAsia="zh-CN"/>
        </w:rPr>
        <w:t>本</w:t>
      </w:r>
      <w:r>
        <w:rPr>
          <w:rFonts w:hint="eastAsia" w:ascii="仿宋_GB2312" w:hAnsi="仿宋_GB2312" w:eastAsia="仿宋_GB2312"/>
          <w:kern w:val="0"/>
          <w:sz w:val="32"/>
          <w:szCs w:val="24"/>
          <w:lang w:val="en-US"/>
        </w:rPr>
        <w:t>年发放的访惠聚个人补助不在此款项中列支</w:t>
      </w:r>
      <w:r>
        <w:rPr>
          <w:rFonts w:hint="eastAsia" w:ascii="仿宋_GB2312" w:hAnsi="仿宋_GB2312" w:eastAsia="仿宋_GB2312"/>
          <w:kern w:val="0"/>
          <w:sz w:val="32"/>
          <w:szCs w:val="24"/>
          <w:lang w:val="en-US" w:eastAsia="zh-CN"/>
        </w:rPr>
        <w:t>，此功能科目未支出；</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eastAsia="zh-CN"/>
        </w:rPr>
        <w:t>6</w:t>
      </w:r>
      <w:r>
        <w:rPr>
          <w:rFonts w:hint="eastAsia" w:ascii="仿宋_GB2312" w:hAnsi="仿宋_GB2312" w:eastAsia="仿宋_GB2312"/>
          <w:kern w:val="0"/>
          <w:sz w:val="32"/>
          <w:szCs w:val="24"/>
          <w:lang w:val="en-US"/>
        </w:rPr>
        <w:t>.社会保障和就业支出（类）行政事业单位养老支出（款）机关事业单位基本养老保险缴费支出（项）:支出决算数为35.66万元，比上年决算增加9.78万元，增长37.79%，主要原因是：</w:t>
      </w:r>
      <w:r>
        <w:rPr>
          <w:rFonts w:hint="eastAsia" w:ascii="仿宋_GB2312" w:hAnsi="仿宋_GB2312" w:eastAsia="仿宋_GB2312"/>
          <w:kern w:val="0"/>
          <w:sz w:val="32"/>
          <w:szCs w:val="24"/>
          <w:lang w:val="en-US" w:eastAsia="zh-CN"/>
        </w:rPr>
        <w:t>本</w:t>
      </w:r>
      <w:r>
        <w:rPr>
          <w:rFonts w:hint="eastAsia" w:ascii="仿宋_GB2312" w:hAnsi="仿宋_GB2312" w:eastAsia="仿宋_GB2312"/>
          <w:kern w:val="0"/>
          <w:sz w:val="32"/>
          <w:szCs w:val="24"/>
          <w:lang w:val="en-US"/>
        </w:rPr>
        <w:t>年由于调资，相应的养老金基数业调整增加</w:t>
      </w:r>
      <w:r>
        <w:rPr>
          <w:rFonts w:hint="eastAsia" w:ascii="仿宋_GB2312" w:hAnsi="仿宋_GB2312" w:eastAsia="仿宋_GB2312"/>
          <w:kern w:val="0"/>
          <w:sz w:val="32"/>
          <w:szCs w:val="24"/>
          <w:lang w:val="en-US" w:eastAsia="zh-CN"/>
        </w:rPr>
        <w:t>，养老保险缴费增加；</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eastAsia="zh-CN"/>
        </w:rPr>
        <w:t>7</w:t>
      </w:r>
      <w:r>
        <w:rPr>
          <w:rFonts w:hint="eastAsia" w:ascii="仿宋_GB2312" w:hAnsi="仿宋_GB2312" w:eastAsia="仿宋_GB2312"/>
          <w:kern w:val="0"/>
          <w:sz w:val="32"/>
          <w:szCs w:val="24"/>
          <w:lang w:val="en-US"/>
        </w:rPr>
        <w:t>.城乡社区支出（类）其他城乡社区支出（款）其他城乡社区支出（项）:支出决算数为0.00万元，比上年决算减少32.82万元，下降100.00%，主要原因是：</w:t>
      </w:r>
      <w:r>
        <w:rPr>
          <w:rFonts w:hint="eastAsia" w:ascii="仿宋_GB2312" w:hAnsi="仿宋_GB2312" w:eastAsia="仿宋_GB2312"/>
          <w:kern w:val="0"/>
          <w:sz w:val="32"/>
          <w:szCs w:val="24"/>
          <w:lang w:val="en-US" w:eastAsia="zh-CN"/>
        </w:rPr>
        <w:t>本年无</w:t>
      </w:r>
      <w:r>
        <w:rPr>
          <w:rFonts w:hint="eastAsia" w:ascii="仿宋_GB2312" w:hAnsi="仿宋_GB2312" w:eastAsia="仿宋_GB2312"/>
          <w:kern w:val="0"/>
          <w:sz w:val="32"/>
          <w:szCs w:val="24"/>
          <w:lang w:val="en-US"/>
        </w:rPr>
        <w:t>园区项目测绘费</w:t>
      </w:r>
      <w:r>
        <w:rPr>
          <w:rFonts w:hint="eastAsia" w:ascii="仿宋_GB2312" w:hAnsi="仿宋_GB2312" w:eastAsia="仿宋_GB2312"/>
          <w:kern w:val="0"/>
          <w:sz w:val="32"/>
          <w:szCs w:val="24"/>
          <w:lang w:val="en-US" w:eastAsia="zh-CN"/>
        </w:rPr>
        <w:t>支出，此功能科目未支出；</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eastAsia="zh-CN"/>
        </w:rPr>
        <w:t>8</w:t>
      </w:r>
      <w:r>
        <w:rPr>
          <w:rFonts w:hint="eastAsia" w:ascii="仿宋_GB2312" w:hAnsi="仿宋_GB2312" w:eastAsia="仿宋_GB2312"/>
          <w:kern w:val="0"/>
          <w:sz w:val="32"/>
          <w:szCs w:val="24"/>
          <w:lang w:val="en-US"/>
        </w:rPr>
        <w:t>.农林水支出（类）水利（款）其他水利支出（项）:支出决算数为0.00万元，比上年决算减少5.30万元，下降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本年无</w:t>
      </w:r>
      <w:r>
        <w:rPr>
          <w:rFonts w:hint="eastAsia" w:ascii="仿宋_GB2312" w:hAnsi="仿宋_GB2312" w:eastAsia="仿宋_GB2312"/>
          <w:kern w:val="0"/>
          <w:sz w:val="32"/>
          <w:szCs w:val="24"/>
          <w:lang w:val="en-US"/>
        </w:rPr>
        <w:t>涉水企业检测费支出</w:t>
      </w:r>
      <w:r>
        <w:rPr>
          <w:rFonts w:hint="eastAsia" w:ascii="仿宋_GB2312" w:hAnsi="仿宋_GB2312" w:eastAsia="仿宋_GB2312"/>
          <w:kern w:val="0"/>
          <w:sz w:val="32"/>
          <w:szCs w:val="24"/>
          <w:lang w:val="en-US" w:eastAsia="zh-CN"/>
        </w:rPr>
        <w:t>，此功能科目未支出</w:t>
      </w:r>
      <w:r>
        <w:rPr>
          <w:rFonts w:hint="eastAsia" w:ascii="仿宋_GB2312" w:hAnsi="仿宋_GB2312" w:eastAsia="仿宋_GB2312"/>
          <w:kern w:val="0"/>
          <w:sz w:val="32"/>
          <w:szCs w:val="24"/>
          <w:lang w:val="en-US"/>
        </w:rPr>
        <w:t>。</w:t>
      </w:r>
    </w:p>
    <w:p>
      <w:pPr>
        <w:spacing w:line="360" w:lineRule="auto"/>
        <w:ind w:firstLine="640"/>
        <w:rPr>
          <w:rFonts w:hint="eastAsia"/>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2022年度一般公共预算财政拨款基本支出773.97万元，其中：</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人员经费531.25万元，包括：基本工资、津贴补贴、机关事业单位基本养老保险缴费、职工基本医疗保险缴费、公务员医疗补助缴费、其他社会保障缴费、住房公积金、其他工资福利支出、退休费、生活补助。</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242.72万元，包括：办公费、印刷费、咨询费、水费、电费、邮电费、取暖费、物业管理费、差旅费、维修（护）费、租赁费、委托业务费、工会经费、福利费、公务用车运行维护费、其他商品和服务支出、办公设备购置。</w:t>
      </w:r>
    </w:p>
    <w:p>
      <w:pPr>
        <w:spacing w:line="360" w:lineRule="auto"/>
        <w:ind w:firstLine="640"/>
        <w:rPr>
          <w:rFonts w:hint="eastAsia"/>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“三公”经费支出决算20.68万元，比上年减少4.32万元，下降17.28%，主要原因是：</w:t>
      </w:r>
      <w:r>
        <w:rPr>
          <w:rFonts w:hint="eastAsia" w:ascii="仿宋_GB2312" w:hAnsi="仿宋_GB2312" w:eastAsia="仿宋_GB2312"/>
          <w:kern w:val="0"/>
          <w:sz w:val="32"/>
          <w:szCs w:val="24"/>
          <w:lang w:val="en-US" w:eastAsia="zh-CN"/>
        </w:rPr>
        <w:t>本年车辆出行次数减少，车辆维修维护费、燃油费较上年减少</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20.68万元，占100.00%，比上年减少4.32万元，下降17.28%，主要原因是：</w:t>
      </w:r>
      <w:r>
        <w:rPr>
          <w:rFonts w:hint="eastAsia" w:ascii="仿宋_GB2312" w:hAnsi="仿宋_GB2312" w:eastAsia="仿宋_GB2312"/>
          <w:kern w:val="0"/>
          <w:sz w:val="32"/>
          <w:szCs w:val="24"/>
          <w:lang w:val="en-US" w:eastAsia="zh-CN"/>
        </w:rPr>
        <w:t>本年车辆出行次数减少，车辆维修维护费、燃油费较上年减少</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公务用车购置及运行维护费20.68万元，其中：公务用车购置费0.00万元，公务用车运行维护费20.68万元。公务用车运行维护费开支内容包括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hAnsi="仿宋_GB2312" w:eastAsia="仿宋_GB2312"/>
          <w:kern w:val="0"/>
          <w:sz w:val="32"/>
          <w:szCs w:val="24"/>
          <w:lang w:val="en-US"/>
        </w:rPr>
        <w:t>。公务用车购置数0辆，公务用车保有量8辆。</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eastAsia"/>
          <w:kern w:val="0"/>
          <w:sz w:val="32"/>
          <w:szCs w:val="24"/>
          <w:lang w:val="en-US"/>
        </w:rPr>
        <w:t>“</w:t>
      </w:r>
      <w:r>
        <w:rPr>
          <w:rFonts w:hint="eastAsia" w:ascii="仿宋_GB2312" w:hAnsi="仿宋_GB2312" w:eastAsia="仿宋_GB2312"/>
          <w:kern w:val="0"/>
          <w:sz w:val="32"/>
          <w:szCs w:val="24"/>
          <w:lang w:val="en-US"/>
        </w:rPr>
        <w:t>三公</w:t>
      </w:r>
      <w:r>
        <w:rPr>
          <w:rFonts w:hint="eastAsia"/>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20.68万元，决算数20.68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20.68万元，决算数20.68万元，预决算差异率0.00%，主要原因是：单位严格执行“三公”经费支出标准，未超预算；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line="360" w:lineRule="auto"/>
        <w:ind w:firstLine="640"/>
        <w:rPr>
          <w:rFonts w:hint="eastAsia"/>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2022年度政府性基金预算年初结转和结余0.00万元，财政拨款收入8,000.00万元，与上年相比，增加8,000.00万元，增长100.00%,主要原因是：</w:t>
      </w:r>
      <w:r>
        <w:rPr>
          <w:rFonts w:hint="eastAsia" w:ascii="仿宋_GB2312" w:hAnsi="仿宋_GB2312" w:eastAsia="仿宋_GB2312"/>
          <w:kern w:val="0"/>
          <w:sz w:val="32"/>
          <w:szCs w:val="24"/>
          <w:lang w:val="en-US" w:eastAsia="zh-CN"/>
        </w:rPr>
        <w:t>本年增加</w:t>
      </w:r>
      <w:r>
        <w:rPr>
          <w:rFonts w:hint="eastAsia" w:ascii="仿宋_GB2312" w:hAnsi="仿宋_GB2312" w:eastAsia="仿宋_GB2312"/>
          <w:kern w:val="0"/>
          <w:sz w:val="32"/>
          <w:szCs w:val="24"/>
          <w:lang w:val="en-US"/>
        </w:rPr>
        <w:t>试点项目收益专项债券</w:t>
      </w:r>
      <w:r>
        <w:rPr>
          <w:rFonts w:hint="eastAsia" w:ascii="仿宋_GB2312" w:hAnsi="仿宋_GB2312" w:eastAsia="仿宋_GB2312"/>
          <w:kern w:val="0"/>
          <w:sz w:val="32"/>
          <w:szCs w:val="24"/>
          <w:lang w:val="en-US" w:eastAsia="zh-CN"/>
        </w:rPr>
        <w:t>项目，收入增加</w:t>
      </w:r>
      <w:r>
        <w:rPr>
          <w:rFonts w:hint="eastAsia" w:ascii="仿宋_GB2312" w:hAnsi="仿宋_GB2312" w:eastAsia="仿宋_GB2312"/>
          <w:kern w:val="0"/>
          <w:sz w:val="32"/>
          <w:szCs w:val="24"/>
          <w:lang w:val="en-US"/>
        </w:rPr>
        <w:t>。政府性基金预算年末结转结余0.00万元，财政拨款支出8,000.00万元，与上年相比，增加8,000.00万元，增长100.00%,主要原因是：</w:t>
      </w:r>
      <w:r>
        <w:rPr>
          <w:rFonts w:hint="eastAsia" w:ascii="仿宋_GB2312" w:hAnsi="仿宋_GB2312" w:eastAsia="仿宋_GB2312"/>
          <w:kern w:val="0"/>
          <w:sz w:val="32"/>
          <w:szCs w:val="24"/>
          <w:lang w:val="en-US" w:eastAsia="zh-CN"/>
        </w:rPr>
        <w:t>本年增加</w:t>
      </w:r>
      <w:r>
        <w:rPr>
          <w:rFonts w:hint="eastAsia" w:ascii="仿宋_GB2312" w:hAnsi="仿宋_GB2312" w:eastAsia="仿宋_GB2312"/>
          <w:kern w:val="0"/>
          <w:sz w:val="32"/>
          <w:szCs w:val="24"/>
          <w:lang w:val="en-US"/>
        </w:rPr>
        <w:t>试点项目收益专项债券</w:t>
      </w:r>
      <w:r>
        <w:rPr>
          <w:rFonts w:hint="eastAsia" w:ascii="仿宋_GB2312" w:hAnsi="仿宋_GB2312" w:eastAsia="仿宋_GB2312"/>
          <w:kern w:val="0"/>
          <w:sz w:val="32"/>
          <w:szCs w:val="24"/>
          <w:lang w:val="en-US" w:eastAsia="zh-CN"/>
        </w:rPr>
        <w:t>项目，支出增加</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000000"/>
          <w:sz w:val="32"/>
          <w:szCs w:val="24"/>
          <w:lang w:val="en-US"/>
        </w:rPr>
        <w:t>政府性基金预算财政拨款支出</w:t>
      </w:r>
      <w:r>
        <w:rPr>
          <w:rFonts w:hint="eastAsia" w:ascii="仿宋_GB2312" w:hAnsi="仿宋_GB2312" w:eastAsia="仿宋_GB2312"/>
          <w:color w:val="000000"/>
          <w:kern w:val="0"/>
          <w:sz w:val="32"/>
          <w:szCs w:val="24"/>
          <w:lang w:val="en-US"/>
        </w:rPr>
        <w:t>8,000.00</w:t>
      </w:r>
      <w:r>
        <w:rPr>
          <w:rFonts w:hint="eastAsia" w:ascii="仿宋_GB2312" w:hAnsi="仿宋_GB2312" w:eastAsia="仿宋_GB2312"/>
          <w:color w:val="000000"/>
          <w:sz w:val="32"/>
          <w:szCs w:val="24"/>
          <w:lang w:val="en-US"/>
        </w:rPr>
        <w:t>万元。按功能分类科目项级科目公开，其中：</w:t>
      </w:r>
    </w:p>
    <w:p>
      <w:pPr>
        <w:spacing w:line="360" w:lineRule="auto"/>
        <w:ind w:firstLine="640"/>
        <w:rPr>
          <w:rFonts w:hint="eastAsia" w:ascii="仿宋_GB2312" w:hAnsi="仿宋_GB2312" w:eastAsia="仿宋_GB2312"/>
          <w:color w:val="auto"/>
          <w:kern w:val="0"/>
          <w:sz w:val="32"/>
          <w:szCs w:val="24"/>
          <w:lang w:val="en-US" w:eastAsia="zh-CN"/>
        </w:rPr>
      </w:pPr>
      <w:r>
        <w:rPr>
          <w:rFonts w:hint="eastAsia" w:ascii="仿宋_GB2312" w:hAnsi="仿宋_GB2312" w:eastAsia="仿宋_GB2312"/>
          <w:color w:val="auto"/>
          <w:kern w:val="0"/>
          <w:sz w:val="32"/>
          <w:szCs w:val="24"/>
          <w:lang w:val="en-US"/>
        </w:rPr>
        <w:t>2290402其他地方自行试点项目收益专项债券收入安排的支出8,000.00万元</w:t>
      </w:r>
      <w:r>
        <w:rPr>
          <w:rFonts w:hint="eastAsia" w:ascii="仿宋_GB2312" w:hAnsi="仿宋_GB2312" w:eastAsia="仿宋_GB2312"/>
          <w:color w:val="auto"/>
          <w:kern w:val="0"/>
          <w:sz w:val="32"/>
          <w:szCs w:val="24"/>
          <w:lang w:val="en-US" w:eastAsia="zh-CN"/>
        </w:rPr>
        <w:t>。</w:t>
      </w:r>
    </w:p>
    <w:p>
      <w:pPr>
        <w:spacing w:line="360" w:lineRule="auto"/>
        <w:ind w:firstLine="640"/>
        <w:rPr>
          <w:rFonts w:hint="eastAsia"/>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eastAsia"/>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eastAsia"/>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2022年度乌鲁木齐市米东区化工工业园管理委员会单位机关运行经费支出242.71万元，比上年减少17.38万元，下降6.68%，主要原因是：</w:t>
      </w:r>
      <w:r>
        <w:rPr>
          <w:rFonts w:hint="eastAsia" w:ascii="仿宋_GB2312" w:hAnsi="仿宋_GB2312" w:eastAsia="仿宋_GB2312"/>
          <w:color w:val="auto"/>
          <w:kern w:val="0"/>
          <w:sz w:val="32"/>
          <w:szCs w:val="24"/>
          <w:lang w:val="en-US" w:eastAsia="zh-CN"/>
        </w:rPr>
        <w:t>本年购买办公耗材减少，办公经费减少，业务量减少，劳务费减少</w:t>
      </w:r>
      <w:r>
        <w:rPr>
          <w:rFonts w:hint="eastAsia" w:ascii="仿宋_GB2312" w:hAnsi="仿宋_GB2312" w:eastAsia="仿宋_GB2312"/>
          <w:color w:val="auto"/>
          <w:kern w:val="0"/>
          <w:sz w:val="32"/>
          <w:szCs w:val="24"/>
          <w:lang w:val="en-US"/>
        </w:rPr>
        <w:t>。</w:t>
      </w:r>
    </w:p>
    <w:p>
      <w:pPr>
        <w:spacing w:line="360" w:lineRule="auto"/>
        <w:ind w:firstLine="640"/>
        <w:rPr>
          <w:rFonts w:hint="eastAsia"/>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2022年度政府采购支出总额318.20万元，其中：政府采购货物支出2.20万元、政府采购工程支出0.00万元、政府采购服务支出316.00万元。</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授予中小企业合同金额318.20万元，占政府采购支出总额的100.00%，其中：授予小微企业合同金额318.20万元，占政府采购支出总额的100.00%。</w:t>
      </w:r>
    </w:p>
    <w:p>
      <w:pPr>
        <w:spacing w:line="360" w:lineRule="auto"/>
        <w:ind w:firstLine="640"/>
        <w:rPr>
          <w:rFonts w:hint="eastAsia"/>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310.94</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8辆，价值156.76万元，其中：副部（省）级及以上领导用车0辆、主要领导干部用车5辆、机要通信用车0辆、应急保障用车0辆、执法执勤用车0辆、特种专业技术用车0辆、离退休干部用车0辆、其他用车3辆，其他用车主要是：单位接送职工班车</w:t>
      </w:r>
      <w:r>
        <w:rPr>
          <w:rFonts w:hint="eastAsia" w:ascii="仿宋_GB2312" w:hAnsi="仿宋_GB2312" w:eastAsia="仿宋_GB2312"/>
          <w:color w:val="auto"/>
          <w:kern w:val="0"/>
          <w:sz w:val="32"/>
          <w:szCs w:val="24"/>
          <w:lang w:val="en-US" w:eastAsia="zh-CN"/>
        </w:rPr>
        <w:t>2</w:t>
      </w:r>
      <w:r>
        <w:rPr>
          <w:rFonts w:hint="eastAsia" w:ascii="仿宋_GB2312" w:hAnsi="仿宋_GB2312" w:eastAsia="仿宋_GB2312"/>
          <w:color w:val="auto"/>
          <w:kern w:val="0"/>
          <w:sz w:val="32"/>
          <w:szCs w:val="24"/>
          <w:lang w:val="en-US"/>
        </w:rPr>
        <w:t>辆，</w:t>
      </w:r>
      <w:r>
        <w:rPr>
          <w:rFonts w:hint="eastAsia" w:ascii="仿宋_GB2312" w:hAnsi="仿宋_GB2312" w:eastAsia="仿宋_GB2312"/>
          <w:color w:val="auto"/>
          <w:kern w:val="0"/>
          <w:sz w:val="32"/>
          <w:szCs w:val="24"/>
          <w:lang w:val="en-US" w:eastAsia="zh-CN"/>
        </w:rPr>
        <w:t>单位业务用车1</w:t>
      </w:r>
      <w:r>
        <w:rPr>
          <w:rFonts w:hint="eastAsia" w:ascii="仿宋_GB2312" w:hAnsi="仿宋_GB2312" w:eastAsia="仿宋_GB2312"/>
          <w:color w:val="auto"/>
          <w:kern w:val="0"/>
          <w:sz w:val="32"/>
          <w:szCs w:val="24"/>
          <w:lang w:val="en-US"/>
        </w:rPr>
        <w:t>辆；单价100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eastAsia"/>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eastAsia"/>
          <w:color w:val="auto"/>
          <w:kern w:val="0"/>
          <w:sz w:val="24"/>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bookmarkStart w:id="0" w:name="_GoBack"/>
      <w:bookmarkEnd w:id="0"/>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预算绩效管理取得的成效：我单位无预算绩效管理的项目。发现的问题及原因：我单位无预算绩效管理的项目。下一步改进措施：我单位无预算绩效管理的项目。</w:t>
      </w:r>
    </w:p>
    <w:p>
      <w:pPr>
        <w:shd w:val="clear" w:color="auto" w:fill="FFFFFF"/>
        <w:spacing w:before="100" w:after="240"/>
        <w:jc w:val="center"/>
        <w:rPr>
          <w:rFonts w:hint="eastAsia"/>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eastAsia"/>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eastAsia"/>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line="360" w:lineRule="auto"/>
        <w:ind w:firstLine="640"/>
        <w:rPr>
          <w:rFonts w:hint="eastAsia"/>
          <w:color w:val="auto"/>
          <w:kern w:val="0"/>
          <w:sz w:val="32"/>
          <w:szCs w:val="24"/>
          <w:lang w:val="en-US"/>
        </w:rPr>
      </w:pPr>
    </w:p>
    <w:p>
      <w:pPr>
        <w:shd w:val="clear" w:color="auto" w:fill="FFFFFF"/>
        <w:spacing w:before="100" w:after="240"/>
        <w:jc w:val="center"/>
        <w:rPr>
          <w:rFonts w:hint="eastAsia"/>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eastAsia"/>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eastAsia"/>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eastAsia"/>
          <w:color w:val="auto"/>
          <w:kern w:val="36"/>
          <w:sz w:val="40"/>
          <w:szCs w:val="24"/>
          <w:lang w:val="zh-CN"/>
        </w:rPr>
      </w:pPr>
    </w:p>
    <w:p>
      <w:pPr>
        <w:rPr>
          <w:rFonts w:hint="eastAsia"/>
          <w:color w:val="auto"/>
          <w:sz w:val="21"/>
          <w:szCs w:val="24"/>
          <w:lang w:val="en-US"/>
        </w:rPr>
      </w:pPr>
    </w:p>
    <w:p>
      <w:pPr>
        <w:jc w:val="left"/>
        <w:rPr>
          <w:rFonts w:hint="eastAsia"/>
          <w:color w:val="auto"/>
          <w:kern w:val="36"/>
          <w:sz w:val="40"/>
          <w:szCs w:val="24"/>
          <w:lang w:val="zh-CN"/>
        </w:rPr>
      </w:pPr>
    </w:p>
    <w:p>
      <w:pPr>
        <w:rPr>
          <w:rFonts w:hint="eastAsia"/>
          <w:color w:val="auto"/>
          <w:sz w:val="21"/>
          <w:szCs w:val="24"/>
          <w:lang w:val="en-US"/>
        </w:rPr>
      </w:pPr>
    </w:p>
    <w:p>
      <w:pPr>
        <w:jc w:val="left"/>
        <w:rPr>
          <w:rFonts w:hint="eastAsia"/>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76276E6"/>
    <w:rsid w:val="48B650FD"/>
    <w:rsid w:val="53A775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eastAsia" w:ascii="Times New Roman" w:hAnsi="Times New Roman" w:eastAsia="Times New Roman"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5702</Words>
  <Characters>6453</Characters>
  <TotalTime>4</TotalTime>
  <ScaleCrop>false</ScaleCrop>
  <LinksUpToDate>false</LinksUpToDate>
  <CharactersWithSpaces>6464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2023-08-28T04:18:00Z</dcterms:created>
  <dc:creator>asus</dc:creator>
  <cp:lastModifiedBy>逐梦令</cp:lastModifiedBy>
  <dcterms:modified xsi:type="dcterms:W3CDTF">2023-09-01T12:04:05Z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52AC840273A94422AA74824495190950_13</vt:lpwstr>
  </property>
</Properties>
</file>