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hint="default" w:eastAsia="Times New Roman"/>
          <w:kern w:val="36"/>
          <w:sz w:val="40"/>
          <w:szCs w:val="24"/>
          <w:lang w:val="zh-CN"/>
        </w:rPr>
      </w:pPr>
    </w:p>
    <w:p>
      <w:pPr>
        <w:shd w:val="clear" w:color="auto" w:fill="FFFFFF"/>
        <w:spacing w:before="240" w:after="240"/>
        <w:jc w:val="center"/>
        <w:rPr>
          <w:rFonts w:hint="default" w:eastAsia="Times New Roman"/>
          <w:kern w:val="36"/>
          <w:sz w:val="40"/>
          <w:szCs w:val="24"/>
          <w:lang w:val="zh-CN"/>
        </w:rPr>
      </w:pPr>
    </w:p>
    <w:p>
      <w:pPr>
        <w:jc w:val="center"/>
        <w:rPr>
          <w:rFonts w:hint="eastAsia" w:ascii="方正小标宋_GBK" w:hAnsi="方正小标宋_GBK" w:eastAsia="方正小标宋_GBK"/>
          <w:sz w:val="44"/>
          <w:szCs w:val="24"/>
          <w:lang w:val="en-US"/>
        </w:rPr>
      </w:pPr>
      <w:r>
        <w:rPr>
          <w:rFonts w:hint="eastAsia" w:ascii="方正小标宋_GBK" w:hAnsi="方正小标宋_GBK" w:eastAsia="方正小标宋_GBK"/>
          <w:sz w:val="44"/>
          <w:szCs w:val="24"/>
          <w:lang w:val="en-US"/>
        </w:rPr>
        <w:t>乌鲁木齐市米东区发展和改革委员会（工业和信息化局）</w:t>
      </w:r>
    </w:p>
    <w:p>
      <w:pPr>
        <w:jc w:val="center"/>
        <w:rPr>
          <w:rFonts w:hint="default" w:eastAsia="Times New Roman"/>
          <w:kern w:val="36"/>
          <w:sz w:val="40"/>
          <w:szCs w:val="24"/>
          <w:lang w:val="zh-CN"/>
        </w:rPr>
      </w:pPr>
      <w:r>
        <w:rPr>
          <w:rFonts w:hint="eastAsia" w:ascii="方正小标宋_GBK" w:hAnsi="方正小标宋_GBK" w:eastAsia="方正小标宋_GBK"/>
          <w:sz w:val="44"/>
          <w:szCs w:val="24"/>
          <w:lang w:val="en-US"/>
        </w:rPr>
        <w:t>2022年度部门决算公开说明</w:t>
      </w:r>
    </w:p>
    <w:p>
      <w:pPr>
        <w:shd w:val="clear" w:color="auto" w:fill="FFFFFF"/>
        <w:spacing w:before="240" w:after="240"/>
        <w:jc w:val="center"/>
        <w:rPr>
          <w:rFonts w:hint="default" w:eastAsia="Times New Roman"/>
          <w:kern w:val="36"/>
          <w:sz w:val="40"/>
          <w:szCs w:val="24"/>
          <w:lang w:val="zh-CN"/>
        </w:rPr>
      </w:pPr>
    </w:p>
    <w:p>
      <w:pPr>
        <w:spacing w:line="540" w:lineRule="exact"/>
        <w:jc w:val="center"/>
        <w:rPr>
          <w:rFonts w:hint="default" w:eastAsia="Times New Roman"/>
          <w:b/>
          <w:kern w:val="0"/>
          <w:sz w:val="24"/>
          <w:szCs w:val="24"/>
          <w:lang w:val="en-US"/>
        </w:rPr>
      </w:pPr>
      <w:r>
        <w:rPr>
          <w:rFonts w:hint="default" w:eastAsia="Times New Roman"/>
          <w:b/>
          <w:kern w:val="36"/>
          <w:sz w:val="36"/>
          <w:szCs w:val="24"/>
          <w:lang w:val="en-US"/>
        </w:rPr>
        <w:br w:type="page"/>
      </w:r>
      <w:r>
        <w:rPr>
          <w:rFonts w:hint="eastAsia" w:ascii="仿宋_GB2312" w:hAnsi="仿宋_GB2312" w:eastAsia="仿宋_GB2312"/>
          <w:b/>
          <w:kern w:val="0"/>
          <w:sz w:val="36"/>
          <w:szCs w:val="24"/>
          <w:lang w:val="en-US"/>
        </w:rPr>
        <w:t>目  录</w:t>
      </w:r>
    </w:p>
    <w:p>
      <w:pPr>
        <w:spacing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第一部分 单位概况</w:t>
      </w:r>
    </w:p>
    <w:p>
      <w:pPr>
        <w:spacing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一、主要职能</w:t>
      </w:r>
    </w:p>
    <w:p>
      <w:pPr>
        <w:spacing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二、</w:t>
      </w:r>
      <w:r>
        <w:rPr>
          <w:rFonts w:hint="eastAsia" w:ascii="仿宋_GB2312" w:hAnsi="仿宋_GB2312" w:eastAsia="仿宋_GB2312"/>
          <w:sz w:val="32"/>
          <w:szCs w:val="24"/>
          <w:lang w:val="en-US"/>
        </w:rPr>
        <w:t>机构设置及人员情况</w:t>
      </w:r>
    </w:p>
    <w:p>
      <w:pPr>
        <w:spacing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第二部分 部门决算情况说明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一、收入支出决算总体情况说明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二、收入决算情况说明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四、财政拨款收入支出决算总体情况说明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lang w:val="en-US"/>
        </w:rPr>
        <w:t>收入支出决算情况说明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十、其他重要事项的情况说明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（一）机关运行经费支出情况</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（二）政府采购情况</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（三）国有资产占用情况说明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lang w:val="en-US"/>
        </w:rPr>
        <w:t>、预算绩效的情况说明</w:t>
      </w:r>
    </w:p>
    <w:p>
      <w:pPr>
        <w:spacing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第三部分 专业名词解释</w:t>
      </w:r>
    </w:p>
    <w:p>
      <w:pPr>
        <w:spacing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第四部分 部</w:t>
      </w:r>
      <w:r>
        <w:rPr>
          <w:rFonts w:hint="eastAsia" w:ascii="仿宋_GB2312" w:hAnsi="仿宋_GB2312" w:eastAsia="仿宋_GB2312"/>
          <w:b/>
          <w:sz w:val="32"/>
          <w:szCs w:val="24"/>
          <w:lang w:val="en-US"/>
        </w:rPr>
        <w:t>门决算报表（见附表）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二、《收入决算表》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八、《政府性基金预算财政拨款收入支出决算表》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九、《国有资本经营预算财政拨款收入支出决算表》</w:t>
      </w:r>
    </w:p>
    <w:p>
      <w:pPr>
        <w:spacing w:line="540" w:lineRule="exact"/>
        <w:ind w:firstLine="640"/>
        <w:rPr>
          <w:rFonts w:hint="default" w:eastAsia="Times New Roman"/>
          <w:b/>
          <w:kern w:val="0"/>
          <w:sz w:val="28"/>
          <w:szCs w:val="24"/>
          <w:lang w:val="en-US"/>
        </w:rPr>
      </w:pPr>
    </w:p>
    <w:p>
      <w:pPr>
        <w:shd w:val="clear" w:color="auto" w:fill="FFFFFF"/>
        <w:spacing w:line="360" w:lineRule="auto"/>
        <w:jc w:val="center"/>
        <w:rPr>
          <w:rFonts w:hint="default" w:eastAsia="Times New Roman"/>
          <w:kern w:val="0"/>
          <w:sz w:val="32"/>
          <w:szCs w:val="24"/>
          <w:lang w:val="en-US"/>
        </w:rPr>
      </w:pPr>
    </w:p>
    <w:p>
      <w:pPr>
        <w:shd w:val="clear" w:color="auto" w:fill="FFFFFF"/>
        <w:spacing w:line="360" w:lineRule="auto"/>
        <w:jc w:val="center"/>
        <w:rPr>
          <w:rFonts w:hint="eastAsia" w:ascii="黑体" w:hAnsi="黑体" w:eastAsia="黑体"/>
          <w:kern w:val="0"/>
          <w:sz w:val="32"/>
          <w:szCs w:val="24"/>
          <w:lang w:val="ar-SA"/>
        </w:rPr>
      </w:pPr>
      <w:r>
        <w:rPr>
          <w:rFonts w:hint="default" w:eastAsia="Times New Roman"/>
          <w:kern w:val="0"/>
          <w:sz w:val="32"/>
          <w:szCs w:val="24"/>
          <w:lang w:val="en-US"/>
        </w:rPr>
        <w:br w:type="page"/>
      </w:r>
      <w:r>
        <w:rPr>
          <w:rFonts w:hint="eastAsia" w:ascii="黑体" w:hAnsi="黑体" w:eastAsia="黑体"/>
          <w:kern w:val="0"/>
          <w:sz w:val="32"/>
          <w:szCs w:val="24"/>
          <w:lang w:val="en-US"/>
        </w:rPr>
        <w:t>第一部分 单位概况</w:t>
      </w:r>
    </w:p>
    <w:p>
      <w:pPr>
        <w:spacing w:line="360" w:lineRule="auto"/>
        <w:ind w:firstLine="640"/>
        <w:rPr>
          <w:rFonts w:hint="default" w:eastAsia="Times New Roman"/>
          <w:sz w:val="32"/>
          <w:szCs w:val="24"/>
          <w:highlight w:val="none"/>
          <w:lang w:val="zh-CN"/>
        </w:rPr>
      </w:pPr>
      <w:r>
        <w:rPr>
          <w:rFonts w:hint="eastAsia" w:ascii="黑体" w:hAnsi="黑体" w:eastAsia="黑体"/>
          <w:sz w:val="32"/>
          <w:szCs w:val="24"/>
          <w:highlight w:val="none"/>
          <w:lang w:val="zh-CN"/>
        </w:rPr>
        <w:t>一、主要职能</w:t>
      </w:r>
    </w:p>
    <w:p>
      <w:pPr>
        <w:shd w:val="clear" w:color="auto" w:fill="FFFFFF"/>
        <w:spacing w:line="360" w:lineRule="auto"/>
        <w:ind w:firstLine="640"/>
        <w:rPr>
          <w:rFonts w:hint="default" w:ascii="仿宋_GB2312" w:hAnsi="仿宋_GB2312" w:eastAsia="仿宋_GB2312"/>
          <w:kern w:val="0"/>
          <w:sz w:val="32"/>
          <w:szCs w:val="24"/>
          <w:lang w:val="zh-CN"/>
        </w:rPr>
      </w:pPr>
      <w:r>
        <w:rPr>
          <w:rFonts w:hint="default" w:ascii="仿宋_GB2312" w:hAnsi="仿宋_GB2312" w:eastAsia="仿宋_GB2312"/>
          <w:kern w:val="0"/>
          <w:sz w:val="32"/>
          <w:szCs w:val="24"/>
          <w:lang w:val="zh-CN"/>
        </w:rPr>
        <w:t>（1）、贯彻执行国家、自治区和我市有关国民经济和社会发展、经济贸易、招商引资和经济技术协作、价格监督工作的方针、政策和法律、法规；编制全区国民经济和社会发展、招商引资和经济技术协作、价格监督工作中长期规划和年度计划，并组织实施</w:t>
      </w:r>
      <w:r>
        <w:rPr>
          <w:rFonts w:hint="eastAsia" w:ascii="仿宋_GB2312" w:hAnsi="仿宋_GB2312" w:eastAsia="仿宋_GB2312"/>
          <w:kern w:val="0"/>
          <w:sz w:val="32"/>
          <w:szCs w:val="24"/>
          <w:lang w:val="zh-CN"/>
        </w:rPr>
        <w:t>；</w:t>
      </w:r>
    </w:p>
    <w:p>
      <w:pPr>
        <w:shd w:val="clear" w:color="auto" w:fill="FFFFFF"/>
        <w:spacing w:line="360" w:lineRule="auto"/>
        <w:ind w:firstLine="640"/>
        <w:rPr>
          <w:rFonts w:hint="default" w:ascii="仿宋_GB2312" w:hAnsi="仿宋_GB2312" w:eastAsia="仿宋_GB2312"/>
          <w:kern w:val="0"/>
          <w:sz w:val="32"/>
          <w:szCs w:val="24"/>
          <w:lang w:val="zh-CN"/>
        </w:rPr>
      </w:pPr>
      <w:r>
        <w:rPr>
          <w:rFonts w:hint="default" w:ascii="仿宋_GB2312" w:hAnsi="仿宋_GB2312" w:eastAsia="仿宋_GB2312"/>
          <w:kern w:val="0"/>
          <w:sz w:val="32"/>
          <w:szCs w:val="24"/>
          <w:lang w:val="zh-CN"/>
        </w:rPr>
        <w:t>（2）、统筹协调全区经济社会发展，监测宏观经济运行和社会发展状况，研究分析区内经济发展形势，承担预测、预警和信息引导的职责；提出促进国民经济发展、价格总水平调控和优化经济结构的目标、政策和建议；受区人民政府委托向区人大提交国民经济和社会发展计划的报告</w:t>
      </w:r>
      <w:r>
        <w:rPr>
          <w:rFonts w:hint="eastAsia" w:ascii="仿宋_GB2312" w:hAnsi="仿宋_GB2312" w:eastAsia="仿宋_GB2312"/>
          <w:kern w:val="0"/>
          <w:sz w:val="32"/>
          <w:szCs w:val="24"/>
          <w:lang w:val="zh-CN"/>
        </w:rPr>
        <w:t>；</w:t>
      </w:r>
    </w:p>
    <w:p>
      <w:pPr>
        <w:shd w:val="clear" w:color="auto" w:fill="FFFFFF"/>
        <w:spacing w:line="360" w:lineRule="auto"/>
        <w:ind w:firstLine="640"/>
        <w:rPr>
          <w:rFonts w:hint="default" w:ascii="仿宋_GB2312" w:hAnsi="仿宋_GB2312" w:eastAsia="仿宋_GB2312"/>
          <w:kern w:val="0"/>
          <w:sz w:val="32"/>
          <w:szCs w:val="24"/>
          <w:lang w:val="zh-CN"/>
        </w:rPr>
      </w:pPr>
      <w:r>
        <w:rPr>
          <w:rFonts w:hint="default" w:ascii="仿宋_GB2312" w:hAnsi="仿宋_GB2312" w:eastAsia="仿宋_GB2312"/>
          <w:kern w:val="0"/>
          <w:sz w:val="32"/>
          <w:szCs w:val="24"/>
          <w:lang w:val="zh-CN"/>
        </w:rPr>
        <w:t>（3）、组织制定区域经济协调发展规划和政策，推进城乡统筹发展；推进产业结构战略性调整和升级，促进一、二、三产的协调发展，做好与国民经济和社会发展规划，计划的衔接平衡；推进西部大开发战略和相关政策的实施</w:t>
      </w:r>
      <w:r>
        <w:rPr>
          <w:rFonts w:hint="eastAsia" w:ascii="仿宋_GB2312" w:hAnsi="仿宋_GB2312" w:eastAsia="仿宋_GB2312"/>
          <w:kern w:val="0"/>
          <w:sz w:val="32"/>
          <w:szCs w:val="24"/>
          <w:lang w:val="zh-CN"/>
        </w:rPr>
        <w:t>；</w:t>
      </w:r>
    </w:p>
    <w:p>
      <w:pPr>
        <w:shd w:val="clear" w:color="auto" w:fill="FFFFFF"/>
        <w:spacing w:line="360" w:lineRule="auto"/>
        <w:ind w:firstLine="640"/>
        <w:rPr>
          <w:rFonts w:hint="default" w:ascii="仿宋_GB2312" w:hAnsi="仿宋_GB2312" w:eastAsia="仿宋_GB2312"/>
          <w:kern w:val="0"/>
          <w:sz w:val="32"/>
          <w:szCs w:val="24"/>
          <w:lang w:val="zh-CN"/>
        </w:rPr>
      </w:pPr>
      <w:r>
        <w:rPr>
          <w:rFonts w:hint="default" w:ascii="仿宋_GB2312" w:hAnsi="仿宋_GB2312" w:eastAsia="仿宋_GB2312"/>
          <w:kern w:val="0"/>
          <w:sz w:val="32"/>
          <w:szCs w:val="24"/>
          <w:lang w:val="zh-CN"/>
        </w:rPr>
        <w:t>（4）、规划重大建设项目和生产力布局的主要责任，研究提出全社会固定资产投资总规模和投资结构的目标政策及措施；编制下达固定资产投资计划，重点项目建设计划和前期项目计划；负责重大项目的管理和组织协调；安排区财政预算内建设资金，引导社会投资方向；按照管理权限，负责审核上报、审批、核准、备案固定资产投资项目；组织实施固定资产投资项目节能评估审查工作；指导和协调全区招投标工作；负责建设项目督促检查推进工作</w:t>
      </w:r>
      <w:r>
        <w:rPr>
          <w:rFonts w:hint="eastAsia" w:ascii="仿宋_GB2312" w:hAnsi="仿宋_GB2312" w:eastAsia="仿宋_GB2312"/>
          <w:kern w:val="0"/>
          <w:sz w:val="32"/>
          <w:szCs w:val="24"/>
          <w:lang w:val="zh-CN"/>
        </w:rPr>
        <w:t>；</w:t>
      </w:r>
    </w:p>
    <w:p>
      <w:pPr>
        <w:shd w:val="clear" w:color="auto" w:fill="FFFFFF"/>
        <w:spacing w:line="360" w:lineRule="auto"/>
        <w:ind w:firstLine="640"/>
        <w:rPr>
          <w:rFonts w:hint="default" w:ascii="仿宋_GB2312" w:hAnsi="仿宋_GB2312" w:eastAsia="仿宋_GB2312"/>
          <w:kern w:val="0"/>
          <w:sz w:val="32"/>
          <w:szCs w:val="24"/>
          <w:lang w:val="zh-CN"/>
        </w:rPr>
      </w:pPr>
      <w:r>
        <w:rPr>
          <w:rFonts w:hint="default" w:ascii="仿宋_GB2312" w:hAnsi="仿宋_GB2312" w:eastAsia="仿宋_GB2312"/>
          <w:kern w:val="0"/>
          <w:sz w:val="32"/>
          <w:szCs w:val="24"/>
          <w:lang w:val="zh-CN"/>
        </w:rPr>
        <w:t>（5）、组织实施经济和信息化领域技术进步及自主创新的政策措施；研究和规划技术改造项目投资方向和布局，引导企业、金融机构和社会资金的投向；推动技术创新、技术改造和产学研究相结合，推进相关科研成果产业化；负责技术改造、投资项目审核上报、备案工作；组织实施新产品开发、新技术推广和奖励工作</w:t>
      </w:r>
      <w:r>
        <w:rPr>
          <w:rFonts w:hint="eastAsia" w:ascii="仿宋_GB2312" w:hAnsi="仿宋_GB2312" w:eastAsia="仿宋_GB2312"/>
          <w:kern w:val="0"/>
          <w:sz w:val="32"/>
          <w:szCs w:val="24"/>
          <w:lang w:val="zh-CN"/>
        </w:rPr>
        <w:t>；</w:t>
      </w:r>
    </w:p>
    <w:p>
      <w:pPr>
        <w:shd w:val="clear" w:color="auto" w:fill="FFFFFF"/>
        <w:spacing w:line="360" w:lineRule="auto"/>
        <w:ind w:firstLine="640"/>
        <w:rPr>
          <w:rFonts w:hint="default" w:ascii="仿宋_GB2312" w:hAnsi="仿宋_GB2312" w:eastAsia="仿宋_GB2312"/>
          <w:kern w:val="0"/>
          <w:sz w:val="32"/>
          <w:szCs w:val="24"/>
          <w:lang w:val="zh-CN"/>
        </w:rPr>
      </w:pPr>
      <w:r>
        <w:rPr>
          <w:rFonts w:hint="default" w:ascii="仿宋_GB2312" w:hAnsi="仿宋_GB2312" w:eastAsia="仿宋_GB2312"/>
          <w:kern w:val="0"/>
          <w:sz w:val="32"/>
          <w:szCs w:val="24"/>
          <w:lang w:val="zh-CN"/>
        </w:rPr>
        <w:t>（6）、落实和推进中小企业发展的相关政策措施；</w:t>
      </w:r>
    </w:p>
    <w:p>
      <w:pPr>
        <w:shd w:val="clear" w:color="auto" w:fill="FFFFFF"/>
        <w:spacing w:line="360" w:lineRule="auto"/>
        <w:ind w:firstLine="640"/>
        <w:rPr>
          <w:rFonts w:hint="default" w:ascii="仿宋_GB2312" w:hAnsi="仿宋_GB2312" w:eastAsia="仿宋_GB2312"/>
          <w:kern w:val="0"/>
          <w:sz w:val="32"/>
          <w:szCs w:val="24"/>
          <w:lang w:val="zh-CN"/>
        </w:rPr>
      </w:pPr>
      <w:r>
        <w:rPr>
          <w:rFonts w:hint="default" w:ascii="仿宋_GB2312" w:hAnsi="仿宋_GB2312" w:eastAsia="仿宋_GB2312"/>
          <w:kern w:val="0"/>
          <w:sz w:val="32"/>
          <w:szCs w:val="24"/>
          <w:lang w:val="zh-CN"/>
        </w:rPr>
        <w:t>（7）、负责全社会节能减排综合协调工作；组织、协调、参与、推进招商引资和经济技术协作交流活动；</w:t>
      </w:r>
    </w:p>
    <w:p>
      <w:pPr>
        <w:shd w:val="clear" w:color="auto" w:fill="FFFFFF"/>
        <w:spacing w:line="360" w:lineRule="auto"/>
        <w:ind w:firstLine="640"/>
        <w:rPr>
          <w:rFonts w:hint="default" w:ascii="仿宋_GB2312" w:hAnsi="仿宋_GB2312" w:eastAsia="仿宋_GB2312"/>
          <w:kern w:val="0"/>
          <w:sz w:val="32"/>
          <w:szCs w:val="24"/>
          <w:lang w:val="zh-CN"/>
        </w:rPr>
      </w:pPr>
      <w:r>
        <w:rPr>
          <w:rFonts w:hint="default" w:ascii="仿宋_GB2312" w:hAnsi="仿宋_GB2312" w:eastAsia="仿宋_GB2312"/>
          <w:kern w:val="0"/>
          <w:sz w:val="32"/>
          <w:szCs w:val="24"/>
          <w:lang w:val="zh-CN"/>
        </w:rPr>
        <w:t>（8）、组织实施国家、自治区和乌鲁木齐市的价格调整方案，组织实施价格监督检查工作，依法查处价格违法和价格垄断等行为；</w:t>
      </w:r>
    </w:p>
    <w:p>
      <w:pPr>
        <w:shd w:val="clear" w:color="auto" w:fill="FFFFFF"/>
        <w:spacing w:line="360" w:lineRule="auto"/>
        <w:ind w:firstLine="640"/>
        <w:rPr>
          <w:rFonts w:hint="default" w:ascii="仿宋_GB2312" w:hAnsi="仿宋_GB2312" w:eastAsia="仿宋_GB2312"/>
          <w:kern w:val="0"/>
          <w:sz w:val="32"/>
          <w:szCs w:val="24"/>
          <w:lang w:val="zh-CN"/>
        </w:rPr>
      </w:pPr>
      <w:r>
        <w:rPr>
          <w:rFonts w:hint="default" w:ascii="仿宋_GB2312" w:hAnsi="仿宋_GB2312" w:eastAsia="仿宋_GB2312"/>
          <w:kern w:val="0"/>
          <w:sz w:val="32"/>
          <w:szCs w:val="24"/>
          <w:lang w:val="zh-CN"/>
        </w:rPr>
        <w:t>（9）、负责安全供用电行为的监督管理及电力设施保护工作；</w:t>
      </w:r>
    </w:p>
    <w:p>
      <w:pPr>
        <w:shd w:val="clear" w:color="auto" w:fill="FFFFFF"/>
        <w:spacing w:line="360" w:lineRule="auto"/>
        <w:ind w:firstLine="640"/>
        <w:rPr>
          <w:rFonts w:hint="default" w:ascii="仿宋_GB2312" w:hAnsi="仿宋_GB2312" w:eastAsia="仿宋_GB2312"/>
          <w:kern w:val="0"/>
          <w:sz w:val="32"/>
          <w:szCs w:val="24"/>
          <w:lang w:val="zh-CN"/>
        </w:rPr>
      </w:pPr>
      <w:r>
        <w:rPr>
          <w:rFonts w:hint="default" w:ascii="仿宋_GB2312" w:hAnsi="仿宋_GB2312" w:eastAsia="仿宋_GB2312"/>
          <w:kern w:val="0"/>
          <w:sz w:val="32"/>
          <w:szCs w:val="24"/>
          <w:lang w:val="zh-CN"/>
        </w:rPr>
        <w:t>（10）、承办区委、区人民政府交办的其他事项</w:t>
      </w:r>
      <w:r>
        <w:rPr>
          <w:rFonts w:hint="eastAsia" w:ascii="仿宋_GB2312" w:hAnsi="仿宋_GB2312" w:eastAsia="仿宋_GB2312"/>
          <w:kern w:val="0"/>
          <w:sz w:val="32"/>
          <w:szCs w:val="24"/>
          <w:lang w:val="zh-CN"/>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乌鲁木齐市米东区发展和改革委员会（工业和信息化局）2022年度，实有人数93人，其中：在职人员27人，离休人员0人，退休人员66人。</w:t>
      </w:r>
    </w:p>
    <w:p>
      <w:pPr>
        <w:shd w:val="clear" w:color="auto" w:fill="FFFFFF"/>
        <w:spacing w:line="360" w:lineRule="auto"/>
        <w:ind w:firstLine="640"/>
        <w:rPr>
          <w:rFonts w:hint="default" w:eastAsia="Times New Roman"/>
          <w:kern w:val="0"/>
          <w:sz w:val="24"/>
          <w:szCs w:val="24"/>
          <w:highlight w:val="none"/>
          <w:lang w:val="ar-SA"/>
        </w:rPr>
      </w:pPr>
      <w:r>
        <w:rPr>
          <w:rFonts w:hint="eastAsia" w:ascii="仿宋_GB2312" w:hAnsi="仿宋_GB2312" w:eastAsia="仿宋_GB2312"/>
          <w:kern w:val="0"/>
          <w:sz w:val="32"/>
          <w:szCs w:val="24"/>
          <w:lang w:val="en-US"/>
        </w:rPr>
        <w:t>从部门决算单位构成看，乌鲁木齐市米东区发展和改革委员会（工业和信息化局）部门决算包括：乌鲁木齐市米东区发展和改革委员会（工业和信息化局）</w:t>
      </w:r>
      <w:r>
        <w:rPr>
          <w:rFonts w:hint="eastAsia" w:ascii="仿宋_GB2312" w:hAnsi="仿宋_GB2312" w:eastAsia="仿宋_GB2312"/>
          <w:kern w:val="0"/>
          <w:sz w:val="32"/>
          <w:szCs w:val="24"/>
          <w:lang w:val="zh-CN"/>
        </w:rPr>
        <w:t>决算。单位无下属预算单位</w:t>
      </w:r>
      <w:r>
        <w:rPr>
          <w:rFonts w:hint="eastAsia" w:ascii="仿宋_GB2312" w:hAnsi="仿宋_GB2312" w:eastAsia="仿宋_GB2312"/>
          <w:kern w:val="0"/>
          <w:sz w:val="32"/>
          <w:szCs w:val="24"/>
          <w:highlight w:val="none"/>
          <w:lang w:val="zh-CN"/>
        </w:rPr>
        <w:t>，下设</w:t>
      </w:r>
      <w:r>
        <w:rPr>
          <w:rFonts w:hint="eastAsia" w:ascii="仿宋_GB2312" w:hAnsi="仿宋_GB2312" w:eastAsia="仿宋_GB2312"/>
          <w:kern w:val="0"/>
          <w:sz w:val="32"/>
          <w:szCs w:val="24"/>
          <w:highlight w:val="none"/>
          <w:lang w:val="en-US" w:eastAsia="zh-CN"/>
        </w:rPr>
        <w:t>8</w:t>
      </w:r>
      <w:r>
        <w:rPr>
          <w:rFonts w:hint="eastAsia" w:ascii="仿宋_GB2312" w:hAnsi="仿宋_GB2312" w:eastAsia="仿宋_GB2312"/>
          <w:kern w:val="0"/>
          <w:sz w:val="32"/>
          <w:szCs w:val="24"/>
          <w:highlight w:val="none"/>
          <w:lang w:val="zh-CN"/>
        </w:rPr>
        <w:t>个科室，分别是：</w:t>
      </w:r>
      <w:r>
        <w:rPr>
          <w:rFonts w:hint="eastAsia" w:ascii="仿宋_GB2312" w:hAnsi="仿宋_GB2312" w:eastAsia="仿宋_GB2312"/>
          <w:kern w:val="0"/>
          <w:sz w:val="32"/>
          <w:szCs w:val="24"/>
          <w:highlight w:val="none"/>
          <w:lang w:val="en-US"/>
        </w:rPr>
        <w:t>党政办、财务科、经济运行科、物价管理办公室、项目科、能源科、综合科，安全科</w:t>
      </w:r>
      <w:r>
        <w:rPr>
          <w:rFonts w:hint="eastAsia" w:ascii="仿宋_GB2312" w:hAnsi="仿宋_GB2312" w:eastAsia="仿宋_GB2312"/>
          <w:kern w:val="0"/>
          <w:sz w:val="32"/>
          <w:szCs w:val="24"/>
          <w:highlight w:val="none"/>
          <w:lang w:val="zh-CN"/>
        </w:rPr>
        <w:t>。</w:t>
      </w:r>
    </w:p>
    <w:p>
      <w:pPr>
        <w:shd w:val="clear" w:color="auto" w:fill="FFFFFF"/>
        <w:spacing w:before="100" w:after="240"/>
        <w:jc w:val="center"/>
        <w:rPr>
          <w:rFonts w:hint="default" w:eastAsia="Times New Roman"/>
          <w:kern w:val="0"/>
          <w:sz w:val="28"/>
          <w:szCs w:val="24"/>
          <w:lang w:val="ar-SA"/>
        </w:rPr>
      </w:pPr>
      <w:r>
        <w:rPr>
          <w:rFonts w:hint="eastAsia" w:ascii="黑体" w:hAnsi="黑体" w:eastAsia="黑体"/>
          <w:kern w:val="0"/>
          <w:sz w:val="32"/>
          <w:szCs w:val="24"/>
          <w:lang w:val="en-US"/>
        </w:rPr>
        <w:t>第二部分 部门决算情况说明</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szCs w:val="24"/>
          <w:highlight w:val="none"/>
          <w:lang w:val="en-US"/>
        </w:rPr>
      </w:pPr>
      <w:r>
        <w:rPr>
          <w:rFonts w:hint="eastAsia" w:ascii="仿宋_GB2312" w:hAnsi="仿宋_GB2312" w:eastAsia="仿宋_GB2312"/>
          <w:kern w:val="0"/>
          <w:sz w:val="32"/>
          <w:szCs w:val="24"/>
          <w:lang w:val="en-US"/>
        </w:rPr>
        <w:t>2022年度收入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809.05万元，</w:t>
      </w:r>
      <w:r>
        <w:rPr>
          <w:rFonts w:hint="eastAsia" w:ascii="仿宋_GB2312" w:hAnsi="仿宋_GB2312" w:eastAsia="仿宋_GB2312"/>
          <w:sz w:val="32"/>
          <w:szCs w:val="24"/>
          <w:lang w:val="en-US"/>
        </w:rPr>
        <w:t>其中：本年收入合计</w:t>
      </w:r>
      <w:r>
        <w:rPr>
          <w:rFonts w:hint="eastAsia" w:ascii="仿宋_GB2312" w:hAnsi="仿宋_GB2312" w:eastAsia="仿宋_GB2312"/>
          <w:kern w:val="0"/>
          <w:sz w:val="32"/>
          <w:szCs w:val="24"/>
          <w:lang w:val="en-US"/>
        </w:rPr>
        <w:t>772.14</w:t>
      </w:r>
      <w:r>
        <w:rPr>
          <w:rFonts w:hint="eastAsia" w:ascii="仿宋_GB2312" w:hAnsi="仿宋_GB2312" w:eastAsia="仿宋_GB2312"/>
          <w:sz w:val="32"/>
          <w:szCs w:val="24"/>
          <w:lang w:val="en-US"/>
        </w:rPr>
        <w:t>万元，使用非财政拨款结余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万元，年初结转和结余</w:t>
      </w:r>
      <w:r>
        <w:rPr>
          <w:rFonts w:hint="eastAsia" w:ascii="仿宋_GB2312" w:hAnsi="仿宋_GB2312" w:eastAsia="仿宋_GB2312"/>
          <w:kern w:val="0"/>
          <w:sz w:val="32"/>
          <w:szCs w:val="24"/>
          <w:lang w:val="en-US"/>
        </w:rPr>
        <w:t>36.91</w:t>
      </w:r>
      <w:r>
        <w:rPr>
          <w:rFonts w:hint="eastAsia" w:ascii="仿宋_GB2312" w:hAnsi="仿宋_GB2312" w:eastAsia="仿宋_GB2312"/>
          <w:sz w:val="32"/>
          <w:szCs w:val="24"/>
          <w:lang w:val="en-US"/>
        </w:rPr>
        <w:t>万元。收入总计</w:t>
      </w:r>
      <w:r>
        <w:rPr>
          <w:rFonts w:hint="eastAsia" w:ascii="仿宋_GB2312" w:hAnsi="仿宋_GB2312" w:eastAsia="仿宋_GB2312"/>
          <w:kern w:val="0"/>
          <w:sz w:val="32"/>
          <w:szCs w:val="24"/>
          <w:lang w:val="en-US"/>
        </w:rPr>
        <w:t>与上年相比，减少965.03万元，下降54.40%，</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w:t>
      </w:r>
      <w:r>
        <w:rPr>
          <w:rFonts w:hint="eastAsia" w:ascii="仿宋_GB2312" w:hAnsi="仿宋_GB2312" w:eastAsia="仿宋_GB2312"/>
          <w:kern w:val="0"/>
          <w:sz w:val="32"/>
          <w:szCs w:val="24"/>
          <w:highlight w:val="none"/>
          <w:lang w:val="en-US"/>
        </w:rPr>
        <w:t>价格认证工作经费</w:t>
      </w:r>
      <w:r>
        <w:rPr>
          <w:rFonts w:hint="eastAsia" w:ascii="仿宋_GB2312" w:hAnsi="仿宋_GB2312" w:eastAsia="仿宋_GB2312"/>
          <w:kern w:val="0"/>
          <w:sz w:val="32"/>
          <w:szCs w:val="24"/>
          <w:highlight w:val="none"/>
          <w:lang w:val="en-US" w:eastAsia="zh-CN"/>
        </w:rPr>
        <w:t>、</w:t>
      </w:r>
      <w:r>
        <w:rPr>
          <w:rFonts w:hint="eastAsia" w:ascii="仿宋_GB2312" w:hAnsi="仿宋_GB2312" w:eastAsia="仿宋_GB2312"/>
          <w:kern w:val="0"/>
          <w:sz w:val="32"/>
          <w:szCs w:val="24"/>
          <w:highlight w:val="none"/>
          <w:lang w:val="en-US"/>
        </w:rPr>
        <w:t>区域经济运行分析平台</w:t>
      </w:r>
      <w:r>
        <w:rPr>
          <w:rFonts w:hint="eastAsia" w:ascii="仿宋_GB2312" w:hAnsi="仿宋_GB2312" w:eastAsia="仿宋_GB2312"/>
          <w:kern w:val="0"/>
          <w:sz w:val="32"/>
          <w:szCs w:val="24"/>
          <w:highlight w:val="none"/>
          <w:lang w:val="en-US" w:eastAsia="zh-CN"/>
        </w:rPr>
        <w:t>建设、访惠聚工作队员补贴、</w:t>
      </w:r>
      <w:r>
        <w:rPr>
          <w:rFonts w:hint="eastAsia" w:ascii="仿宋_GB2312" w:hAnsi="仿宋_GB2312" w:eastAsia="仿宋_GB2312"/>
          <w:kern w:val="0"/>
          <w:sz w:val="32"/>
          <w:szCs w:val="24"/>
          <w:highlight w:val="none"/>
          <w:lang w:val="en-US"/>
        </w:rPr>
        <w:t>自治区工业企业节能减排</w:t>
      </w:r>
      <w:r>
        <w:rPr>
          <w:rFonts w:hint="eastAsia" w:ascii="仿宋_GB2312" w:hAnsi="仿宋_GB2312" w:eastAsia="仿宋_GB2312"/>
          <w:kern w:val="0"/>
          <w:sz w:val="32"/>
          <w:szCs w:val="24"/>
          <w:highlight w:val="none"/>
          <w:lang w:val="en-US" w:eastAsia="zh-CN"/>
        </w:rPr>
        <w:t>专项</w:t>
      </w:r>
      <w:r>
        <w:rPr>
          <w:rFonts w:hint="eastAsia" w:ascii="仿宋_GB2312" w:hAnsi="仿宋_GB2312" w:eastAsia="仿宋_GB2312"/>
          <w:kern w:val="0"/>
          <w:sz w:val="32"/>
          <w:szCs w:val="24"/>
          <w:highlight w:val="none"/>
          <w:lang w:val="en-US"/>
        </w:rPr>
        <w:t>资金</w:t>
      </w:r>
      <w:r>
        <w:rPr>
          <w:rFonts w:hint="eastAsia" w:ascii="仿宋_GB2312" w:hAnsi="仿宋_GB2312" w:eastAsia="仿宋_GB2312"/>
          <w:kern w:val="0"/>
          <w:sz w:val="32"/>
          <w:szCs w:val="24"/>
          <w:highlight w:val="none"/>
          <w:lang w:val="en-US" w:eastAsia="zh-CN"/>
        </w:rPr>
        <w:t>、</w:t>
      </w:r>
      <w:r>
        <w:rPr>
          <w:rFonts w:hint="eastAsia" w:ascii="仿宋_GB2312" w:hAnsi="仿宋_GB2312" w:eastAsia="仿宋_GB2312"/>
          <w:kern w:val="0"/>
          <w:sz w:val="32"/>
          <w:szCs w:val="24"/>
          <w:highlight w:val="none"/>
          <w:lang w:val="en-US"/>
        </w:rPr>
        <w:t>自治区战略性新兴产业资金</w:t>
      </w:r>
      <w:r>
        <w:rPr>
          <w:rFonts w:hint="eastAsia" w:ascii="仿宋_GB2312" w:hAnsi="仿宋_GB2312" w:eastAsia="仿宋_GB2312"/>
          <w:kern w:val="0"/>
          <w:sz w:val="32"/>
          <w:szCs w:val="24"/>
          <w:highlight w:val="none"/>
          <w:lang w:val="en-US" w:eastAsia="zh-CN"/>
        </w:rPr>
        <w:t>、羊毛工一般火区灭火项目等项目资金减少，收入减少</w:t>
      </w:r>
      <w:r>
        <w:rPr>
          <w:rFonts w:hint="eastAsia" w:ascii="仿宋_GB2312" w:hAnsi="仿宋_GB2312" w:eastAsia="仿宋_GB2312"/>
          <w:kern w:val="0"/>
          <w:sz w:val="32"/>
          <w:szCs w:val="24"/>
          <w:highlight w:val="none"/>
          <w:lang w:val="en-US"/>
        </w:rPr>
        <w:t>。</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sz w:val="32"/>
          <w:szCs w:val="24"/>
          <w:lang w:val="en-US"/>
        </w:rPr>
        <w:t>本年支出总计</w:t>
      </w:r>
      <w:r>
        <w:rPr>
          <w:rFonts w:hint="eastAsia" w:ascii="仿宋_GB2312" w:hAnsi="仿宋_GB2312" w:eastAsia="仿宋_GB2312"/>
          <w:kern w:val="0"/>
          <w:sz w:val="32"/>
          <w:szCs w:val="24"/>
          <w:lang w:val="en-US"/>
        </w:rPr>
        <w:t>809.05万元，</w:t>
      </w:r>
      <w:r>
        <w:rPr>
          <w:rFonts w:hint="eastAsia" w:ascii="仿宋_GB2312" w:hAnsi="仿宋_GB2312" w:eastAsia="仿宋_GB2312"/>
          <w:sz w:val="32"/>
          <w:szCs w:val="24"/>
          <w:lang w:val="en-US"/>
        </w:rPr>
        <w:t>其中：本年支出合计</w:t>
      </w:r>
      <w:r>
        <w:rPr>
          <w:rFonts w:hint="eastAsia" w:ascii="仿宋_GB2312" w:hAnsi="仿宋_GB2312" w:eastAsia="仿宋_GB2312"/>
          <w:kern w:val="0"/>
          <w:sz w:val="32"/>
          <w:szCs w:val="24"/>
          <w:lang w:val="en-US"/>
        </w:rPr>
        <w:t>795.92</w:t>
      </w:r>
      <w:r>
        <w:rPr>
          <w:rFonts w:hint="eastAsia" w:ascii="仿宋_GB2312" w:hAnsi="仿宋_GB2312" w:eastAsia="仿宋_GB2312"/>
          <w:sz w:val="32"/>
          <w:szCs w:val="24"/>
          <w:lang w:val="en-US"/>
        </w:rPr>
        <w:t>万元，结余分配</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万元，年末结转和结余</w:t>
      </w:r>
      <w:r>
        <w:rPr>
          <w:rFonts w:hint="eastAsia" w:ascii="仿宋_GB2312" w:hAnsi="仿宋_GB2312" w:eastAsia="仿宋_GB2312"/>
          <w:kern w:val="0"/>
          <w:sz w:val="32"/>
          <w:szCs w:val="24"/>
          <w:lang w:val="en-US"/>
        </w:rPr>
        <w:t>13.13</w:t>
      </w:r>
      <w:r>
        <w:rPr>
          <w:rFonts w:hint="eastAsia" w:ascii="仿宋_GB2312" w:hAnsi="仿宋_GB2312" w:eastAsia="仿宋_GB2312"/>
          <w:sz w:val="32"/>
          <w:szCs w:val="24"/>
          <w:lang w:val="en-US"/>
        </w:rPr>
        <w:t>万元。支出总</w:t>
      </w:r>
      <w:r>
        <w:rPr>
          <w:rFonts w:hint="eastAsia" w:ascii="仿宋_GB2312" w:hAnsi="仿宋_GB2312" w:eastAsia="仿宋_GB2312"/>
          <w:sz w:val="32"/>
          <w:szCs w:val="24"/>
          <w:highlight w:val="none"/>
          <w:lang w:val="en-US"/>
        </w:rPr>
        <w:t>计</w:t>
      </w:r>
      <w:r>
        <w:rPr>
          <w:rFonts w:hint="eastAsia" w:ascii="仿宋_GB2312" w:hAnsi="仿宋_GB2312" w:eastAsia="仿宋_GB2312"/>
          <w:kern w:val="0"/>
          <w:sz w:val="32"/>
          <w:szCs w:val="24"/>
          <w:highlight w:val="none"/>
          <w:lang w:val="en-US"/>
        </w:rPr>
        <w:t>与上年相比，减少965.03万元，下降54.40%，主要原因是：</w:t>
      </w:r>
      <w:r>
        <w:rPr>
          <w:rFonts w:hint="eastAsia" w:ascii="仿宋_GB2312" w:hAnsi="仿宋_GB2312" w:eastAsia="仿宋_GB2312"/>
          <w:kern w:val="0"/>
          <w:sz w:val="32"/>
          <w:szCs w:val="24"/>
          <w:highlight w:val="none"/>
          <w:lang w:val="en-US" w:eastAsia="zh-CN"/>
        </w:rPr>
        <w:t>本年</w:t>
      </w:r>
      <w:r>
        <w:rPr>
          <w:rFonts w:hint="eastAsia" w:ascii="仿宋_GB2312" w:hAnsi="仿宋_GB2312" w:eastAsia="仿宋_GB2312"/>
          <w:kern w:val="0"/>
          <w:sz w:val="32"/>
          <w:szCs w:val="24"/>
          <w:highlight w:val="none"/>
          <w:lang w:val="en-US"/>
        </w:rPr>
        <w:t>价格认证工作经费</w:t>
      </w:r>
      <w:r>
        <w:rPr>
          <w:rFonts w:hint="eastAsia" w:ascii="仿宋_GB2312" w:hAnsi="仿宋_GB2312" w:eastAsia="仿宋_GB2312"/>
          <w:kern w:val="0"/>
          <w:sz w:val="32"/>
          <w:szCs w:val="24"/>
          <w:highlight w:val="none"/>
          <w:lang w:val="en-US" w:eastAsia="zh-CN"/>
        </w:rPr>
        <w:t>、</w:t>
      </w:r>
      <w:r>
        <w:rPr>
          <w:rFonts w:hint="eastAsia" w:ascii="仿宋_GB2312" w:hAnsi="仿宋_GB2312" w:eastAsia="仿宋_GB2312"/>
          <w:kern w:val="0"/>
          <w:sz w:val="32"/>
          <w:szCs w:val="24"/>
          <w:highlight w:val="none"/>
          <w:lang w:val="en-US"/>
        </w:rPr>
        <w:t>区域经济运行分析平台</w:t>
      </w:r>
      <w:r>
        <w:rPr>
          <w:rFonts w:hint="eastAsia" w:ascii="仿宋_GB2312" w:hAnsi="仿宋_GB2312" w:eastAsia="仿宋_GB2312"/>
          <w:kern w:val="0"/>
          <w:sz w:val="32"/>
          <w:szCs w:val="24"/>
          <w:highlight w:val="none"/>
          <w:lang w:val="en-US" w:eastAsia="zh-CN"/>
        </w:rPr>
        <w:t>建设、访惠聚工作队员补贴、</w:t>
      </w:r>
      <w:r>
        <w:rPr>
          <w:rFonts w:hint="eastAsia" w:ascii="仿宋_GB2312" w:hAnsi="仿宋_GB2312" w:eastAsia="仿宋_GB2312"/>
          <w:kern w:val="0"/>
          <w:sz w:val="32"/>
          <w:szCs w:val="24"/>
          <w:highlight w:val="none"/>
          <w:lang w:val="en-US"/>
        </w:rPr>
        <w:t>自治区工业企业节能减排</w:t>
      </w:r>
      <w:r>
        <w:rPr>
          <w:rFonts w:hint="eastAsia" w:ascii="仿宋_GB2312" w:hAnsi="仿宋_GB2312" w:eastAsia="仿宋_GB2312"/>
          <w:kern w:val="0"/>
          <w:sz w:val="32"/>
          <w:szCs w:val="24"/>
          <w:highlight w:val="none"/>
          <w:lang w:val="en-US" w:eastAsia="zh-CN"/>
        </w:rPr>
        <w:t>专项</w:t>
      </w:r>
      <w:r>
        <w:rPr>
          <w:rFonts w:hint="eastAsia" w:ascii="仿宋_GB2312" w:hAnsi="仿宋_GB2312" w:eastAsia="仿宋_GB2312"/>
          <w:kern w:val="0"/>
          <w:sz w:val="32"/>
          <w:szCs w:val="24"/>
          <w:highlight w:val="none"/>
          <w:lang w:val="en-US"/>
        </w:rPr>
        <w:t>资金</w:t>
      </w:r>
      <w:r>
        <w:rPr>
          <w:rFonts w:hint="eastAsia" w:ascii="仿宋_GB2312" w:hAnsi="仿宋_GB2312" w:eastAsia="仿宋_GB2312"/>
          <w:kern w:val="0"/>
          <w:sz w:val="32"/>
          <w:szCs w:val="24"/>
          <w:highlight w:val="none"/>
          <w:lang w:val="en-US" w:eastAsia="zh-CN"/>
        </w:rPr>
        <w:t>、</w:t>
      </w:r>
      <w:r>
        <w:rPr>
          <w:rFonts w:hint="eastAsia" w:ascii="仿宋_GB2312" w:hAnsi="仿宋_GB2312" w:eastAsia="仿宋_GB2312"/>
          <w:kern w:val="0"/>
          <w:sz w:val="32"/>
          <w:szCs w:val="24"/>
          <w:highlight w:val="none"/>
          <w:lang w:val="en-US"/>
        </w:rPr>
        <w:t>自治区战略性新兴产业资金</w:t>
      </w:r>
      <w:r>
        <w:rPr>
          <w:rFonts w:hint="eastAsia" w:ascii="仿宋_GB2312" w:hAnsi="仿宋_GB2312" w:eastAsia="仿宋_GB2312"/>
          <w:kern w:val="0"/>
          <w:sz w:val="32"/>
          <w:szCs w:val="24"/>
          <w:highlight w:val="none"/>
          <w:lang w:val="en-US" w:eastAsia="zh-CN"/>
        </w:rPr>
        <w:t>、羊毛工一般火区灭火项目等项目资金减少，支出减少</w:t>
      </w:r>
      <w:r>
        <w:rPr>
          <w:rFonts w:hint="eastAsia" w:ascii="仿宋_GB2312" w:hAnsi="仿宋_GB2312" w:eastAsia="仿宋_GB2312"/>
          <w:kern w:val="0"/>
          <w:sz w:val="32"/>
          <w:szCs w:val="24"/>
          <w:highlight w:val="none"/>
          <w:lang w:val="en-US"/>
        </w:rPr>
        <w:t>。</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二、收入决算情况说明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收入772.14万元，其中：财政拨款收入771.06万元，占99.86%；上级补助收入0.00万元，占0.00%；事业收入0.00万元，占0.00%；经营收入0.00万元，占0.00%；附属单位上缴收入0.00万元，占0.00%；其他收入1.08万元，占0.14%。</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三、支出决算情况说明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2022年度本年支出795.92万元，其中：基本支出765.26万元，占96.15%；项目支出30.66万元，占3.85%；上缴上级支出0.00万元，占0.00%；经营支出0.00万元，占0.00%；对附属单位补助支出0.00万元，占0.00%。</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szCs w:val="24"/>
          <w:highlight w:val="none"/>
          <w:lang w:val="en-US"/>
        </w:rPr>
      </w:pPr>
      <w:r>
        <w:rPr>
          <w:rFonts w:hint="eastAsia" w:ascii="仿宋_GB2312" w:hAnsi="仿宋_GB2312" w:eastAsia="仿宋_GB2312"/>
          <w:kern w:val="0"/>
          <w:sz w:val="32"/>
          <w:szCs w:val="24"/>
          <w:lang w:val="en-US"/>
        </w:rPr>
        <w:t>2022年度财政拨款收入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797.85万元，</w:t>
      </w:r>
      <w:r>
        <w:rPr>
          <w:rFonts w:hint="eastAsia" w:ascii="仿宋_GB2312" w:hAnsi="仿宋_GB2312" w:eastAsia="仿宋_GB2312"/>
          <w:sz w:val="32"/>
          <w:szCs w:val="24"/>
          <w:lang w:val="en-US"/>
        </w:rPr>
        <w:t>其中：年初财政拨款结转和结余</w:t>
      </w:r>
      <w:r>
        <w:rPr>
          <w:rFonts w:hint="eastAsia" w:ascii="仿宋_GB2312" w:hAnsi="仿宋_GB2312" w:eastAsia="仿宋_GB2312"/>
          <w:kern w:val="0"/>
          <w:sz w:val="32"/>
          <w:szCs w:val="24"/>
          <w:lang w:val="en-US"/>
        </w:rPr>
        <w:t>26.79</w:t>
      </w:r>
      <w:r>
        <w:rPr>
          <w:rFonts w:hint="eastAsia" w:ascii="仿宋_GB2312" w:hAnsi="仿宋_GB2312" w:eastAsia="仿宋_GB2312"/>
          <w:sz w:val="32"/>
          <w:szCs w:val="24"/>
          <w:lang w:val="en-US"/>
        </w:rPr>
        <w:t>万元，财政拨款本年收入</w:t>
      </w:r>
      <w:r>
        <w:rPr>
          <w:rFonts w:hint="eastAsia" w:ascii="仿宋_GB2312" w:hAnsi="仿宋_GB2312" w:eastAsia="仿宋_GB2312"/>
          <w:kern w:val="0"/>
          <w:sz w:val="32"/>
          <w:szCs w:val="24"/>
          <w:lang w:val="en-US"/>
        </w:rPr>
        <w:t>771.06</w:t>
      </w:r>
      <w:r>
        <w:rPr>
          <w:rFonts w:hint="eastAsia" w:ascii="仿宋_GB2312" w:hAnsi="仿宋_GB2312" w:eastAsia="仿宋_GB2312"/>
          <w:sz w:val="32"/>
          <w:szCs w:val="24"/>
          <w:lang w:val="en-US"/>
        </w:rPr>
        <w:t>万元。财政拨款收入总计</w:t>
      </w:r>
      <w:r>
        <w:rPr>
          <w:rFonts w:hint="eastAsia" w:ascii="仿宋_GB2312" w:hAnsi="仿宋_GB2312" w:eastAsia="仿宋_GB2312"/>
          <w:kern w:val="0"/>
          <w:sz w:val="32"/>
          <w:szCs w:val="24"/>
          <w:lang w:val="en-US"/>
        </w:rPr>
        <w:t>与上年相比，减少790.18万元，下降49.76%，</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w:t>
      </w:r>
      <w:r>
        <w:rPr>
          <w:rFonts w:hint="eastAsia" w:ascii="仿宋_GB2312" w:hAnsi="仿宋_GB2312" w:eastAsia="仿宋_GB2312"/>
          <w:kern w:val="0"/>
          <w:sz w:val="32"/>
          <w:szCs w:val="24"/>
          <w:highlight w:val="none"/>
          <w:lang w:val="en-US"/>
        </w:rPr>
        <w:t>价格认证工作经费</w:t>
      </w:r>
      <w:r>
        <w:rPr>
          <w:rFonts w:hint="eastAsia" w:ascii="仿宋_GB2312" w:hAnsi="仿宋_GB2312" w:eastAsia="仿宋_GB2312"/>
          <w:kern w:val="0"/>
          <w:sz w:val="32"/>
          <w:szCs w:val="24"/>
          <w:highlight w:val="none"/>
          <w:lang w:val="en-US" w:eastAsia="zh-CN"/>
        </w:rPr>
        <w:t>、</w:t>
      </w:r>
      <w:r>
        <w:rPr>
          <w:rFonts w:hint="eastAsia" w:ascii="仿宋_GB2312" w:hAnsi="仿宋_GB2312" w:eastAsia="仿宋_GB2312"/>
          <w:kern w:val="0"/>
          <w:sz w:val="32"/>
          <w:szCs w:val="24"/>
          <w:highlight w:val="none"/>
          <w:lang w:val="en-US"/>
        </w:rPr>
        <w:t>区域经济运行分析平台</w:t>
      </w:r>
      <w:r>
        <w:rPr>
          <w:rFonts w:hint="eastAsia" w:ascii="仿宋_GB2312" w:hAnsi="仿宋_GB2312" w:eastAsia="仿宋_GB2312"/>
          <w:kern w:val="0"/>
          <w:sz w:val="32"/>
          <w:szCs w:val="24"/>
          <w:highlight w:val="none"/>
          <w:lang w:val="en-US" w:eastAsia="zh-CN"/>
        </w:rPr>
        <w:t>建设、访惠聚工作队员补贴、</w:t>
      </w:r>
      <w:r>
        <w:rPr>
          <w:rFonts w:hint="eastAsia" w:ascii="仿宋_GB2312" w:hAnsi="仿宋_GB2312" w:eastAsia="仿宋_GB2312"/>
          <w:kern w:val="0"/>
          <w:sz w:val="32"/>
          <w:szCs w:val="24"/>
          <w:highlight w:val="none"/>
          <w:lang w:val="en-US"/>
        </w:rPr>
        <w:t>自治区工业企业节能减排</w:t>
      </w:r>
      <w:r>
        <w:rPr>
          <w:rFonts w:hint="eastAsia" w:ascii="仿宋_GB2312" w:hAnsi="仿宋_GB2312" w:eastAsia="仿宋_GB2312"/>
          <w:kern w:val="0"/>
          <w:sz w:val="32"/>
          <w:szCs w:val="24"/>
          <w:highlight w:val="none"/>
          <w:lang w:val="en-US" w:eastAsia="zh-CN"/>
        </w:rPr>
        <w:t>专项</w:t>
      </w:r>
      <w:r>
        <w:rPr>
          <w:rFonts w:hint="eastAsia" w:ascii="仿宋_GB2312" w:hAnsi="仿宋_GB2312" w:eastAsia="仿宋_GB2312"/>
          <w:kern w:val="0"/>
          <w:sz w:val="32"/>
          <w:szCs w:val="24"/>
          <w:highlight w:val="none"/>
          <w:lang w:val="en-US"/>
        </w:rPr>
        <w:t>资金</w:t>
      </w:r>
      <w:r>
        <w:rPr>
          <w:rFonts w:hint="eastAsia" w:ascii="仿宋_GB2312" w:hAnsi="仿宋_GB2312" w:eastAsia="仿宋_GB2312"/>
          <w:kern w:val="0"/>
          <w:sz w:val="32"/>
          <w:szCs w:val="24"/>
          <w:highlight w:val="none"/>
          <w:lang w:val="en-US" w:eastAsia="zh-CN"/>
        </w:rPr>
        <w:t>、</w:t>
      </w:r>
      <w:r>
        <w:rPr>
          <w:rFonts w:hint="eastAsia" w:ascii="仿宋_GB2312" w:hAnsi="仿宋_GB2312" w:eastAsia="仿宋_GB2312"/>
          <w:kern w:val="0"/>
          <w:sz w:val="32"/>
          <w:szCs w:val="24"/>
          <w:highlight w:val="none"/>
          <w:lang w:val="en-US"/>
        </w:rPr>
        <w:t>自治区战略性新兴产业资金</w:t>
      </w:r>
      <w:r>
        <w:rPr>
          <w:rFonts w:hint="eastAsia" w:ascii="仿宋_GB2312" w:hAnsi="仿宋_GB2312" w:eastAsia="仿宋_GB2312"/>
          <w:kern w:val="0"/>
          <w:sz w:val="32"/>
          <w:szCs w:val="24"/>
          <w:highlight w:val="none"/>
          <w:lang w:val="en-US" w:eastAsia="zh-CN"/>
        </w:rPr>
        <w:t>、羊毛工一般火区灭火项目等项目资金减少，收入减少</w:t>
      </w:r>
      <w:r>
        <w:rPr>
          <w:rFonts w:hint="eastAsia" w:ascii="仿宋_GB2312" w:hAnsi="仿宋_GB2312" w:eastAsia="仿宋_GB2312"/>
          <w:kern w:val="0"/>
          <w:sz w:val="32"/>
          <w:szCs w:val="24"/>
          <w:highlight w:val="none"/>
          <w:lang w:val="en-US"/>
        </w:rPr>
        <w:t>。</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797.85万元，</w:t>
      </w:r>
      <w:r>
        <w:rPr>
          <w:rFonts w:hint="eastAsia" w:ascii="仿宋_GB2312" w:hAnsi="仿宋_GB2312" w:eastAsia="仿宋_GB2312"/>
          <w:sz w:val="32"/>
          <w:szCs w:val="24"/>
          <w:lang w:val="en-US"/>
        </w:rPr>
        <w:t>其中：年末财政拨款结转和结余</w:t>
      </w:r>
      <w:r>
        <w:rPr>
          <w:rFonts w:hint="eastAsia" w:ascii="仿宋_GB2312" w:hAnsi="仿宋_GB2312" w:eastAsia="仿宋_GB2312"/>
          <w:kern w:val="0"/>
          <w:sz w:val="32"/>
          <w:szCs w:val="24"/>
          <w:lang w:val="en-US"/>
        </w:rPr>
        <w:t>8.64</w:t>
      </w:r>
      <w:r>
        <w:rPr>
          <w:rFonts w:hint="eastAsia" w:ascii="仿宋_GB2312" w:hAnsi="仿宋_GB2312" w:eastAsia="仿宋_GB2312"/>
          <w:sz w:val="32"/>
          <w:szCs w:val="24"/>
          <w:lang w:val="en-US"/>
        </w:rPr>
        <w:t>万元，财政拨款本年支出</w:t>
      </w:r>
      <w:r>
        <w:rPr>
          <w:rFonts w:hint="eastAsia" w:ascii="仿宋_GB2312" w:hAnsi="仿宋_GB2312" w:eastAsia="仿宋_GB2312"/>
          <w:kern w:val="0"/>
          <w:sz w:val="32"/>
          <w:szCs w:val="24"/>
          <w:lang w:val="en-US"/>
        </w:rPr>
        <w:t>789.21</w:t>
      </w:r>
      <w:r>
        <w:rPr>
          <w:rFonts w:hint="eastAsia" w:ascii="仿宋_GB2312" w:hAnsi="仿宋_GB2312" w:eastAsia="仿宋_GB2312"/>
          <w:sz w:val="32"/>
          <w:szCs w:val="24"/>
          <w:lang w:val="en-US"/>
        </w:rPr>
        <w:t>万元。财政拨款支出总计</w:t>
      </w:r>
      <w:r>
        <w:rPr>
          <w:rFonts w:hint="eastAsia" w:ascii="仿宋_GB2312" w:hAnsi="仿宋_GB2312" w:eastAsia="仿宋_GB2312"/>
          <w:kern w:val="0"/>
          <w:sz w:val="32"/>
          <w:szCs w:val="24"/>
          <w:lang w:val="en-US"/>
        </w:rPr>
        <w:t>与上年相比，</w:t>
      </w:r>
      <w:r>
        <w:rPr>
          <w:rFonts w:hint="eastAsia" w:ascii="仿宋_GB2312" w:hAnsi="仿宋_GB2312" w:eastAsia="仿宋_GB2312"/>
          <w:kern w:val="0"/>
          <w:sz w:val="32"/>
          <w:szCs w:val="24"/>
          <w:highlight w:val="none"/>
          <w:lang w:val="en-US"/>
        </w:rPr>
        <w:t>减少790.18万元，下降49.76%，主要原因是：</w:t>
      </w:r>
      <w:r>
        <w:rPr>
          <w:rFonts w:hint="eastAsia" w:ascii="仿宋_GB2312" w:hAnsi="仿宋_GB2312" w:eastAsia="仿宋_GB2312"/>
          <w:kern w:val="0"/>
          <w:sz w:val="32"/>
          <w:szCs w:val="24"/>
          <w:highlight w:val="none"/>
          <w:lang w:val="en-US" w:eastAsia="zh-CN"/>
        </w:rPr>
        <w:t>本年</w:t>
      </w:r>
      <w:r>
        <w:rPr>
          <w:rFonts w:hint="eastAsia" w:ascii="仿宋_GB2312" w:hAnsi="仿宋_GB2312" w:eastAsia="仿宋_GB2312"/>
          <w:kern w:val="0"/>
          <w:sz w:val="32"/>
          <w:szCs w:val="24"/>
          <w:highlight w:val="none"/>
          <w:lang w:val="en-US"/>
        </w:rPr>
        <w:t>价格认证工作经费</w:t>
      </w:r>
      <w:r>
        <w:rPr>
          <w:rFonts w:hint="eastAsia" w:ascii="仿宋_GB2312" w:hAnsi="仿宋_GB2312" w:eastAsia="仿宋_GB2312"/>
          <w:kern w:val="0"/>
          <w:sz w:val="32"/>
          <w:szCs w:val="24"/>
          <w:highlight w:val="none"/>
          <w:lang w:val="en-US" w:eastAsia="zh-CN"/>
        </w:rPr>
        <w:t>、</w:t>
      </w:r>
      <w:r>
        <w:rPr>
          <w:rFonts w:hint="eastAsia" w:ascii="仿宋_GB2312" w:hAnsi="仿宋_GB2312" w:eastAsia="仿宋_GB2312"/>
          <w:kern w:val="0"/>
          <w:sz w:val="32"/>
          <w:szCs w:val="24"/>
          <w:highlight w:val="none"/>
          <w:lang w:val="en-US"/>
        </w:rPr>
        <w:t>区域经济运行分析平台</w:t>
      </w:r>
      <w:r>
        <w:rPr>
          <w:rFonts w:hint="eastAsia" w:ascii="仿宋_GB2312" w:hAnsi="仿宋_GB2312" w:eastAsia="仿宋_GB2312"/>
          <w:kern w:val="0"/>
          <w:sz w:val="32"/>
          <w:szCs w:val="24"/>
          <w:highlight w:val="none"/>
          <w:lang w:val="en-US" w:eastAsia="zh-CN"/>
        </w:rPr>
        <w:t>建设、访惠聚工作队员补贴、</w:t>
      </w:r>
      <w:r>
        <w:rPr>
          <w:rFonts w:hint="eastAsia" w:ascii="仿宋_GB2312" w:hAnsi="仿宋_GB2312" w:eastAsia="仿宋_GB2312"/>
          <w:kern w:val="0"/>
          <w:sz w:val="32"/>
          <w:szCs w:val="24"/>
          <w:highlight w:val="none"/>
          <w:lang w:val="en-US"/>
        </w:rPr>
        <w:t>自治区工业企业节能减排</w:t>
      </w:r>
      <w:r>
        <w:rPr>
          <w:rFonts w:hint="eastAsia" w:ascii="仿宋_GB2312" w:hAnsi="仿宋_GB2312" w:eastAsia="仿宋_GB2312"/>
          <w:kern w:val="0"/>
          <w:sz w:val="32"/>
          <w:szCs w:val="24"/>
          <w:highlight w:val="none"/>
          <w:lang w:val="en-US" w:eastAsia="zh-CN"/>
        </w:rPr>
        <w:t>专项</w:t>
      </w:r>
      <w:r>
        <w:rPr>
          <w:rFonts w:hint="eastAsia" w:ascii="仿宋_GB2312" w:hAnsi="仿宋_GB2312" w:eastAsia="仿宋_GB2312"/>
          <w:kern w:val="0"/>
          <w:sz w:val="32"/>
          <w:szCs w:val="24"/>
          <w:highlight w:val="none"/>
          <w:lang w:val="en-US"/>
        </w:rPr>
        <w:t>资金</w:t>
      </w:r>
      <w:r>
        <w:rPr>
          <w:rFonts w:hint="eastAsia" w:ascii="仿宋_GB2312" w:hAnsi="仿宋_GB2312" w:eastAsia="仿宋_GB2312"/>
          <w:kern w:val="0"/>
          <w:sz w:val="32"/>
          <w:szCs w:val="24"/>
          <w:highlight w:val="none"/>
          <w:lang w:val="en-US" w:eastAsia="zh-CN"/>
        </w:rPr>
        <w:t>、</w:t>
      </w:r>
      <w:r>
        <w:rPr>
          <w:rFonts w:hint="eastAsia" w:ascii="仿宋_GB2312" w:hAnsi="仿宋_GB2312" w:eastAsia="仿宋_GB2312"/>
          <w:kern w:val="0"/>
          <w:sz w:val="32"/>
          <w:szCs w:val="24"/>
          <w:highlight w:val="none"/>
          <w:lang w:val="en-US"/>
        </w:rPr>
        <w:t>自治区战略性新兴产业资金</w:t>
      </w:r>
      <w:r>
        <w:rPr>
          <w:rFonts w:hint="eastAsia" w:ascii="仿宋_GB2312" w:hAnsi="仿宋_GB2312" w:eastAsia="仿宋_GB2312"/>
          <w:kern w:val="0"/>
          <w:sz w:val="32"/>
          <w:szCs w:val="24"/>
          <w:highlight w:val="none"/>
          <w:lang w:val="en-US" w:eastAsia="zh-CN"/>
        </w:rPr>
        <w:t>、羊毛工一般火区灭火项目等项目资金减少，支出减少</w:t>
      </w:r>
      <w:r>
        <w:rPr>
          <w:rFonts w:hint="eastAsia" w:ascii="仿宋_GB2312" w:hAnsi="仿宋_GB2312" w:eastAsia="仿宋_GB2312"/>
          <w:kern w:val="0"/>
          <w:sz w:val="32"/>
          <w:szCs w:val="24"/>
          <w:highlight w:val="none"/>
          <w:lang w:val="en-US"/>
        </w:rPr>
        <w:t>。</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lang w:val="en-US"/>
        </w:rPr>
        <w:t>与年初预算数相比情况：财政拨款收入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年初预算数743.09万元</w:t>
      </w:r>
      <w:r>
        <w:rPr>
          <w:rFonts w:hint="eastAsia" w:ascii="仿宋_GB2312" w:hAnsi="仿宋_GB2312" w:eastAsia="仿宋_GB2312"/>
          <w:kern w:val="0"/>
          <w:sz w:val="32"/>
          <w:szCs w:val="24"/>
          <w:highlight w:val="none"/>
          <w:lang w:val="en-US"/>
        </w:rPr>
        <w:t>，决算数797.85万元，预决算差异率7.37%，主要原因是：</w:t>
      </w:r>
      <w:r>
        <w:rPr>
          <w:rFonts w:hint="eastAsia" w:ascii="仿宋_GB2312" w:hAnsi="仿宋_GB2312" w:eastAsia="仿宋_GB2312"/>
          <w:kern w:val="0"/>
          <w:sz w:val="32"/>
          <w:szCs w:val="24"/>
          <w:highlight w:val="none"/>
          <w:lang w:val="en-US" w:eastAsia="zh-CN"/>
        </w:rPr>
        <w:t>本年追加纺织服装业补贴项目经费，收入增加，与预算相比导致差异</w:t>
      </w:r>
      <w:r>
        <w:rPr>
          <w:rFonts w:hint="eastAsia" w:ascii="仿宋_GB2312" w:hAnsi="仿宋_GB2312" w:eastAsia="仿宋_GB2312"/>
          <w:kern w:val="0"/>
          <w:sz w:val="32"/>
          <w:szCs w:val="24"/>
          <w:highlight w:val="none"/>
          <w:lang w:val="en-US"/>
        </w:rPr>
        <w:t>。财政拨款支出</w:t>
      </w:r>
      <w:r>
        <w:rPr>
          <w:rFonts w:hint="eastAsia" w:ascii="仿宋_GB2312" w:hAnsi="仿宋_GB2312" w:eastAsia="仿宋_GB2312"/>
          <w:sz w:val="32"/>
          <w:szCs w:val="24"/>
          <w:highlight w:val="none"/>
          <w:lang w:val="en-US"/>
        </w:rPr>
        <w:t>总计</w:t>
      </w:r>
      <w:r>
        <w:rPr>
          <w:rFonts w:hint="eastAsia" w:ascii="仿宋_GB2312" w:hAnsi="仿宋_GB2312" w:eastAsia="仿宋_GB2312"/>
          <w:kern w:val="0"/>
          <w:sz w:val="32"/>
          <w:szCs w:val="24"/>
          <w:highlight w:val="none"/>
          <w:lang w:val="en-US"/>
        </w:rPr>
        <w:t>年初预算数743.09万元，决算数797.85万元，预决算差异率7.37%，主要原因是：</w:t>
      </w:r>
      <w:r>
        <w:rPr>
          <w:rFonts w:hint="eastAsia" w:ascii="仿宋_GB2312" w:hAnsi="仿宋_GB2312" w:eastAsia="仿宋_GB2312"/>
          <w:kern w:val="0"/>
          <w:sz w:val="32"/>
          <w:szCs w:val="24"/>
          <w:highlight w:val="none"/>
          <w:lang w:val="en-US" w:eastAsia="zh-CN"/>
        </w:rPr>
        <w:t>本年追加纺织服装业补贴项目经费，支出增加，与预算相比导致差异</w:t>
      </w:r>
      <w:r>
        <w:rPr>
          <w:rFonts w:hint="eastAsia" w:ascii="仿宋_GB2312" w:hAnsi="仿宋_GB2312" w:eastAsia="仿宋_GB2312"/>
          <w:kern w:val="0"/>
          <w:sz w:val="32"/>
          <w:szCs w:val="24"/>
          <w:highlight w:val="none"/>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ind w:firstLine="640"/>
        <w:rPr>
          <w:rFonts w:hint="default" w:eastAsia="Times New Roman"/>
          <w:sz w:val="32"/>
          <w:szCs w:val="24"/>
          <w:lang w:val="en-US"/>
        </w:rPr>
      </w:pPr>
      <w:r>
        <w:rPr>
          <w:rFonts w:hint="eastAsia" w:ascii="黑体" w:hAnsi="黑体" w:eastAsia="黑体"/>
          <w:sz w:val="32"/>
          <w:szCs w:val="24"/>
          <w:lang w:val="en-US"/>
        </w:rPr>
        <w:t>（一）一般公共预算财政拨款支出决算总体情况</w:t>
      </w:r>
    </w:p>
    <w:p>
      <w:pPr>
        <w:shd w:val="clear" w:color="auto" w:fill="FFFFFF"/>
        <w:spacing w:line="360" w:lineRule="auto"/>
        <w:ind w:firstLine="640"/>
        <w:rPr>
          <w:rFonts w:hint="eastAsia" w:ascii="仿宋_GB2312" w:hAnsi="仿宋_GB2312" w:eastAsia="仿宋_GB2312"/>
          <w:kern w:val="0"/>
          <w:sz w:val="32"/>
          <w:szCs w:val="24"/>
          <w:highlight w:val="none"/>
          <w:lang w:val="en-US"/>
        </w:rPr>
      </w:pPr>
      <w:r>
        <w:rPr>
          <w:rFonts w:hint="eastAsia" w:ascii="仿宋_GB2312" w:hAnsi="仿宋_GB2312" w:eastAsia="仿宋_GB2312"/>
          <w:sz w:val="32"/>
          <w:szCs w:val="24"/>
          <w:lang w:val="en-US"/>
        </w:rPr>
        <w:t>2022年度一般公共预算财政拨款支出</w:t>
      </w:r>
      <w:r>
        <w:rPr>
          <w:rFonts w:hint="eastAsia" w:ascii="仿宋_GB2312" w:hAnsi="仿宋_GB2312" w:eastAsia="仿宋_GB2312"/>
          <w:kern w:val="0"/>
          <w:sz w:val="32"/>
          <w:szCs w:val="24"/>
          <w:lang w:val="en-US"/>
        </w:rPr>
        <w:t>789.21</w:t>
      </w:r>
      <w:r>
        <w:rPr>
          <w:rFonts w:hint="eastAsia" w:ascii="仿宋_GB2312" w:hAnsi="仿宋_GB2312" w:eastAsia="仿宋_GB2312"/>
          <w:sz w:val="32"/>
          <w:szCs w:val="24"/>
          <w:lang w:val="en-US"/>
        </w:rPr>
        <w:t>万元，占本年支出合计的</w:t>
      </w:r>
      <w:r>
        <w:rPr>
          <w:rFonts w:hint="eastAsia" w:ascii="仿宋_GB2312" w:hAnsi="仿宋_GB2312" w:eastAsia="仿宋_GB2312"/>
          <w:kern w:val="0"/>
          <w:sz w:val="32"/>
          <w:szCs w:val="24"/>
          <w:lang w:val="en-US"/>
        </w:rPr>
        <w:t>100.00%</w:t>
      </w:r>
      <w:r>
        <w:rPr>
          <w:rFonts w:hint="eastAsia" w:ascii="仿宋_GB2312" w:hAnsi="仿宋_GB2312" w:eastAsia="仿宋_GB2312"/>
          <w:sz w:val="32"/>
          <w:szCs w:val="24"/>
          <w:lang w:val="en-US"/>
        </w:rPr>
        <w:t>，与上年相比，</w:t>
      </w:r>
      <w:r>
        <w:rPr>
          <w:rFonts w:hint="eastAsia" w:ascii="仿宋_GB2312" w:hAnsi="仿宋_GB2312" w:eastAsia="仿宋_GB2312"/>
          <w:kern w:val="0"/>
          <w:sz w:val="32"/>
          <w:szCs w:val="24"/>
          <w:lang w:val="en-US"/>
        </w:rPr>
        <w:t>减少772.03万元，下降49.45%，</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w:t>
      </w:r>
      <w:r>
        <w:rPr>
          <w:rFonts w:hint="eastAsia" w:ascii="仿宋_GB2312" w:hAnsi="仿宋_GB2312" w:eastAsia="仿宋_GB2312"/>
          <w:kern w:val="0"/>
          <w:sz w:val="32"/>
          <w:szCs w:val="24"/>
          <w:highlight w:val="none"/>
          <w:lang w:val="en-US"/>
        </w:rPr>
        <w:t>价格认证工作经费</w:t>
      </w:r>
      <w:r>
        <w:rPr>
          <w:rFonts w:hint="eastAsia" w:ascii="仿宋_GB2312" w:hAnsi="仿宋_GB2312" w:eastAsia="仿宋_GB2312"/>
          <w:kern w:val="0"/>
          <w:sz w:val="32"/>
          <w:szCs w:val="24"/>
          <w:highlight w:val="none"/>
          <w:lang w:val="en-US" w:eastAsia="zh-CN"/>
        </w:rPr>
        <w:t>、</w:t>
      </w:r>
      <w:r>
        <w:rPr>
          <w:rFonts w:hint="eastAsia" w:ascii="仿宋_GB2312" w:hAnsi="仿宋_GB2312" w:eastAsia="仿宋_GB2312"/>
          <w:kern w:val="0"/>
          <w:sz w:val="32"/>
          <w:szCs w:val="24"/>
          <w:highlight w:val="none"/>
          <w:lang w:val="en-US"/>
        </w:rPr>
        <w:t>区域经济运行分析平台</w:t>
      </w:r>
      <w:r>
        <w:rPr>
          <w:rFonts w:hint="eastAsia" w:ascii="仿宋_GB2312" w:hAnsi="仿宋_GB2312" w:eastAsia="仿宋_GB2312"/>
          <w:kern w:val="0"/>
          <w:sz w:val="32"/>
          <w:szCs w:val="24"/>
          <w:highlight w:val="none"/>
          <w:lang w:val="en-US" w:eastAsia="zh-CN"/>
        </w:rPr>
        <w:t>建设、访惠聚工作队员补贴、</w:t>
      </w:r>
      <w:r>
        <w:rPr>
          <w:rFonts w:hint="eastAsia" w:ascii="仿宋_GB2312" w:hAnsi="仿宋_GB2312" w:eastAsia="仿宋_GB2312"/>
          <w:kern w:val="0"/>
          <w:sz w:val="32"/>
          <w:szCs w:val="24"/>
          <w:highlight w:val="none"/>
          <w:lang w:val="en-US"/>
        </w:rPr>
        <w:t>自治区工业企业节能减排</w:t>
      </w:r>
      <w:r>
        <w:rPr>
          <w:rFonts w:hint="eastAsia" w:ascii="仿宋_GB2312" w:hAnsi="仿宋_GB2312" w:eastAsia="仿宋_GB2312"/>
          <w:kern w:val="0"/>
          <w:sz w:val="32"/>
          <w:szCs w:val="24"/>
          <w:highlight w:val="none"/>
          <w:lang w:val="en-US" w:eastAsia="zh-CN"/>
        </w:rPr>
        <w:t>专项</w:t>
      </w:r>
      <w:r>
        <w:rPr>
          <w:rFonts w:hint="eastAsia" w:ascii="仿宋_GB2312" w:hAnsi="仿宋_GB2312" w:eastAsia="仿宋_GB2312"/>
          <w:kern w:val="0"/>
          <w:sz w:val="32"/>
          <w:szCs w:val="24"/>
          <w:highlight w:val="none"/>
          <w:lang w:val="en-US"/>
        </w:rPr>
        <w:t>资金</w:t>
      </w:r>
      <w:r>
        <w:rPr>
          <w:rFonts w:hint="eastAsia" w:ascii="仿宋_GB2312" w:hAnsi="仿宋_GB2312" w:eastAsia="仿宋_GB2312"/>
          <w:kern w:val="0"/>
          <w:sz w:val="32"/>
          <w:szCs w:val="24"/>
          <w:highlight w:val="none"/>
          <w:lang w:val="en-US" w:eastAsia="zh-CN"/>
        </w:rPr>
        <w:t>、</w:t>
      </w:r>
      <w:r>
        <w:rPr>
          <w:rFonts w:hint="eastAsia" w:ascii="仿宋_GB2312" w:hAnsi="仿宋_GB2312" w:eastAsia="仿宋_GB2312"/>
          <w:kern w:val="0"/>
          <w:sz w:val="32"/>
          <w:szCs w:val="24"/>
          <w:highlight w:val="none"/>
          <w:lang w:val="en-US"/>
        </w:rPr>
        <w:t>自治区战略性新兴产业资金</w:t>
      </w:r>
      <w:r>
        <w:rPr>
          <w:rFonts w:hint="eastAsia" w:ascii="仿宋_GB2312" w:hAnsi="仿宋_GB2312" w:eastAsia="仿宋_GB2312"/>
          <w:kern w:val="0"/>
          <w:sz w:val="32"/>
          <w:szCs w:val="24"/>
          <w:highlight w:val="none"/>
          <w:lang w:val="en-US" w:eastAsia="zh-CN"/>
        </w:rPr>
        <w:t>、羊毛工一般火区灭火项目等项目资金减少，支出减少</w:t>
      </w:r>
      <w:r>
        <w:rPr>
          <w:rFonts w:hint="eastAsia" w:ascii="仿宋_GB2312" w:hAnsi="仿宋_GB2312" w:eastAsia="仿宋_GB2312"/>
          <w:kern w:val="0"/>
          <w:sz w:val="32"/>
          <w:szCs w:val="24"/>
          <w:highlight w:val="none"/>
          <w:lang w:val="en-US"/>
        </w:rPr>
        <w:t>。</w:t>
      </w:r>
    </w:p>
    <w:p>
      <w:pPr>
        <w:ind w:firstLine="640"/>
        <w:rPr>
          <w:rFonts w:hint="default" w:eastAsia="Times New Roman"/>
          <w:sz w:val="32"/>
          <w:szCs w:val="24"/>
          <w:lang w:val="en-US"/>
        </w:rPr>
      </w:pPr>
      <w:r>
        <w:rPr>
          <w:rFonts w:hint="eastAsia" w:ascii="黑体" w:hAnsi="黑体" w:eastAsia="黑体"/>
          <w:sz w:val="32"/>
          <w:szCs w:val="24"/>
          <w:lang w:val="en-US"/>
        </w:rPr>
        <w:t>（二）一般公共预算财政拨款支出决算结构情况</w:t>
      </w:r>
    </w:p>
    <w:p>
      <w:pPr>
        <w:spacing w:line="600" w:lineRule="exact"/>
        <w:ind w:firstLine="640"/>
        <w:rPr>
          <w:rFonts w:hint="default" w:eastAsia="Times New Roman"/>
          <w:kern w:val="0"/>
          <w:sz w:val="32"/>
          <w:szCs w:val="24"/>
          <w:lang w:val="en-US"/>
        </w:rPr>
      </w:pPr>
      <w:r>
        <w:rPr>
          <w:rFonts w:hint="eastAsia" w:ascii="仿宋_GB2312" w:hAnsi="仿宋_GB2312" w:eastAsia="仿宋_GB2312"/>
          <w:sz w:val="32"/>
          <w:szCs w:val="24"/>
          <w:lang w:val="en-US"/>
        </w:rPr>
        <w:t>1.一般公共服务支出（类）729.43万元，占92.43%；</w:t>
      </w:r>
    </w:p>
    <w:p>
      <w:pPr>
        <w:spacing w:line="600" w:lineRule="exact"/>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2.社会保障和就业支出（类）29.12万元，占3.69%；</w:t>
      </w:r>
    </w:p>
    <w:p>
      <w:pPr>
        <w:spacing w:line="600" w:lineRule="exact"/>
        <w:ind w:firstLine="640"/>
        <w:rPr>
          <w:rFonts w:hint="eastAsia"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eastAsia="zh-CN"/>
        </w:rPr>
        <w:t>3.资源勘探工业信息等支出（类）30.66万元，占3.88%。</w:t>
      </w:r>
    </w:p>
    <w:p>
      <w:pPr>
        <w:ind w:firstLine="640"/>
        <w:rPr>
          <w:rFonts w:hint="default" w:eastAsia="Times New Roman"/>
          <w:sz w:val="32"/>
          <w:szCs w:val="24"/>
          <w:lang w:val="en-US"/>
        </w:rPr>
      </w:pPr>
      <w:r>
        <w:rPr>
          <w:rFonts w:hint="eastAsia" w:ascii="黑体" w:hAnsi="黑体" w:eastAsia="黑体"/>
          <w:sz w:val="32"/>
          <w:szCs w:val="24"/>
          <w:lang w:val="en-US"/>
        </w:rPr>
        <w:t>（三）一般公共预算财政拨款支出决算具体情况</w:t>
      </w:r>
    </w:p>
    <w:p>
      <w:pPr>
        <w:spacing w:line="600" w:lineRule="exact"/>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lang w:val="en-US"/>
        </w:rPr>
        <w:t>1.一般公共服务支出（类）发展与改革事务（款）行政运行（项）:支出决算数为604.65万元，比上年决算减少33.88万元，下降5.31%，</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本年离休费、抚恤金发放较上年减少，此功能科目较上年减少；</w:t>
      </w:r>
    </w:p>
    <w:p>
      <w:pPr>
        <w:spacing w:line="600" w:lineRule="exact"/>
        <w:ind w:firstLine="640"/>
        <w:rPr>
          <w:rFonts w:hint="eastAsia" w:ascii="仿宋_GB2312" w:hAnsi="仿宋_GB2312" w:eastAsia="仿宋_GB2312"/>
          <w:kern w:val="0"/>
          <w:sz w:val="32"/>
          <w:szCs w:val="24"/>
          <w:highlight w:val="none"/>
          <w:lang w:val="en-US"/>
        </w:rPr>
      </w:pPr>
      <w:r>
        <w:rPr>
          <w:rFonts w:hint="eastAsia" w:ascii="仿宋_GB2312" w:hAnsi="仿宋_GB2312" w:eastAsia="仿宋_GB2312"/>
          <w:kern w:val="0"/>
          <w:sz w:val="32"/>
          <w:szCs w:val="24"/>
          <w:lang w:val="en-US" w:eastAsia="zh-CN"/>
        </w:rPr>
        <w:t>2</w:t>
      </w:r>
      <w:r>
        <w:rPr>
          <w:rFonts w:hint="eastAsia" w:ascii="仿宋_GB2312" w:hAnsi="仿宋_GB2312" w:eastAsia="仿宋_GB2312"/>
          <w:kern w:val="0"/>
          <w:sz w:val="32"/>
          <w:szCs w:val="24"/>
          <w:lang w:val="en-US"/>
        </w:rPr>
        <w:t>.一般公共服务支出（类）发展与改革事务（款）事业运行（项）:支出决算数为124.78万元，比上年决算增加41.54万元，增长49.90%</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本年我单位人员工资薪金、社保基数上调，导致此项支出增加；</w:t>
      </w:r>
    </w:p>
    <w:p>
      <w:pPr>
        <w:spacing w:beforeLines="0" w:afterLines="0" w:line="600" w:lineRule="exact"/>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lang w:val="en-US" w:eastAsia="zh-CN"/>
        </w:rPr>
        <w:t>3</w:t>
      </w:r>
      <w:r>
        <w:rPr>
          <w:rFonts w:hint="eastAsia" w:ascii="仿宋_GB2312" w:hAnsi="仿宋_GB2312" w:eastAsia="仿宋_GB2312"/>
          <w:kern w:val="0"/>
          <w:sz w:val="32"/>
          <w:szCs w:val="24"/>
          <w:lang w:val="en-US"/>
        </w:rPr>
        <w:t>.一般公共服</w:t>
      </w:r>
      <w:r>
        <w:rPr>
          <w:rFonts w:hint="eastAsia" w:ascii="仿宋_GB2312" w:hAnsi="仿宋_GB2312" w:eastAsia="仿宋_GB2312"/>
          <w:kern w:val="0"/>
          <w:sz w:val="32"/>
          <w:szCs w:val="24"/>
          <w:highlight w:val="none"/>
          <w:lang w:val="en-US"/>
        </w:rPr>
        <w:t>务支出（类）发展与改革事务（款）其他发展与改革事务支出（项）:支出决算数为0.00万元，比上年决算减少32.86万元，下降</w:t>
      </w:r>
      <w:r>
        <w:rPr>
          <w:rFonts w:hint="eastAsia" w:ascii="仿宋_GB2312" w:hAnsi="仿宋_GB2312" w:eastAsia="仿宋_GB2312"/>
          <w:kern w:val="0"/>
          <w:sz w:val="32"/>
          <w:szCs w:val="24"/>
          <w:highlight w:val="none"/>
          <w:lang w:val="en-US" w:eastAsia="zh-CN"/>
        </w:rPr>
        <w:t>100.00</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本年未安排</w:t>
      </w:r>
      <w:r>
        <w:rPr>
          <w:rFonts w:hint="eastAsia" w:ascii="仿宋_GB2312" w:hAnsi="仿宋_GB2312" w:eastAsia="仿宋_GB2312"/>
          <w:kern w:val="0"/>
          <w:sz w:val="32"/>
          <w:szCs w:val="24"/>
          <w:highlight w:val="none"/>
          <w:lang w:val="en-US"/>
        </w:rPr>
        <w:t>重点项目前期费（“十四五”规划编制）</w:t>
      </w:r>
      <w:r>
        <w:rPr>
          <w:rFonts w:hint="eastAsia" w:ascii="仿宋_GB2312" w:hAnsi="仿宋_GB2312" w:eastAsia="仿宋_GB2312"/>
          <w:kern w:val="0"/>
          <w:sz w:val="32"/>
          <w:szCs w:val="24"/>
          <w:highlight w:val="none"/>
          <w:lang w:val="en-US" w:eastAsia="zh-CN"/>
        </w:rPr>
        <w:t>，</w:t>
      </w:r>
      <w:r>
        <w:rPr>
          <w:rFonts w:hint="eastAsia" w:ascii="仿宋_GB2312" w:hAnsi="仿宋_GB2312" w:eastAsia="仿宋_GB2312"/>
          <w:kern w:val="0"/>
          <w:sz w:val="32"/>
          <w:szCs w:val="24"/>
          <w:highlight w:val="none"/>
          <w:lang w:val="en-US"/>
        </w:rPr>
        <w:t>价格认证工作经费</w:t>
      </w:r>
      <w:r>
        <w:rPr>
          <w:rFonts w:hint="eastAsia" w:ascii="仿宋_GB2312" w:hAnsi="仿宋_GB2312" w:eastAsia="仿宋_GB2312"/>
          <w:kern w:val="0"/>
          <w:sz w:val="32"/>
          <w:szCs w:val="24"/>
          <w:highlight w:val="none"/>
          <w:lang w:val="en-US" w:eastAsia="zh-CN"/>
        </w:rPr>
        <w:t>项目资金，导致此功能科目未支出；</w:t>
      </w:r>
    </w:p>
    <w:p>
      <w:pPr>
        <w:spacing w:line="600" w:lineRule="exact"/>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lang w:val="en-US" w:eastAsia="zh-CN"/>
        </w:rPr>
        <w:t>4</w:t>
      </w:r>
      <w:r>
        <w:rPr>
          <w:rFonts w:hint="eastAsia" w:ascii="仿宋_GB2312" w:hAnsi="仿宋_GB2312" w:eastAsia="仿宋_GB2312"/>
          <w:kern w:val="0"/>
          <w:sz w:val="32"/>
          <w:szCs w:val="24"/>
          <w:lang w:val="en-US"/>
        </w:rPr>
        <w:t>.科学技术支出（类）其他科学技术支出（款）其他科学技术支出（项）:支出决</w:t>
      </w:r>
      <w:r>
        <w:rPr>
          <w:rFonts w:hint="eastAsia" w:ascii="仿宋_GB2312" w:hAnsi="仿宋_GB2312" w:eastAsia="仿宋_GB2312"/>
          <w:kern w:val="0"/>
          <w:sz w:val="32"/>
          <w:szCs w:val="24"/>
          <w:highlight w:val="none"/>
          <w:lang w:val="en-US"/>
        </w:rPr>
        <w:t>算数为0.00万元，比上年决算减少100.00万元，下降</w:t>
      </w:r>
      <w:r>
        <w:rPr>
          <w:rFonts w:hint="eastAsia" w:ascii="仿宋_GB2312" w:hAnsi="仿宋_GB2312" w:eastAsia="仿宋_GB2312"/>
          <w:kern w:val="0"/>
          <w:sz w:val="32"/>
          <w:szCs w:val="24"/>
          <w:highlight w:val="none"/>
          <w:lang w:val="en-US" w:eastAsia="zh-CN"/>
        </w:rPr>
        <w:t>100.00</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本年本年未安排</w:t>
      </w:r>
      <w:r>
        <w:rPr>
          <w:rFonts w:hint="eastAsia" w:ascii="仿宋_GB2312" w:hAnsi="仿宋_GB2312" w:eastAsia="仿宋_GB2312"/>
          <w:kern w:val="0"/>
          <w:sz w:val="32"/>
          <w:szCs w:val="24"/>
          <w:highlight w:val="none"/>
          <w:lang w:val="en-US"/>
        </w:rPr>
        <w:t>重点项目前期费（区域经济运行分析平台</w:t>
      </w:r>
      <w:r>
        <w:rPr>
          <w:rFonts w:hint="eastAsia" w:ascii="仿宋_GB2312" w:hAnsi="仿宋_GB2312" w:eastAsia="仿宋_GB2312"/>
          <w:kern w:val="0"/>
          <w:sz w:val="32"/>
          <w:szCs w:val="24"/>
          <w:highlight w:val="none"/>
          <w:lang w:val="en-US" w:eastAsia="zh-CN"/>
        </w:rPr>
        <w:t>建设</w:t>
      </w:r>
      <w:r>
        <w:rPr>
          <w:rFonts w:hint="eastAsia" w:ascii="仿宋_GB2312" w:hAnsi="仿宋_GB2312" w:eastAsia="仿宋_GB2312"/>
          <w:kern w:val="0"/>
          <w:sz w:val="32"/>
          <w:szCs w:val="24"/>
          <w:highlight w:val="none"/>
          <w:lang w:val="en-US"/>
        </w:rPr>
        <w:t>）</w:t>
      </w:r>
      <w:r>
        <w:rPr>
          <w:rFonts w:hint="eastAsia" w:ascii="仿宋_GB2312" w:hAnsi="仿宋_GB2312" w:eastAsia="仿宋_GB2312"/>
          <w:kern w:val="0"/>
          <w:sz w:val="32"/>
          <w:szCs w:val="24"/>
          <w:highlight w:val="none"/>
          <w:lang w:val="en-US" w:eastAsia="zh-CN"/>
        </w:rPr>
        <w:t>资金，此功能科目未支出；</w:t>
      </w:r>
    </w:p>
    <w:p>
      <w:pPr>
        <w:spacing w:line="600" w:lineRule="exact"/>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lang w:val="en-US" w:eastAsia="zh-CN"/>
        </w:rPr>
        <w:t>5</w:t>
      </w:r>
      <w:r>
        <w:rPr>
          <w:rFonts w:hint="eastAsia" w:ascii="仿宋_GB2312" w:hAnsi="仿宋_GB2312" w:eastAsia="仿宋_GB2312"/>
          <w:kern w:val="0"/>
          <w:sz w:val="32"/>
          <w:szCs w:val="24"/>
          <w:lang w:val="en-US"/>
        </w:rPr>
        <w:t>.社会保障和就业支出（类）民政管理事务（款）基层政权建设和社区治理（项）:支出决算数为0.00万元，比上年决算减少1.80万元，下降10</w:t>
      </w:r>
      <w:r>
        <w:rPr>
          <w:rFonts w:hint="eastAsia" w:ascii="仿宋_GB2312" w:hAnsi="仿宋_GB2312" w:eastAsia="仿宋_GB2312"/>
          <w:kern w:val="0"/>
          <w:sz w:val="32"/>
          <w:szCs w:val="24"/>
          <w:highlight w:val="none"/>
          <w:lang w:val="en-US"/>
        </w:rPr>
        <w:t>0.00%，主要原因是：</w:t>
      </w:r>
      <w:r>
        <w:rPr>
          <w:rFonts w:hint="eastAsia" w:ascii="仿宋_GB2312" w:hAnsi="仿宋_GB2312" w:eastAsia="仿宋_GB2312"/>
          <w:kern w:val="0"/>
          <w:sz w:val="32"/>
          <w:szCs w:val="24"/>
          <w:highlight w:val="none"/>
          <w:lang w:val="en-US" w:eastAsia="zh-CN"/>
        </w:rPr>
        <w:t>本年本年未安排访惠聚工作队员补贴，导致此功能科目未支出；</w:t>
      </w:r>
    </w:p>
    <w:p>
      <w:pPr>
        <w:spacing w:line="600" w:lineRule="exact"/>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highlight w:val="none"/>
          <w:lang w:val="en-US" w:eastAsia="zh-CN"/>
        </w:rPr>
        <w:t>6</w:t>
      </w:r>
      <w:r>
        <w:rPr>
          <w:rFonts w:hint="eastAsia" w:ascii="仿宋_GB2312" w:hAnsi="仿宋_GB2312" w:eastAsia="仿宋_GB2312"/>
          <w:kern w:val="0"/>
          <w:sz w:val="32"/>
          <w:szCs w:val="24"/>
          <w:highlight w:val="none"/>
          <w:lang w:val="en-US"/>
        </w:rPr>
        <w:t>.社会保障和就业支出（类）行政事业单位养老</w:t>
      </w:r>
      <w:r>
        <w:rPr>
          <w:rFonts w:hint="eastAsia" w:ascii="仿宋_GB2312" w:hAnsi="仿宋_GB2312" w:eastAsia="仿宋_GB2312"/>
          <w:kern w:val="0"/>
          <w:sz w:val="32"/>
          <w:szCs w:val="24"/>
          <w:lang w:val="en-US"/>
        </w:rPr>
        <w:t>支出（款）机关事业单位基本养老保险缴费支出（项）:支出决算数为29.12万元，比上年决算增加0.2</w:t>
      </w:r>
      <w:r>
        <w:rPr>
          <w:rFonts w:hint="eastAsia" w:ascii="仿宋_GB2312" w:hAnsi="仿宋_GB2312" w:eastAsia="仿宋_GB2312"/>
          <w:kern w:val="0"/>
          <w:sz w:val="32"/>
          <w:szCs w:val="24"/>
          <w:highlight w:val="none"/>
          <w:lang w:val="en-US"/>
        </w:rPr>
        <w:t>8万元，增长0.97%，主要原因是：</w:t>
      </w:r>
      <w:r>
        <w:rPr>
          <w:rFonts w:hint="eastAsia" w:ascii="仿宋_GB2312" w:hAnsi="仿宋_GB2312" w:eastAsia="仿宋_GB2312"/>
          <w:kern w:val="0"/>
          <w:sz w:val="32"/>
          <w:szCs w:val="24"/>
          <w:highlight w:val="none"/>
          <w:lang w:val="en-US" w:eastAsia="zh-CN"/>
        </w:rPr>
        <w:t>本年养老保险基数上调，养老保险缴费增加；</w:t>
      </w:r>
    </w:p>
    <w:p>
      <w:pPr>
        <w:spacing w:line="600" w:lineRule="exact"/>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lang w:val="en-US" w:eastAsia="zh-CN"/>
        </w:rPr>
        <w:t>7</w:t>
      </w:r>
      <w:r>
        <w:rPr>
          <w:rFonts w:hint="eastAsia" w:ascii="仿宋_GB2312" w:hAnsi="仿宋_GB2312" w:eastAsia="仿宋_GB2312"/>
          <w:kern w:val="0"/>
          <w:sz w:val="32"/>
          <w:szCs w:val="24"/>
          <w:lang w:val="en-US"/>
        </w:rPr>
        <w:t>.节能环保支出（类）能源节约利用（款）能源节约利用（项</w:t>
      </w:r>
      <w:r>
        <w:rPr>
          <w:rFonts w:hint="eastAsia" w:ascii="仿宋_GB2312" w:hAnsi="仿宋_GB2312" w:eastAsia="仿宋_GB2312"/>
          <w:kern w:val="0"/>
          <w:sz w:val="32"/>
          <w:szCs w:val="24"/>
          <w:highlight w:val="none"/>
          <w:lang w:val="en-US"/>
        </w:rPr>
        <w:t>）:支出决算数为0.00万元，比上年决算减少60.00万元，下降100.00%，主要原因是：</w:t>
      </w:r>
      <w:r>
        <w:rPr>
          <w:rFonts w:hint="eastAsia" w:ascii="仿宋_GB2312" w:hAnsi="仿宋_GB2312" w:eastAsia="仿宋_GB2312"/>
          <w:kern w:val="0"/>
          <w:sz w:val="32"/>
          <w:szCs w:val="24"/>
          <w:highlight w:val="none"/>
          <w:lang w:val="en-US" w:eastAsia="zh-CN"/>
        </w:rPr>
        <w:t>本年未安排</w:t>
      </w:r>
      <w:r>
        <w:rPr>
          <w:rFonts w:hint="eastAsia" w:ascii="仿宋_GB2312" w:hAnsi="仿宋_GB2312" w:eastAsia="仿宋_GB2312"/>
          <w:kern w:val="0"/>
          <w:sz w:val="32"/>
          <w:szCs w:val="24"/>
          <w:highlight w:val="none"/>
          <w:lang w:val="en-US"/>
        </w:rPr>
        <w:t>自治区工业企业节能减排</w:t>
      </w:r>
      <w:r>
        <w:rPr>
          <w:rFonts w:hint="eastAsia" w:ascii="仿宋_GB2312" w:hAnsi="仿宋_GB2312" w:eastAsia="仿宋_GB2312"/>
          <w:kern w:val="0"/>
          <w:sz w:val="32"/>
          <w:szCs w:val="24"/>
          <w:highlight w:val="none"/>
          <w:lang w:val="en-US" w:eastAsia="zh-CN"/>
        </w:rPr>
        <w:t>专项</w:t>
      </w:r>
      <w:r>
        <w:rPr>
          <w:rFonts w:hint="eastAsia" w:ascii="仿宋_GB2312" w:hAnsi="仿宋_GB2312" w:eastAsia="仿宋_GB2312"/>
          <w:kern w:val="0"/>
          <w:sz w:val="32"/>
          <w:szCs w:val="24"/>
          <w:highlight w:val="none"/>
          <w:lang w:val="en-US"/>
        </w:rPr>
        <w:t>资金</w:t>
      </w:r>
      <w:r>
        <w:rPr>
          <w:rFonts w:hint="eastAsia" w:ascii="仿宋_GB2312" w:hAnsi="仿宋_GB2312" w:eastAsia="仿宋_GB2312"/>
          <w:kern w:val="0"/>
          <w:sz w:val="32"/>
          <w:szCs w:val="24"/>
          <w:highlight w:val="none"/>
          <w:lang w:val="en-US" w:eastAsia="zh-CN"/>
        </w:rPr>
        <w:t>，此项支出减少；</w:t>
      </w:r>
    </w:p>
    <w:p>
      <w:pPr>
        <w:spacing w:line="600" w:lineRule="exact"/>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lang w:val="en-US" w:eastAsia="zh-CN"/>
        </w:rPr>
        <w:t>8</w:t>
      </w:r>
      <w:r>
        <w:rPr>
          <w:rFonts w:hint="eastAsia" w:ascii="仿宋_GB2312" w:hAnsi="仿宋_GB2312" w:eastAsia="仿宋_GB2312"/>
          <w:kern w:val="0"/>
          <w:sz w:val="32"/>
          <w:szCs w:val="24"/>
          <w:lang w:val="en-US"/>
        </w:rPr>
        <w:t>.资源勘探工业信息等支出（类）制造业（款）纺织业（项）:支出决算数为30.66万元，比上年决算增加16.10万元，增长1</w:t>
      </w:r>
      <w:r>
        <w:rPr>
          <w:rFonts w:hint="eastAsia" w:ascii="仿宋_GB2312" w:hAnsi="仿宋_GB2312" w:eastAsia="仿宋_GB2312"/>
          <w:kern w:val="0"/>
          <w:sz w:val="32"/>
          <w:szCs w:val="24"/>
          <w:highlight w:val="none"/>
          <w:lang w:val="en-US"/>
        </w:rPr>
        <w:t>10.58%，主要原因是：</w:t>
      </w:r>
      <w:r>
        <w:rPr>
          <w:rFonts w:hint="eastAsia" w:ascii="仿宋_GB2312" w:hAnsi="仿宋_GB2312" w:eastAsia="仿宋_GB2312"/>
          <w:kern w:val="0"/>
          <w:sz w:val="32"/>
          <w:szCs w:val="24"/>
          <w:highlight w:val="none"/>
          <w:lang w:val="en-US" w:eastAsia="zh-CN"/>
        </w:rPr>
        <w:t>增加纺织服装业专项补贴，指出较上年增加；</w:t>
      </w:r>
    </w:p>
    <w:p>
      <w:pPr>
        <w:spacing w:line="600" w:lineRule="exact"/>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lang w:val="en-US" w:eastAsia="zh-CN"/>
        </w:rPr>
        <w:t>9</w:t>
      </w:r>
      <w:r>
        <w:rPr>
          <w:rFonts w:hint="eastAsia" w:ascii="仿宋_GB2312" w:hAnsi="仿宋_GB2312" w:eastAsia="仿宋_GB2312"/>
          <w:kern w:val="0"/>
          <w:sz w:val="32"/>
          <w:szCs w:val="24"/>
          <w:lang w:val="en-US"/>
        </w:rPr>
        <w:t>.资源勘探工业信息等支出（类）支持中小企业发展和管理支出（款）其他支持中小企业发展和管理支出（项）:支出决算数为0.00万元，比上年决算减少135.00万元，下降100.00%，</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本年未安排</w:t>
      </w:r>
      <w:r>
        <w:rPr>
          <w:rFonts w:hint="eastAsia" w:ascii="仿宋_GB2312" w:hAnsi="仿宋_GB2312" w:eastAsia="仿宋_GB2312"/>
          <w:kern w:val="0"/>
          <w:sz w:val="32"/>
          <w:szCs w:val="24"/>
          <w:highlight w:val="none"/>
          <w:lang w:val="en-US"/>
        </w:rPr>
        <w:t>战略性新兴产业资金</w:t>
      </w:r>
      <w:r>
        <w:rPr>
          <w:rFonts w:hint="eastAsia" w:ascii="仿宋_GB2312" w:hAnsi="仿宋_GB2312" w:eastAsia="仿宋_GB2312"/>
          <w:kern w:val="0"/>
          <w:sz w:val="32"/>
          <w:szCs w:val="24"/>
          <w:highlight w:val="none"/>
          <w:lang w:val="en-US" w:eastAsia="zh-CN"/>
        </w:rPr>
        <w:t>专项支出，此项支出减少；</w:t>
      </w:r>
    </w:p>
    <w:p>
      <w:pPr>
        <w:spacing w:line="600" w:lineRule="exact"/>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lang w:val="en-US" w:eastAsia="zh-CN"/>
        </w:rPr>
        <w:t>10</w:t>
      </w:r>
      <w:r>
        <w:rPr>
          <w:rFonts w:hint="eastAsia" w:ascii="仿宋_GB2312" w:hAnsi="仿宋_GB2312" w:eastAsia="仿宋_GB2312"/>
          <w:kern w:val="0"/>
          <w:sz w:val="32"/>
          <w:szCs w:val="24"/>
          <w:lang w:val="en-US"/>
        </w:rPr>
        <w:t>.资源勘探工业信息等支出（类）其他资源勘探工业信息等支出（款）其他资源勘探工业信息等支出（项）:支出决算数为0.00万元，比上年决算减少466.41万元，下降</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lang w:val="en-US"/>
        </w:rPr>
        <w:t>%，</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本年度财政未安排羊毛工一般火区灭火项目支出，此项功能科目支出减少</w:t>
      </w:r>
      <w:r>
        <w:rPr>
          <w:rFonts w:hint="eastAsia" w:ascii="仿宋_GB2312" w:hAnsi="仿宋_GB2312" w:eastAsia="仿宋_GB2312"/>
          <w:kern w:val="0"/>
          <w:sz w:val="32"/>
          <w:szCs w:val="24"/>
          <w:highlight w:val="none"/>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line="360" w:lineRule="auto"/>
        <w:ind w:firstLine="640"/>
        <w:rPr>
          <w:rFonts w:hint="default" w:eastAsia="Times New Roman"/>
          <w:kern w:val="0"/>
          <w:sz w:val="32"/>
          <w:szCs w:val="24"/>
          <w:highlight w:val="yellow"/>
          <w:lang w:val="en-US"/>
        </w:rPr>
      </w:pPr>
      <w:r>
        <w:rPr>
          <w:rFonts w:hint="eastAsia" w:ascii="仿宋_GB2312" w:hAnsi="仿宋_GB2312" w:eastAsia="仿宋_GB2312"/>
          <w:kern w:val="0"/>
          <w:sz w:val="32"/>
          <w:szCs w:val="24"/>
          <w:lang w:val="en-US"/>
        </w:rPr>
        <w:t>2022年度一般公共预算财政拨款基本支出758.55万元，其中：</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人员经费575.77万元，包括：基本工资、津贴补贴、绩效工资、机关事业单位基本养老保险缴费、职工基本医疗保险缴费、公务员医疗补助缴费、其他社会保障缴费、住房公积金、其他工资福利支出、离休费、退休费、抚恤金、生活补助、奖励金。</w:t>
      </w:r>
    </w:p>
    <w:p>
      <w:pPr>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公用经费182.78万元，包括：办公费、印刷费、手续费、水费、邮电费、差旅费、维修（护）费、租赁费、劳务费、委托业务费、工会经费、公务用车运行维护费、其他交通费用、其他商品和服务支出、办公设备购置。</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七、财政拨款</w:t>
      </w:r>
      <w:r>
        <w:rPr>
          <w:rFonts w:hint="eastAsia" w:ascii="黑体" w:hAnsi="黑体" w:eastAsia="黑体"/>
          <w:kern w:val="0"/>
          <w:sz w:val="32"/>
          <w:szCs w:val="24"/>
          <w:lang w:val="en-US"/>
        </w:rPr>
        <w:t>“三公”</w:t>
      </w:r>
      <w:r>
        <w:rPr>
          <w:rFonts w:hint="eastAsia" w:ascii="黑体" w:hAnsi="黑体" w:eastAsia="黑体"/>
          <w:sz w:val="32"/>
          <w:szCs w:val="24"/>
          <w:lang w:val="zh-CN"/>
        </w:rPr>
        <w:t>经费支出决算情况说明</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lang w:val="en-US"/>
        </w:rPr>
        <w:t>2022年度</w:t>
      </w:r>
      <w:r>
        <w:rPr>
          <w:rFonts w:hint="eastAsia" w:ascii="仿宋_GB2312" w:hAnsi="仿宋_GB2312" w:eastAsia="仿宋_GB2312"/>
          <w:sz w:val="32"/>
          <w:szCs w:val="24"/>
          <w:lang w:val="en-US"/>
        </w:rPr>
        <w:t>财政拨款</w:t>
      </w:r>
      <w:r>
        <w:rPr>
          <w:rFonts w:hint="eastAsia" w:ascii="仿宋_GB2312" w:hAnsi="仿宋_GB2312" w:eastAsia="仿宋_GB2312"/>
          <w:kern w:val="0"/>
          <w:sz w:val="32"/>
          <w:szCs w:val="24"/>
          <w:lang w:val="en-US"/>
        </w:rPr>
        <w:t>“三公”经费支出决算12.50万元，比上年减少7.50万元，下降37.50</w:t>
      </w:r>
      <w:r>
        <w:rPr>
          <w:rFonts w:hint="eastAsia" w:ascii="仿宋_GB2312" w:hAnsi="仿宋_GB2312" w:eastAsia="仿宋_GB2312"/>
          <w:kern w:val="0"/>
          <w:sz w:val="32"/>
          <w:szCs w:val="24"/>
          <w:highlight w:val="none"/>
          <w:lang w:val="en-US"/>
        </w:rPr>
        <w:t>%，主要原因是：</w:t>
      </w:r>
      <w:r>
        <w:rPr>
          <w:rFonts w:hint="eastAsia" w:ascii="仿宋_GB2312" w:hAnsi="仿宋_GB2312" w:eastAsia="仿宋_GB2312"/>
          <w:kern w:val="0"/>
          <w:sz w:val="32"/>
          <w:szCs w:val="24"/>
          <w:highlight w:val="none"/>
          <w:lang w:val="en-US" w:eastAsia="zh-CN"/>
        </w:rPr>
        <w:t>本年车辆出行次数减少，车辆维修维护费、燃油费减少</w:t>
      </w:r>
      <w:r>
        <w:rPr>
          <w:rFonts w:hint="eastAsia" w:ascii="仿宋_GB2312" w:hAnsi="仿宋_GB2312" w:eastAsia="仿宋_GB2312"/>
          <w:kern w:val="0"/>
          <w:sz w:val="32"/>
          <w:szCs w:val="24"/>
          <w:highlight w:val="none"/>
          <w:lang w:val="en-US"/>
        </w:rPr>
        <w:t>。其中：因公出国（境）费支出0.00万元，占0.00%，比上年增加0.00万元，增长0.00%，主要原因是：本年单位无因公出国（境）费支出；公务用车购置及运行维护费支出12.50万元，占100.00%，比上年减少7.50万元，下降37.50%，主要原因是：</w:t>
      </w:r>
      <w:r>
        <w:rPr>
          <w:rFonts w:hint="eastAsia" w:ascii="仿宋_GB2312" w:hAnsi="仿宋_GB2312" w:eastAsia="仿宋_GB2312"/>
          <w:kern w:val="0"/>
          <w:sz w:val="32"/>
          <w:szCs w:val="24"/>
          <w:highlight w:val="none"/>
          <w:lang w:val="en-US" w:eastAsia="zh-CN"/>
        </w:rPr>
        <w:t>本年车辆出行次数减少，车辆维修维护费、燃油费减少</w:t>
      </w:r>
      <w:r>
        <w:rPr>
          <w:rFonts w:hint="eastAsia" w:ascii="仿宋_GB2312" w:hAnsi="仿宋_GB2312" w:eastAsia="仿宋_GB2312"/>
          <w:kern w:val="0"/>
          <w:sz w:val="32"/>
          <w:szCs w:val="24"/>
          <w:highlight w:val="none"/>
          <w:lang w:val="en-US"/>
        </w:rPr>
        <w:t>；公务接待费支出0.00万元，占0.00%，比上年增加0.00万元，增长0.00%，主要原因是：</w:t>
      </w:r>
      <w:r>
        <w:rPr>
          <w:rFonts w:hint="eastAsia" w:ascii="仿宋_GB2312" w:hAnsi="仿宋_GB2312" w:eastAsia="仿宋_GB2312"/>
          <w:kern w:val="0"/>
          <w:sz w:val="32"/>
          <w:szCs w:val="24"/>
          <w:highlight w:val="none"/>
          <w:lang w:val="en-US" w:eastAsia="zh-CN"/>
        </w:rPr>
        <w:t>本年单位无此项支出</w:t>
      </w:r>
      <w:r>
        <w:rPr>
          <w:rFonts w:hint="eastAsia" w:ascii="仿宋_GB2312" w:hAnsi="仿宋_GB2312" w:eastAsia="仿宋_GB2312"/>
          <w:kern w:val="0"/>
          <w:sz w:val="32"/>
          <w:szCs w:val="24"/>
          <w:highlight w:val="none"/>
          <w:lang w:val="en-US"/>
        </w:rPr>
        <w:t>。具体情况如下：</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highlight w:val="none"/>
          <w:lang w:val="en-US"/>
        </w:rPr>
        <w:t>因公出国（境）费支出0.00万元，开支内容包括本年单位无因公出国（境）费支出。单位全年</w:t>
      </w:r>
      <w:r>
        <w:rPr>
          <w:rFonts w:hint="eastAsia" w:ascii="仿宋_GB2312" w:hAnsi="仿宋_GB2312" w:eastAsia="仿宋_GB2312"/>
          <w:kern w:val="0"/>
          <w:sz w:val="32"/>
          <w:szCs w:val="24"/>
          <w:lang w:val="en-US"/>
        </w:rPr>
        <w:t>安排的因公出国（境）团组0个，因公出国（境）0人次。</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highlight w:val="none"/>
          <w:lang w:val="en-US"/>
        </w:rPr>
        <w:t>公务用车购置及运行维护费12.50万元，其中：公务用车购置费0.00万元，公务用车运行维护费12.50万元。公务用车运行维护费开支内容包括公务用车燃油费、车辆维修维护费、保险费、过路费等。公务用车购置数0辆，公务用车保有量7辆。</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highlight w:val="none"/>
          <w:lang w:val="en-US"/>
        </w:rPr>
        <w:t>公务接待费0.00万元，开支内容包括</w:t>
      </w:r>
      <w:r>
        <w:rPr>
          <w:rFonts w:hint="eastAsia" w:ascii="仿宋_GB2312" w:hAnsi="仿宋_GB2312" w:eastAsia="仿宋_GB2312"/>
          <w:kern w:val="0"/>
          <w:sz w:val="32"/>
          <w:szCs w:val="24"/>
          <w:highlight w:val="none"/>
          <w:lang w:val="en-US" w:eastAsia="zh-CN"/>
        </w:rPr>
        <w:t>本年单位无此项支出</w:t>
      </w:r>
      <w:r>
        <w:rPr>
          <w:rFonts w:hint="eastAsia" w:ascii="仿宋_GB2312" w:hAnsi="仿宋_GB2312" w:eastAsia="仿宋_GB2312"/>
          <w:kern w:val="0"/>
          <w:sz w:val="32"/>
          <w:szCs w:val="24"/>
          <w:highlight w:val="none"/>
          <w:lang w:val="en-US"/>
        </w:rPr>
        <w:t>。单位全年安排的国内公务接待0批次，0人次。</w:t>
      </w:r>
    </w:p>
    <w:p>
      <w:pPr>
        <w:shd w:val="clear" w:color="auto" w:fill="FFFFFF"/>
        <w:spacing w:line="360" w:lineRule="auto"/>
        <w:ind w:firstLine="640"/>
        <w:rPr>
          <w:rFonts w:hint="default" w:eastAsia="Times New Roman"/>
          <w:kern w:val="0"/>
          <w:sz w:val="32"/>
          <w:szCs w:val="24"/>
          <w:highlight w:val="none"/>
          <w:lang w:val="en-US"/>
        </w:rPr>
      </w:pPr>
      <w:r>
        <w:rPr>
          <w:rFonts w:hint="eastAsia" w:ascii="仿宋_GB2312" w:hAnsi="仿宋_GB2312" w:eastAsia="仿宋_GB2312"/>
          <w:kern w:val="0"/>
          <w:sz w:val="32"/>
          <w:szCs w:val="24"/>
          <w:highlight w:val="none"/>
          <w:lang w:val="en-US"/>
        </w:rPr>
        <w:t>与</w:t>
      </w:r>
      <w:r>
        <w:rPr>
          <w:rFonts w:hint="eastAsia" w:ascii="仿宋_GB2312" w:hAnsi="仿宋_GB2312" w:eastAsia="仿宋_GB2312"/>
          <w:sz w:val="32"/>
          <w:szCs w:val="24"/>
          <w:highlight w:val="none"/>
          <w:lang w:val="en-US"/>
        </w:rPr>
        <w:t>全年</w:t>
      </w:r>
      <w:r>
        <w:rPr>
          <w:rFonts w:hint="eastAsia" w:ascii="仿宋_GB2312" w:hAnsi="仿宋_GB2312" w:eastAsia="仿宋_GB2312"/>
          <w:kern w:val="0"/>
          <w:sz w:val="32"/>
          <w:szCs w:val="24"/>
          <w:highlight w:val="none"/>
          <w:lang w:val="en-US"/>
        </w:rPr>
        <w:t>预算</w:t>
      </w:r>
      <w:r>
        <w:rPr>
          <w:rFonts w:hint="eastAsia" w:ascii="仿宋_GB2312" w:hAnsi="仿宋_GB2312" w:eastAsia="仿宋_GB2312"/>
          <w:kern w:val="0"/>
          <w:sz w:val="32"/>
          <w:szCs w:val="24"/>
          <w:highlight w:val="none"/>
          <w:lang w:val="zh-CN"/>
        </w:rPr>
        <w:t>数</w:t>
      </w:r>
      <w:r>
        <w:rPr>
          <w:rFonts w:hint="eastAsia" w:ascii="仿宋_GB2312" w:hAnsi="仿宋_GB2312" w:eastAsia="仿宋_GB2312"/>
          <w:kern w:val="0"/>
          <w:sz w:val="32"/>
          <w:szCs w:val="24"/>
          <w:highlight w:val="none"/>
          <w:lang w:val="en-US"/>
        </w:rPr>
        <w:t>相比情况</w:t>
      </w:r>
      <w:r>
        <w:rPr>
          <w:rFonts w:hint="eastAsia" w:ascii="仿宋_GB2312" w:hAnsi="仿宋_GB2312" w:eastAsia="仿宋_GB2312"/>
          <w:sz w:val="32"/>
          <w:szCs w:val="24"/>
          <w:highlight w:val="none"/>
          <w:lang w:val="en-US"/>
        </w:rPr>
        <w:t>：</w:t>
      </w:r>
      <w:r>
        <w:rPr>
          <w:rFonts w:hint="default" w:eastAsia="Times New Roman"/>
          <w:kern w:val="0"/>
          <w:sz w:val="32"/>
          <w:szCs w:val="24"/>
          <w:highlight w:val="none"/>
          <w:lang w:val="en-US"/>
        </w:rPr>
        <w:t>“</w:t>
      </w:r>
      <w:r>
        <w:rPr>
          <w:rFonts w:hint="eastAsia" w:ascii="仿宋_GB2312" w:hAnsi="仿宋_GB2312" w:eastAsia="仿宋_GB2312"/>
          <w:kern w:val="0"/>
          <w:sz w:val="32"/>
          <w:szCs w:val="24"/>
          <w:highlight w:val="none"/>
          <w:lang w:val="en-US"/>
        </w:rPr>
        <w:t>三公</w:t>
      </w:r>
      <w:r>
        <w:rPr>
          <w:rFonts w:hint="default" w:eastAsia="Times New Roman"/>
          <w:kern w:val="0"/>
          <w:sz w:val="32"/>
          <w:szCs w:val="24"/>
          <w:highlight w:val="none"/>
          <w:lang w:val="en-US"/>
        </w:rPr>
        <w:t>”</w:t>
      </w:r>
      <w:r>
        <w:rPr>
          <w:rFonts w:hint="eastAsia" w:ascii="仿宋_GB2312" w:hAnsi="仿宋_GB2312" w:eastAsia="仿宋_GB2312"/>
          <w:kern w:val="0"/>
          <w:sz w:val="32"/>
          <w:szCs w:val="24"/>
          <w:highlight w:val="none"/>
          <w:lang w:val="en-US"/>
        </w:rPr>
        <w:t>经费支出</w:t>
      </w:r>
      <w:r>
        <w:rPr>
          <w:rFonts w:hint="eastAsia" w:ascii="仿宋_GB2312" w:hAnsi="仿宋_GB2312" w:eastAsia="仿宋_GB2312"/>
          <w:sz w:val="32"/>
          <w:szCs w:val="24"/>
          <w:highlight w:val="none"/>
          <w:lang w:val="en-US"/>
        </w:rPr>
        <w:t>全年预算数</w:t>
      </w:r>
      <w:r>
        <w:rPr>
          <w:rFonts w:hint="eastAsia" w:ascii="仿宋_GB2312" w:hAnsi="仿宋_GB2312" w:eastAsia="仿宋_GB2312"/>
          <w:kern w:val="0"/>
          <w:sz w:val="32"/>
          <w:szCs w:val="24"/>
          <w:highlight w:val="none"/>
          <w:lang w:val="en-US"/>
        </w:rPr>
        <w:t>12.50万元，决算数12.50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hAnsi="仿宋_GB2312" w:eastAsia="仿宋_GB2312"/>
          <w:kern w:val="0"/>
          <w:sz w:val="32"/>
          <w:szCs w:val="24"/>
          <w:highlight w:val="none"/>
          <w:lang w:val="en-US" w:eastAsia="zh-CN"/>
        </w:rPr>
        <w:t>本年单位无此项支出</w:t>
      </w:r>
      <w:r>
        <w:rPr>
          <w:rFonts w:hint="eastAsia" w:ascii="仿宋_GB2312" w:hAnsi="仿宋_GB2312" w:eastAsia="仿宋_GB2312"/>
          <w:kern w:val="0"/>
          <w:sz w:val="32"/>
          <w:szCs w:val="24"/>
          <w:highlight w:val="none"/>
          <w:lang w:val="en-US"/>
        </w:rPr>
        <w:t>；公务用车运行费全年预算数12.50万元，决算数12.50万元，预决算差异率0.00%，主要原因是：单位严格执行“三公”经费支出标准，未超预算；公务接待费全年预算数0.00万元，决算数0.00万元，预决算差异率</w:t>
      </w:r>
      <w:bookmarkStart w:id="0" w:name="_GoBack"/>
      <w:bookmarkEnd w:id="0"/>
      <w:r>
        <w:rPr>
          <w:rFonts w:hint="eastAsia" w:ascii="仿宋_GB2312" w:hAnsi="仿宋_GB2312" w:eastAsia="仿宋_GB2312"/>
          <w:kern w:val="0"/>
          <w:sz w:val="32"/>
          <w:szCs w:val="24"/>
          <w:highlight w:val="none"/>
          <w:lang w:val="en-US"/>
        </w:rPr>
        <w:t>0.00%，主要原因是：</w:t>
      </w:r>
      <w:r>
        <w:rPr>
          <w:rFonts w:hint="eastAsia" w:ascii="仿宋_GB2312" w:hAnsi="仿宋_GB2312" w:eastAsia="仿宋_GB2312"/>
          <w:kern w:val="0"/>
          <w:sz w:val="32"/>
          <w:szCs w:val="24"/>
          <w:highlight w:val="none"/>
          <w:lang w:val="en-US" w:eastAsia="zh-CN"/>
        </w:rPr>
        <w:t>本年单位无此项支出</w:t>
      </w:r>
      <w:r>
        <w:rPr>
          <w:rFonts w:hint="eastAsia" w:ascii="仿宋_GB2312" w:hAnsi="仿宋_GB2312" w:eastAsia="仿宋_GB2312"/>
          <w:kern w:val="0"/>
          <w:sz w:val="32"/>
          <w:szCs w:val="24"/>
          <w:highlight w:val="none"/>
          <w:lang w:val="en-US"/>
        </w:rPr>
        <w:t>。</w:t>
      </w:r>
    </w:p>
    <w:p>
      <w:pPr>
        <w:spacing w:line="360" w:lineRule="auto"/>
        <w:ind w:firstLine="640"/>
        <w:rPr>
          <w:rFonts w:hint="default" w:eastAsia="Times New Roman"/>
          <w:sz w:val="32"/>
          <w:szCs w:val="24"/>
          <w:highlight w:val="none"/>
          <w:lang w:val="zh-CN"/>
        </w:rPr>
      </w:pPr>
      <w:r>
        <w:rPr>
          <w:rFonts w:hint="eastAsia" w:ascii="黑体" w:hAnsi="黑体" w:eastAsia="黑体"/>
          <w:sz w:val="32"/>
          <w:szCs w:val="24"/>
          <w:highlight w:val="none"/>
          <w:lang w:val="zh-CN"/>
        </w:rPr>
        <w:t>八、政府性基金预算财政拨款收入支出决算情况说明</w:t>
      </w:r>
    </w:p>
    <w:p>
      <w:pPr>
        <w:shd w:val="clear" w:color="auto" w:fill="FFFFFF"/>
        <w:spacing w:line="360" w:lineRule="auto"/>
        <w:ind w:firstLine="640"/>
        <w:rPr>
          <w:rFonts w:hint="eastAsia" w:ascii="仿宋_GB2312" w:hAnsi="仿宋_GB2312" w:eastAsia="仿宋_GB2312"/>
          <w:kern w:val="0"/>
          <w:sz w:val="32"/>
          <w:szCs w:val="24"/>
          <w:highlight w:val="yellow"/>
          <w:lang w:val="en-US"/>
        </w:rPr>
      </w:pPr>
      <w:r>
        <w:rPr>
          <w:rFonts w:hint="eastAsia" w:ascii="仿宋_GB2312" w:hAnsi="仿宋_GB2312" w:eastAsia="仿宋_GB2312"/>
          <w:kern w:val="0"/>
          <w:sz w:val="32"/>
          <w:szCs w:val="24"/>
          <w:highlight w:val="none"/>
          <w:lang w:val="en-US"/>
        </w:rPr>
        <w:t>我单位本年度无政府性基金预算财政拨款收入、支出及结</w:t>
      </w:r>
      <w:r>
        <w:rPr>
          <w:rFonts w:hint="eastAsia" w:ascii="仿宋_GB2312" w:hAnsi="仿宋_GB2312" w:eastAsia="仿宋_GB2312"/>
          <w:kern w:val="0"/>
          <w:sz w:val="32"/>
          <w:szCs w:val="24"/>
          <w:lang w:val="en-US"/>
        </w:rPr>
        <w:t>转和结余，政府性基金预算财政拨款收入支出决算表为空表。</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九、国有资本经营预算财政拨款收入支出决算情况说明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我单位本年度无国有资本经营预算财政拨款收入、支出及结转和结余，国有资本经营预算财政拨款收入支出决算表为空表。</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十、其他重要事项的情况说明</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 xml:space="preserve">（一）机关运行经费支出情况 </w:t>
      </w:r>
    </w:p>
    <w:p>
      <w:pPr>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lang w:val="en-US"/>
        </w:rPr>
        <w:t>2022年度乌鲁木齐市米东区发展和改革委员会（工业和信息化局）单位机关</w:t>
      </w:r>
      <w:r>
        <w:rPr>
          <w:rFonts w:hint="eastAsia" w:ascii="仿宋_GB2312" w:hAnsi="仿宋_GB2312" w:eastAsia="仿宋_GB2312"/>
          <w:color w:val="auto"/>
          <w:kern w:val="0"/>
          <w:sz w:val="32"/>
          <w:szCs w:val="24"/>
          <w:highlight w:val="none"/>
          <w:lang w:val="en-US"/>
        </w:rPr>
        <w:t>运行经费支出182.77万元，比上年增加8.00万元，增长4.58%，主要原因是：</w:t>
      </w:r>
      <w:r>
        <w:rPr>
          <w:rFonts w:hint="eastAsia" w:ascii="仿宋_GB2312" w:hAnsi="仿宋_GB2312" w:eastAsia="仿宋_GB2312"/>
          <w:color w:val="auto"/>
          <w:kern w:val="0"/>
          <w:sz w:val="32"/>
          <w:szCs w:val="24"/>
          <w:highlight w:val="none"/>
          <w:lang w:val="en-US" w:eastAsia="zh-CN"/>
        </w:rPr>
        <w:t>本年委托业务费、办公设备购置费用增加</w:t>
      </w:r>
      <w:r>
        <w:rPr>
          <w:rFonts w:hint="eastAsia" w:ascii="仿宋_GB2312" w:hAnsi="仿宋_GB2312" w:eastAsia="仿宋_GB2312"/>
          <w:color w:val="auto"/>
          <w:kern w:val="0"/>
          <w:sz w:val="32"/>
          <w:szCs w:val="24"/>
          <w:highlight w:val="none"/>
          <w:lang w:val="en-US"/>
        </w:rPr>
        <w:t>。</w:t>
      </w:r>
    </w:p>
    <w:p>
      <w:pPr>
        <w:spacing w:line="360" w:lineRule="auto"/>
        <w:ind w:firstLine="640"/>
        <w:rPr>
          <w:rFonts w:hint="default" w:eastAsia="Times New Roman"/>
          <w:color w:val="auto"/>
          <w:sz w:val="32"/>
          <w:szCs w:val="24"/>
          <w:lang w:val="en-US"/>
        </w:rPr>
      </w:pPr>
      <w:r>
        <w:rPr>
          <w:rFonts w:hint="eastAsia" w:ascii="黑体" w:hAnsi="黑体" w:eastAsia="黑体"/>
          <w:color w:val="auto"/>
          <w:sz w:val="32"/>
          <w:szCs w:val="24"/>
          <w:lang w:val="en-US"/>
        </w:rPr>
        <w:t>（</w:t>
      </w:r>
      <w:r>
        <w:rPr>
          <w:rFonts w:hint="eastAsia" w:ascii="黑体" w:hAnsi="黑体" w:eastAsia="黑体"/>
          <w:color w:val="auto"/>
          <w:sz w:val="32"/>
          <w:szCs w:val="24"/>
          <w:lang w:val="zh-CN"/>
        </w:rPr>
        <w:t>二</w:t>
      </w:r>
      <w:r>
        <w:rPr>
          <w:rFonts w:hint="eastAsia" w:ascii="黑体" w:hAnsi="黑体" w:eastAsia="黑体"/>
          <w:color w:val="auto"/>
          <w:sz w:val="32"/>
          <w:szCs w:val="24"/>
          <w:lang w:val="en-US"/>
        </w:rPr>
        <w:t>）</w:t>
      </w:r>
      <w:r>
        <w:rPr>
          <w:rFonts w:hint="eastAsia" w:ascii="黑体" w:hAnsi="黑体" w:eastAsia="黑体"/>
          <w:color w:val="auto"/>
          <w:sz w:val="32"/>
          <w:szCs w:val="24"/>
          <w:lang w:val="zh-CN"/>
        </w:rPr>
        <w:t>政府采购情况</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2022年度政府采购支出总额189.49万元，其中：政府采购货物支出4.87万元、政府采购工程支出0.00万元、政府采购服务支出184.62万元。</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授予中小企业合同金额137.59万元，占政府采购支出总额的72.61%，其中：授予小微企业合同金额7.59万元，占政府采购支出总额的4.01%。</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（三）国有资产占用情况说明</w:t>
      </w:r>
    </w:p>
    <w:p>
      <w:pPr>
        <w:shd w:val="clear" w:color="auto" w:fill="FFFFFF"/>
        <w:spacing w:line="360" w:lineRule="auto"/>
        <w:ind w:firstLine="640"/>
        <w:rPr>
          <w:rFonts w:hint="default" w:eastAsia="Times New Roman"/>
          <w:color w:val="auto"/>
          <w:kern w:val="0"/>
          <w:sz w:val="32"/>
          <w:szCs w:val="24"/>
          <w:highlight w:val="none"/>
          <w:lang w:val="en-US"/>
        </w:rPr>
      </w:pPr>
      <w:r>
        <w:rPr>
          <w:rFonts w:hint="eastAsia" w:ascii="仿宋_GB2312" w:hAnsi="仿宋_GB2312" w:eastAsia="仿宋_GB2312"/>
          <w:color w:val="auto"/>
          <w:kern w:val="0"/>
          <w:sz w:val="32"/>
          <w:szCs w:val="24"/>
          <w:lang w:val="en-US"/>
        </w:rPr>
        <w:t>截止2022年12月31日，</w:t>
      </w:r>
      <w:r>
        <w:rPr>
          <w:rFonts w:hint="eastAsia" w:ascii="仿宋_GB2312" w:hAnsi="仿宋_GB2312" w:eastAsia="仿宋_GB2312"/>
          <w:color w:val="auto"/>
          <w:sz w:val="32"/>
          <w:szCs w:val="24"/>
          <w:lang w:val="en-US"/>
        </w:rPr>
        <w:t>固定资产原值</w:t>
      </w:r>
      <w:r>
        <w:rPr>
          <w:rFonts w:hint="eastAsia" w:ascii="仿宋_GB2312" w:hAnsi="仿宋_GB2312" w:eastAsia="仿宋_GB2312"/>
          <w:color w:val="auto"/>
          <w:kern w:val="0"/>
          <w:sz w:val="32"/>
          <w:szCs w:val="24"/>
          <w:lang w:val="en-US"/>
        </w:rPr>
        <w:t>470.60</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房屋1,950.00平方米，价值33.99万元。车辆4辆，价值88.64万元，其中：副部（省）级及以上领导用车0辆、主要领导干部用车4辆、机要通信用车0辆、应急保障用车0辆、执法执勤用车0辆、特种专业技术用车0辆、离退休干部用车0辆、其他用车0辆</w:t>
      </w:r>
      <w:r>
        <w:rPr>
          <w:rFonts w:hint="eastAsia" w:ascii="仿宋_GB2312" w:hAnsi="仿宋_GB2312" w:eastAsia="仿宋_GB2312"/>
          <w:color w:val="auto"/>
          <w:kern w:val="0"/>
          <w:sz w:val="32"/>
          <w:szCs w:val="24"/>
          <w:highlight w:val="none"/>
          <w:lang w:val="en-US"/>
        </w:rPr>
        <w:t>，其他用车主要是：</w:t>
      </w:r>
      <w:r>
        <w:rPr>
          <w:rFonts w:hint="eastAsia" w:ascii="仿宋_GB2312" w:hAnsi="仿宋_GB2312" w:eastAsia="仿宋_GB2312"/>
          <w:color w:val="auto"/>
          <w:kern w:val="0"/>
          <w:sz w:val="32"/>
          <w:szCs w:val="24"/>
          <w:highlight w:val="none"/>
          <w:lang w:val="en-US" w:eastAsia="zh-CN"/>
        </w:rPr>
        <w:t>我单位无其他用车</w:t>
      </w:r>
      <w:r>
        <w:rPr>
          <w:rFonts w:hint="eastAsia" w:ascii="仿宋_GB2312" w:hAnsi="仿宋_GB2312" w:eastAsia="仿宋_GB2312"/>
          <w:color w:val="auto"/>
          <w:kern w:val="0"/>
          <w:sz w:val="32"/>
          <w:szCs w:val="24"/>
          <w:highlight w:val="none"/>
          <w:lang w:val="en-US"/>
        </w:rPr>
        <w:t>；单价100</w:t>
      </w:r>
      <w:r>
        <w:rPr>
          <w:rFonts w:hint="eastAsia" w:ascii="仿宋_GB2312" w:hAnsi="仿宋_GB2312" w:eastAsia="仿宋_GB2312"/>
          <w:color w:val="auto"/>
          <w:sz w:val="32"/>
          <w:szCs w:val="24"/>
          <w:highlight w:val="none"/>
          <w:lang w:val="en-US"/>
        </w:rPr>
        <w:t>万元（含）以上设备（不含车辆）</w:t>
      </w:r>
      <w:r>
        <w:rPr>
          <w:rFonts w:hint="eastAsia" w:ascii="仿宋_GB2312" w:hAnsi="仿宋_GB2312" w:eastAsia="仿宋_GB2312"/>
          <w:color w:val="auto"/>
          <w:kern w:val="0"/>
          <w:sz w:val="32"/>
          <w:szCs w:val="24"/>
          <w:highlight w:val="none"/>
          <w:lang w:val="en-US"/>
        </w:rPr>
        <w:t>2台（套）。</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十一、预算绩效的情况说明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highlight w:val="none"/>
          <w:lang w:val="en-US"/>
        </w:rPr>
        <w:t>根据预算绩效管理要求，我单位2022年度开展预算绩效评价项目</w:t>
      </w:r>
      <w:r>
        <w:rPr>
          <w:rFonts w:hint="eastAsia" w:ascii="仿宋_GB2312" w:hAnsi="仿宋_GB2312" w:eastAsia="仿宋_GB2312"/>
          <w:color w:val="auto"/>
          <w:kern w:val="0"/>
          <w:sz w:val="32"/>
          <w:szCs w:val="24"/>
          <w:highlight w:val="none"/>
          <w:lang w:val="en-US" w:eastAsia="zh-CN"/>
        </w:rPr>
        <w:t>1</w:t>
      </w:r>
      <w:r>
        <w:rPr>
          <w:rFonts w:hint="eastAsia" w:ascii="仿宋_GB2312" w:hAnsi="仿宋_GB2312" w:eastAsia="仿宋_GB2312"/>
          <w:color w:val="auto"/>
          <w:kern w:val="0"/>
          <w:sz w:val="32"/>
          <w:szCs w:val="24"/>
          <w:highlight w:val="none"/>
          <w:lang w:val="en-US"/>
        </w:rPr>
        <w:t>个，</w:t>
      </w:r>
      <w:r>
        <w:rPr>
          <w:rFonts w:hint="eastAsia" w:ascii="仿宋_GB2312" w:hAnsi="仿宋_GB2312" w:eastAsia="仿宋_GB2312"/>
          <w:color w:val="auto"/>
          <w:sz w:val="32"/>
          <w:szCs w:val="24"/>
          <w:highlight w:val="none"/>
          <w:lang w:val="en-US"/>
        </w:rPr>
        <w:t>全年预算数</w:t>
      </w:r>
      <w:r>
        <w:rPr>
          <w:rFonts w:hint="eastAsia" w:ascii="仿宋_GB2312" w:hAnsi="仿宋_GB2312" w:eastAsia="仿宋_GB2312"/>
          <w:color w:val="auto"/>
          <w:kern w:val="0"/>
          <w:sz w:val="32"/>
          <w:szCs w:val="24"/>
          <w:highlight w:val="none"/>
          <w:lang w:val="en-US" w:eastAsia="zh-CN"/>
        </w:rPr>
        <w:t>30.66</w:t>
      </w:r>
      <w:r>
        <w:rPr>
          <w:rFonts w:hint="eastAsia" w:ascii="仿宋_GB2312" w:hAnsi="仿宋_GB2312" w:eastAsia="仿宋_GB2312"/>
          <w:color w:val="auto"/>
          <w:sz w:val="32"/>
          <w:szCs w:val="24"/>
          <w:highlight w:val="none"/>
          <w:lang w:val="en-US"/>
        </w:rPr>
        <w:t>万元，全年执行数</w:t>
      </w:r>
      <w:r>
        <w:rPr>
          <w:rFonts w:hint="eastAsia" w:ascii="仿宋_GB2312" w:hAnsi="仿宋_GB2312" w:eastAsia="仿宋_GB2312"/>
          <w:color w:val="auto"/>
          <w:kern w:val="0"/>
          <w:sz w:val="32"/>
          <w:szCs w:val="24"/>
          <w:highlight w:val="none"/>
          <w:lang w:val="en-US" w:eastAsia="zh-CN"/>
        </w:rPr>
        <w:t>30.66</w:t>
      </w:r>
      <w:r>
        <w:rPr>
          <w:rFonts w:hint="eastAsia" w:ascii="仿宋_GB2312" w:hAnsi="仿宋_GB2312" w:eastAsia="仿宋_GB2312"/>
          <w:color w:val="auto"/>
          <w:sz w:val="32"/>
          <w:szCs w:val="24"/>
          <w:highlight w:val="none"/>
          <w:lang w:val="en-US"/>
        </w:rPr>
        <w:t>万元。</w:t>
      </w:r>
      <w:r>
        <w:rPr>
          <w:rFonts w:hint="eastAsia" w:ascii="仿宋_GB2312" w:hAnsi="仿宋_GB2312" w:eastAsia="仿宋_GB2312"/>
          <w:color w:val="auto"/>
          <w:kern w:val="0"/>
          <w:sz w:val="32"/>
          <w:szCs w:val="24"/>
          <w:highlight w:val="none"/>
          <w:lang w:val="en-US"/>
        </w:rPr>
        <w:t>预算绩效管理取得的成效：一是有效督促项目资金及时足额支付；；二是为次年预算编制提供辆充分的数字依据。发现的问题及原因：一是预算绩效管理制度不完善；二是单位内部沟通协调不够细致，存在相互推诿脱拉现象。下一步改进措施：一是应科学编制部门预算，减少财政拨款收入预决算差异率；二是当年项目资金因及时支付，减少财政额度资金，从而有效控制财政应返还额度变动率。应严格《预算法》执行部门预算，按照财政批复的部门预算和绩效目标的项目和用途使用资金，不得擅自调剂使用。具体项目</w:t>
      </w:r>
      <w:r>
        <w:rPr>
          <w:rFonts w:hint="eastAsia" w:ascii="仿宋_GB2312" w:hAnsi="仿宋_GB2312" w:eastAsia="仿宋_GB2312"/>
          <w:color w:val="auto"/>
          <w:kern w:val="0"/>
          <w:sz w:val="32"/>
          <w:szCs w:val="24"/>
          <w:lang w:val="en-US"/>
        </w:rPr>
        <w:t>自评情况附项目支出绩效自评表。</w:t>
      </w:r>
    </w:p>
    <w:tbl>
      <w:tblPr>
        <w:tblStyle w:val="3"/>
        <w:tblW w:w="4884" w:type="pct"/>
        <w:jc w:val="center"/>
        <w:tblLayout w:type="fixed"/>
        <w:tblCellMar>
          <w:top w:w="0" w:type="dxa"/>
          <w:left w:w="108" w:type="dxa"/>
          <w:bottom w:w="0" w:type="dxa"/>
          <w:right w:w="108" w:type="dxa"/>
        </w:tblCellMar>
      </w:tblPr>
      <w:tblGrid>
        <w:gridCol w:w="903"/>
        <w:gridCol w:w="236"/>
        <w:gridCol w:w="1091"/>
        <w:gridCol w:w="966"/>
        <w:gridCol w:w="1013"/>
        <w:gridCol w:w="795"/>
        <w:gridCol w:w="873"/>
        <w:gridCol w:w="623"/>
        <w:gridCol w:w="784"/>
        <w:gridCol w:w="1367"/>
      </w:tblGrid>
      <w:tr>
        <w:tblPrEx>
          <w:tblCellMar>
            <w:top w:w="0" w:type="dxa"/>
            <w:left w:w="108" w:type="dxa"/>
            <w:bottom w:w="0" w:type="dxa"/>
            <w:right w:w="108" w:type="dxa"/>
          </w:tblCellMar>
        </w:tblPrEx>
        <w:trPr>
          <w:trHeight w:val="405" w:hRule="atLeast"/>
          <w:jc w:val="center"/>
        </w:trPr>
        <w:tc>
          <w:tcPr>
            <w:tcW w:w="8651" w:type="dxa"/>
            <w:gridSpan w:val="10"/>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p>
        </w:tc>
      </w:tr>
      <w:tr>
        <w:tblPrEx>
          <w:tblCellMar>
            <w:top w:w="0" w:type="dxa"/>
            <w:left w:w="108" w:type="dxa"/>
            <w:bottom w:w="0" w:type="dxa"/>
            <w:right w:w="108" w:type="dxa"/>
          </w:tblCellMar>
        </w:tblPrEx>
        <w:trPr>
          <w:trHeight w:val="270" w:hRule="atLeast"/>
          <w:jc w:val="center"/>
        </w:trPr>
        <w:tc>
          <w:tcPr>
            <w:tcW w:w="8651" w:type="dxa"/>
            <w:gridSpan w:val="10"/>
            <w:tcBorders>
              <w:top w:val="nil"/>
              <w:left w:val="nil"/>
              <w:bottom w:val="single" w:color="auto" w:sz="4" w:space="0"/>
              <w:right w:val="nil"/>
            </w:tcBorders>
            <w:shd w:val="clear" w:color="auto" w:fill="auto"/>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(2022年度)</w:t>
            </w:r>
          </w:p>
        </w:tc>
      </w:tr>
      <w:tr>
        <w:tblPrEx>
          <w:tblCellMar>
            <w:top w:w="0" w:type="dxa"/>
            <w:left w:w="108" w:type="dxa"/>
            <w:bottom w:w="0" w:type="dxa"/>
            <w:right w:w="108" w:type="dxa"/>
          </w:tblCellMar>
        </w:tblPrEx>
        <w:trPr>
          <w:trHeight w:val="398" w:hRule="atLeast"/>
          <w:jc w:val="center"/>
        </w:trPr>
        <w:tc>
          <w:tcPr>
            <w:tcW w:w="90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项目名称</w:t>
            </w:r>
          </w:p>
        </w:tc>
        <w:tc>
          <w:tcPr>
            <w:tcW w:w="7748" w:type="dxa"/>
            <w:gridSpan w:val="9"/>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乌财建【2021】334 关于调整下达2021年纺织服装专项资金（第二批）的通知</w:t>
            </w:r>
          </w:p>
        </w:tc>
      </w:tr>
      <w:tr>
        <w:tblPrEx>
          <w:tblCellMar>
            <w:top w:w="0" w:type="dxa"/>
            <w:left w:w="108" w:type="dxa"/>
            <w:bottom w:w="0" w:type="dxa"/>
            <w:right w:w="108" w:type="dxa"/>
          </w:tblCellMar>
        </w:tblPrEx>
        <w:trPr>
          <w:trHeight w:val="398" w:hRule="atLeast"/>
          <w:jc w:val="center"/>
        </w:trPr>
        <w:tc>
          <w:tcPr>
            <w:tcW w:w="90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主管部门</w:t>
            </w:r>
          </w:p>
        </w:tc>
        <w:tc>
          <w:tcPr>
            <w:tcW w:w="410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乌鲁木齐市米东区经济和发展改革委员会机关</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实施单位</w:t>
            </w:r>
          </w:p>
        </w:tc>
        <w:tc>
          <w:tcPr>
            <w:tcW w:w="2774"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乌鲁木齐市米东区经济和发展改革委员会机关</w:t>
            </w:r>
          </w:p>
        </w:tc>
      </w:tr>
      <w:tr>
        <w:tblPrEx>
          <w:tblCellMar>
            <w:top w:w="0" w:type="dxa"/>
            <w:left w:w="108" w:type="dxa"/>
            <w:bottom w:w="0" w:type="dxa"/>
            <w:right w:w="108" w:type="dxa"/>
          </w:tblCellMar>
        </w:tblPrEx>
        <w:trPr>
          <w:trHeight w:val="398" w:hRule="atLeast"/>
          <w:jc w:val="center"/>
        </w:trPr>
        <w:tc>
          <w:tcPr>
            <w:tcW w:w="9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项目资金</w:t>
            </w:r>
          </w:p>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（万元）</w:t>
            </w:r>
          </w:p>
        </w:tc>
        <w:tc>
          <w:tcPr>
            <w:tcW w:w="229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1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年初预算数</w:t>
            </w:r>
          </w:p>
        </w:tc>
        <w:tc>
          <w:tcPr>
            <w:tcW w:w="79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全年预算数</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全年执行数</w:t>
            </w:r>
          </w:p>
        </w:tc>
        <w:tc>
          <w:tcPr>
            <w:tcW w:w="6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78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执行率</w:t>
            </w:r>
          </w:p>
        </w:tc>
        <w:tc>
          <w:tcPr>
            <w:tcW w:w="136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r>
      <w:tr>
        <w:tblPrEx>
          <w:tblCellMar>
            <w:top w:w="0" w:type="dxa"/>
            <w:left w:w="108" w:type="dxa"/>
            <w:bottom w:w="0" w:type="dxa"/>
            <w:right w:w="108" w:type="dxa"/>
          </w:tblCellMar>
        </w:tblPrEx>
        <w:trPr>
          <w:trHeight w:val="398" w:hRule="atLeast"/>
          <w:jc w:val="center"/>
        </w:trPr>
        <w:tc>
          <w:tcPr>
            <w:tcW w:w="9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229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年度资金总额</w:t>
            </w:r>
          </w:p>
        </w:tc>
        <w:tc>
          <w:tcPr>
            <w:tcW w:w="101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79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30.66</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30.66</w:t>
            </w:r>
          </w:p>
        </w:tc>
        <w:tc>
          <w:tcPr>
            <w:tcW w:w="6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78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c>
          <w:tcPr>
            <w:tcW w:w="136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10.00分</w:t>
            </w:r>
          </w:p>
        </w:tc>
      </w:tr>
      <w:tr>
        <w:tblPrEx>
          <w:tblCellMar>
            <w:top w:w="0" w:type="dxa"/>
            <w:left w:w="108" w:type="dxa"/>
            <w:bottom w:w="0" w:type="dxa"/>
            <w:right w:w="108" w:type="dxa"/>
          </w:tblCellMar>
        </w:tblPrEx>
        <w:trPr>
          <w:trHeight w:val="398" w:hRule="atLeast"/>
          <w:jc w:val="center"/>
        </w:trPr>
        <w:tc>
          <w:tcPr>
            <w:tcW w:w="9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229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其中：当年财政拨款</w:t>
            </w:r>
          </w:p>
        </w:tc>
        <w:tc>
          <w:tcPr>
            <w:tcW w:w="101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0</w:t>
            </w:r>
            <w:r>
              <w:rPr>
                <w:rFonts w:hint="eastAsia" w:ascii="宋体" w:hAnsi="宋体" w:cs="宋体"/>
                <w:color w:val="000000"/>
                <w:kern w:val="0"/>
                <w:sz w:val="18"/>
                <w:szCs w:val="18"/>
                <w:lang w:val="en-US" w:eastAsia="zh-CN"/>
              </w:rPr>
              <w:t>.00</w:t>
            </w:r>
          </w:p>
        </w:tc>
        <w:tc>
          <w:tcPr>
            <w:tcW w:w="79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30.66</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30.66</w:t>
            </w:r>
          </w:p>
        </w:tc>
        <w:tc>
          <w:tcPr>
            <w:tcW w:w="6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8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36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CellMar>
            <w:top w:w="0" w:type="dxa"/>
            <w:left w:w="108" w:type="dxa"/>
            <w:bottom w:w="0" w:type="dxa"/>
            <w:right w:w="108" w:type="dxa"/>
          </w:tblCellMar>
        </w:tblPrEx>
        <w:trPr>
          <w:trHeight w:val="398" w:hRule="atLeast"/>
          <w:jc w:val="center"/>
        </w:trPr>
        <w:tc>
          <w:tcPr>
            <w:tcW w:w="9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229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上年结转资金</w:t>
            </w:r>
          </w:p>
        </w:tc>
        <w:tc>
          <w:tcPr>
            <w:tcW w:w="101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79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6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8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36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CellMar>
            <w:top w:w="0" w:type="dxa"/>
            <w:left w:w="108" w:type="dxa"/>
            <w:bottom w:w="0" w:type="dxa"/>
            <w:right w:w="108" w:type="dxa"/>
          </w:tblCellMar>
        </w:tblPrEx>
        <w:trPr>
          <w:trHeight w:val="398" w:hRule="atLeast"/>
          <w:jc w:val="center"/>
        </w:trPr>
        <w:tc>
          <w:tcPr>
            <w:tcW w:w="9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2293"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其他资金</w:t>
            </w:r>
          </w:p>
        </w:tc>
        <w:tc>
          <w:tcPr>
            <w:tcW w:w="101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79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87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6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78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36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CellMar>
            <w:top w:w="0" w:type="dxa"/>
            <w:left w:w="108" w:type="dxa"/>
            <w:bottom w:w="0" w:type="dxa"/>
            <w:right w:w="108" w:type="dxa"/>
          </w:tblCellMar>
        </w:tblPrEx>
        <w:trPr>
          <w:trHeight w:val="398" w:hRule="atLeast"/>
          <w:jc w:val="center"/>
        </w:trPr>
        <w:tc>
          <w:tcPr>
            <w:tcW w:w="11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年度总体目标</w:t>
            </w:r>
          </w:p>
        </w:tc>
        <w:tc>
          <w:tcPr>
            <w:tcW w:w="3865"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预期目标</w:t>
            </w:r>
          </w:p>
        </w:tc>
        <w:tc>
          <w:tcPr>
            <w:tcW w:w="364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实际完成情况</w:t>
            </w:r>
          </w:p>
        </w:tc>
      </w:tr>
      <w:tr>
        <w:tblPrEx>
          <w:tblCellMar>
            <w:top w:w="0" w:type="dxa"/>
            <w:left w:w="108" w:type="dxa"/>
            <w:bottom w:w="0" w:type="dxa"/>
            <w:right w:w="108" w:type="dxa"/>
          </w:tblCellMar>
        </w:tblPrEx>
        <w:trPr>
          <w:trHeight w:val="2159" w:hRule="atLeast"/>
          <w:jc w:val="center"/>
        </w:trPr>
        <w:tc>
          <w:tcPr>
            <w:tcW w:w="11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386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本项目主要用以为我区3家纺织企业提供补贴，包括：电费补贴（自治区资金）149513.11元；社保补贴（中央资金）157067.96元。通过实施本项目，可以有效降低企业生产成本，使得企业经营效益增大，促进纺织企业平稳发展，从而帮助企业可持续发展。</w:t>
            </w:r>
          </w:p>
        </w:tc>
        <w:tc>
          <w:tcPr>
            <w:tcW w:w="364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w:t>
            </w:r>
          </w:p>
        </w:tc>
      </w:tr>
      <w:tr>
        <w:tblPrEx>
          <w:tblCellMar>
            <w:top w:w="0" w:type="dxa"/>
            <w:left w:w="108" w:type="dxa"/>
            <w:bottom w:w="0" w:type="dxa"/>
            <w:right w:w="108" w:type="dxa"/>
          </w:tblCellMar>
        </w:tblPrEx>
        <w:trPr>
          <w:trHeight w:val="398" w:hRule="atLeast"/>
          <w:jc w:val="center"/>
        </w:trPr>
        <w:tc>
          <w:tcPr>
            <w:tcW w:w="11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一级指标</w:t>
            </w:r>
          </w:p>
        </w:tc>
        <w:tc>
          <w:tcPr>
            <w:tcW w:w="9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二级指标</w:t>
            </w:r>
          </w:p>
        </w:tc>
        <w:tc>
          <w:tcPr>
            <w:tcW w:w="101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三级指标</w:t>
            </w:r>
          </w:p>
        </w:tc>
        <w:tc>
          <w:tcPr>
            <w:tcW w:w="7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年度指标值</w:t>
            </w:r>
          </w:p>
        </w:tc>
        <w:tc>
          <w:tcPr>
            <w:tcW w:w="8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实际完成值</w:t>
            </w:r>
          </w:p>
        </w:tc>
        <w:tc>
          <w:tcPr>
            <w:tcW w:w="6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分值</w:t>
            </w:r>
          </w:p>
        </w:tc>
        <w:tc>
          <w:tcPr>
            <w:tcW w:w="7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得分</w:t>
            </w:r>
          </w:p>
        </w:tc>
        <w:tc>
          <w:tcPr>
            <w:tcW w:w="13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偏差原因分析及改进措施</w:t>
            </w:r>
          </w:p>
        </w:tc>
      </w:tr>
      <w:tr>
        <w:tblPrEx>
          <w:tblCellMar>
            <w:top w:w="0" w:type="dxa"/>
            <w:left w:w="108" w:type="dxa"/>
            <w:bottom w:w="0" w:type="dxa"/>
            <w:right w:w="108" w:type="dxa"/>
          </w:tblCellMar>
        </w:tblPrEx>
        <w:trPr>
          <w:trHeight w:val="398" w:hRule="atLeast"/>
          <w:jc w:val="center"/>
        </w:trPr>
        <w:tc>
          <w:tcPr>
            <w:tcW w:w="11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9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87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6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7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398" w:hRule="atLeast"/>
          <w:jc w:val="center"/>
        </w:trPr>
        <w:tc>
          <w:tcPr>
            <w:tcW w:w="11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年度绩效指标完成情况</w:t>
            </w:r>
          </w:p>
        </w:tc>
        <w:tc>
          <w:tcPr>
            <w:tcW w:w="1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产出指标</w:t>
            </w: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数量指标</w:t>
            </w:r>
          </w:p>
        </w:tc>
        <w:tc>
          <w:tcPr>
            <w:tcW w:w="10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涉及企业个数</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=3家</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3家</w:t>
            </w:r>
          </w:p>
        </w:tc>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11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质量指标</w:t>
            </w:r>
          </w:p>
        </w:tc>
        <w:tc>
          <w:tcPr>
            <w:tcW w:w="10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补贴发放覆盖率</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&gt;=95%</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11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时效指标</w:t>
            </w:r>
          </w:p>
        </w:tc>
        <w:tc>
          <w:tcPr>
            <w:tcW w:w="10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资金支付及时率</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11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0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电费补贴金额</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=149513.11元</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149513.11元</w:t>
            </w:r>
          </w:p>
        </w:tc>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11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成本指标</w:t>
            </w:r>
          </w:p>
        </w:tc>
        <w:tc>
          <w:tcPr>
            <w:tcW w:w="10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社保补贴金额</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=157067.96元</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157067.96元</w:t>
            </w:r>
          </w:p>
        </w:tc>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11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效益指标</w:t>
            </w: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经济效益指标</w:t>
            </w:r>
          </w:p>
        </w:tc>
        <w:tc>
          <w:tcPr>
            <w:tcW w:w="10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提升企业经营效益</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有效提升</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完全达到预期效果</w:t>
            </w:r>
          </w:p>
        </w:tc>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11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社会效益指标</w:t>
            </w:r>
          </w:p>
        </w:tc>
        <w:tc>
          <w:tcPr>
            <w:tcW w:w="10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促进纺织企业平稳发展</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有效促进</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完全达到预期效果</w:t>
            </w:r>
          </w:p>
        </w:tc>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11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生态效益指标</w:t>
            </w:r>
          </w:p>
        </w:tc>
        <w:tc>
          <w:tcPr>
            <w:tcW w:w="10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11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可持续影响指标</w:t>
            </w:r>
          </w:p>
        </w:tc>
        <w:tc>
          <w:tcPr>
            <w:tcW w:w="10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11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10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满意度指标</w:t>
            </w:r>
          </w:p>
        </w:tc>
        <w:tc>
          <w:tcPr>
            <w:tcW w:w="10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企业满意度（%）</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&gt;=95%</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7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5877"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6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78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100.00分</w:t>
            </w:r>
          </w:p>
        </w:tc>
        <w:tc>
          <w:tcPr>
            <w:tcW w:w="136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bl>
    <w:p>
      <w:pPr>
        <w:rPr>
          <w:rFonts w:hint="default" w:eastAsia="Times New Roman"/>
          <w:color w:val="auto"/>
          <w:kern w:val="0"/>
          <w:sz w:val="24"/>
          <w:szCs w:val="24"/>
          <w:highlight w:val="white"/>
          <w:lang w:val="en-US"/>
        </w:rPr>
      </w:pPr>
      <w:r>
        <w:rPr>
          <w:rFonts w:hint="default" w:eastAsia="Times New Roman"/>
          <w:color w:val="auto"/>
          <w:kern w:val="0"/>
          <w:sz w:val="24"/>
          <w:szCs w:val="24"/>
          <w:highlight w:val="white"/>
          <w:lang w:val="en-US"/>
        </w:rPr>
        <w:br w:type="page"/>
      </w:r>
    </w:p>
    <w:p>
      <w:pPr>
        <w:pStyle w:val="2"/>
        <w:rPr>
          <w:rFonts w:hint="default"/>
          <w:lang w:val="en-US"/>
        </w:rPr>
      </w:pPr>
    </w:p>
    <w:p>
      <w:pPr>
        <w:shd w:val="clear" w:color="auto" w:fill="FFFFFF"/>
        <w:spacing w:before="100" w:after="240"/>
        <w:jc w:val="center"/>
        <w:rPr>
          <w:rFonts w:hint="default" w:eastAsia="Times New Roman"/>
          <w:b/>
          <w:color w:val="auto"/>
          <w:kern w:val="0"/>
          <w:sz w:val="28"/>
          <w:szCs w:val="24"/>
          <w:lang w:val="en-US"/>
        </w:rPr>
      </w:pPr>
      <w:r>
        <w:rPr>
          <w:rFonts w:hint="eastAsia" w:ascii="黑体" w:hAnsi="黑体" w:eastAsia="黑体"/>
          <w:color w:val="auto"/>
          <w:kern w:val="0"/>
          <w:sz w:val="32"/>
          <w:szCs w:val="24"/>
          <w:lang w:val="en-US"/>
        </w:rPr>
        <w:t>第三部分 专业名词解释</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财政拨款收入：指同级财政当年拨付的资金。</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上级补助收入：指事业单位从主管部门和上级单位取得的非财政补助收入。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事业收入：指事业单位开展专业业务活动及其辅助活动所取得的收入。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经营收入：指事业单位在专业业务活动及其辅助活动之外开展非独立核算经营活动取得的收入。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附属单位上缴收入：指事业单位附属的独立核算单位按有关规定上缴的收入。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其他收入：指除上述“财政拨款收入”、“事业收入”、“经营收入”、“附属单位上缴收入”等之外取得的收入。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基本支出：指为保障机构正常运转、完成日常工作任务而发生的人员支出和公用支出。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项目支出：指在基本支出之外为完成特定行政任务和事业发展目标所发生的支出。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经营支出：指事业单位在专业业务活动及其辅助活动之外开展非独立核算经营活动发生的支出。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对附属单位补助支出：指事业单位发生的用非财政预算资金对附属单位的补助支出。</w:t>
      </w:r>
    </w:p>
    <w:p>
      <w:pPr>
        <w:spacing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机关运行经费：行政单位和参照公务员法管理的事业单位财政拨款基本支出中的公用经费支出。</w:t>
      </w:r>
    </w:p>
    <w:p>
      <w:pPr>
        <w:shd w:val="clear" w:color="auto" w:fill="FFFFFF"/>
        <w:spacing w:line="360" w:lineRule="auto"/>
        <w:ind w:firstLine="640"/>
        <w:rPr>
          <w:rFonts w:hint="default" w:eastAsia="Times New Roman"/>
          <w:color w:val="auto"/>
          <w:kern w:val="0"/>
          <w:sz w:val="32"/>
          <w:szCs w:val="24"/>
          <w:lang w:val="en-US"/>
        </w:rPr>
      </w:pPr>
    </w:p>
    <w:p>
      <w:pPr>
        <w:shd w:val="clear" w:color="auto" w:fill="FFFFFF"/>
        <w:spacing w:before="100" w:after="240"/>
        <w:jc w:val="center"/>
        <w:rPr>
          <w:rFonts w:hint="default" w:eastAsia="Times New Roman"/>
          <w:color w:val="auto"/>
          <w:kern w:val="0"/>
          <w:sz w:val="32"/>
          <w:szCs w:val="24"/>
          <w:lang w:val="en-US"/>
        </w:rPr>
      </w:pPr>
      <w:r>
        <w:rPr>
          <w:rFonts w:hint="eastAsia" w:ascii="黑体" w:hAnsi="黑体" w:eastAsia="黑体"/>
          <w:color w:val="auto"/>
          <w:kern w:val="0"/>
          <w:sz w:val="32"/>
          <w:szCs w:val="24"/>
          <w:lang w:val="en-US"/>
        </w:rPr>
        <w:br w:type="page"/>
      </w:r>
      <w:r>
        <w:rPr>
          <w:rFonts w:hint="eastAsia" w:ascii="黑体" w:hAnsi="黑体" w:eastAsia="黑体"/>
          <w:color w:val="auto"/>
          <w:kern w:val="0"/>
          <w:sz w:val="32"/>
          <w:szCs w:val="24"/>
          <w:lang w:val="en-US"/>
        </w:rPr>
        <w:t>第四部分 部门决算报表（见附表）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一、《收入支出决算总表》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二、《收入决算表》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三、《支出决算表》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四、《财政拨款收入支出决算总表》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五、《一般公共预算财政拨款支出决算表》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六、《一般公共预算财政拨款基本支出决算表》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七、《财政拨款“三公”经费支出决算表》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en-US"/>
        </w:rPr>
        <w:t>八、《政府性基金预算财政拨款收入支出决算表》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zh-CN"/>
        </w:rPr>
        <w:t>九</w:t>
      </w:r>
      <w:r>
        <w:rPr>
          <w:rFonts w:hint="eastAsia" w:ascii="黑体" w:hAnsi="黑体" w:eastAsia="黑体"/>
          <w:color w:val="auto"/>
          <w:sz w:val="32"/>
          <w:szCs w:val="24"/>
          <w:lang w:val="en-US"/>
        </w:rPr>
        <w:t>、《国有资本经营预算财政拨款收入支出决算表》</w:t>
      </w: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33EE62F0"/>
    <w:rsid w:val="352E4E6B"/>
    <w:rsid w:val="38AF464D"/>
    <w:rsid w:val="44D1001E"/>
    <w:rsid w:val="5D461E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uiPriority w:val="0"/>
    <w:pPr>
      <w:spacing w:beforeLines="0" w:afterLines="0"/>
      <w:jc w:val="both"/>
    </w:pPr>
    <w:rPr>
      <w:rFonts w:hint="default" w:ascii="Times New Roman" w:hAnsi="Times New Roman" w:eastAsia="宋体" w:cs="Times New Roman"/>
      <w:kern w:val="2"/>
      <w:sz w:val="21"/>
      <w:szCs w:val="24"/>
    </w:rPr>
  </w:style>
  <w:style w:type="character" w:default="1" w:styleId="4">
    <w:name w:val="Default Paragraph Font"/>
    <w:unhideWhenUsed/>
    <w:qFormat/>
    <w:uiPriority w:val="99"/>
    <w:rPr>
      <w:rFonts w:hint="default"/>
      <w:sz w:val="24"/>
      <w:szCs w:val="24"/>
    </w:rPr>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2">
    <w:name w:val="样式 右侧:  1.69 厘米"/>
    <w:basedOn w:val="1"/>
    <w:unhideWhenUsed/>
    <w:qFormat/>
    <w:uiPriority w:val="0"/>
    <w:pPr>
      <w:spacing w:beforeLines="0" w:afterLines="0"/>
      <w:ind w:right="960"/>
    </w:pPr>
    <w:rPr>
      <w:rFonts w:hint="eastAsia" w:eastAsia="仿宋"/>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19</Pages>
  <Words>7185</Words>
  <Characters>8005</Characters>
  <TotalTime>12</TotalTime>
  <ScaleCrop>false</ScaleCrop>
  <LinksUpToDate>false</LinksUpToDate>
  <CharactersWithSpaces>8040</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2023-08-23T03:23:00Z</dcterms:created>
  <dc:creator>asus</dc:creator>
  <cp:lastModifiedBy>逐梦令</cp:lastModifiedBy>
  <dcterms:modified xsi:type="dcterms:W3CDTF">2023-09-01T09:10:58Z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1E335F4ECF484D439BF1F93384F50DE7_13</vt:lpwstr>
  </property>
</Properties>
</file>