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ascii="方正小标宋_GBK" w:hAnsi="方正小标宋_GBK" w:eastAsia="方正小标宋_GBK"/>
          <w:sz w:val="44"/>
        </w:rPr>
      </w:pPr>
      <w:r>
        <w:rPr>
          <w:rFonts w:hint="eastAsia" w:ascii="方正小标宋_GBK" w:hAnsi="方正小标宋_GBK" w:eastAsia="方正小标宋_GBK"/>
          <w:sz w:val="44"/>
        </w:rPr>
        <w:t>乌鲁木齐市米东区古牧地东路片区管理委员会</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ascii="仿宋_GB2312" w:hAnsi="仿宋_GB2312" w:eastAsia="仿宋_GB2312"/>
          <w:kern w:val="0"/>
          <w:sz w:val="32"/>
          <w:lang w:val="zh-CN"/>
        </w:rPr>
      </w:pPr>
      <w:r>
        <w:rPr>
          <w:rFonts w:hint="eastAsia" w:ascii="仿宋_GB2312" w:hAnsi="仿宋_GB2312" w:eastAsia="仿宋_GB2312"/>
          <w:kern w:val="0"/>
          <w:sz w:val="32"/>
          <w:lang w:val="zh-CN"/>
        </w:rPr>
        <w:t>1、受区委、区人民政府委托，统一领导和管理辖区党务、行政和社会事务工作，促进片区和谐发展；</w:t>
      </w:r>
    </w:p>
    <w:p>
      <w:pPr>
        <w:shd w:val="clear" w:color="auto" w:fill="FFFFFF"/>
        <w:spacing w:line="360" w:lineRule="auto"/>
        <w:ind w:firstLine="640"/>
        <w:rPr>
          <w:rFonts w:ascii="仿宋_GB2312" w:hAnsi="仿宋_GB2312" w:eastAsia="仿宋_GB2312"/>
          <w:kern w:val="0"/>
          <w:sz w:val="32"/>
          <w:lang w:val="zh-CN"/>
        </w:rPr>
      </w:pPr>
      <w:r>
        <w:rPr>
          <w:rFonts w:hint="eastAsia" w:ascii="仿宋_GB2312" w:hAnsi="仿宋_GB2312" w:eastAsia="仿宋_GB2312"/>
          <w:kern w:val="0"/>
          <w:sz w:val="32"/>
          <w:lang w:val="zh-CN"/>
        </w:rPr>
        <w:t>2、拟订片区发展规划，提出强化“两个机制”、夯实基层基础工作的建议和措施，并组织实施；</w:t>
      </w:r>
    </w:p>
    <w:p>
      <w:pPr>
        <w:shd w:val="clear" w:color="auto" w:fill="FFFFFF"/>
        <w:spacing w:line="360" w:lineRule="auto"/>
        <w:ind w:firstLine="640"/>
        <w:rPr>
          <w:rFonts w:ascii="仿宋_GB2312" w:hAnsi="仿宋_GB2312" w:eastAsia="仿宋_GB2312"/>
          <w:kern w:val="0"/>
          <w:sz w:val="32"/>
          <w:lang w:val="zh-CN"/>
        </w:rPr>
      </w:pPr>
      <w:r>
        <w:rPr>
          <w:rFonts w:hint="eastAsia" w:ascii="仿宋_GB2312" w:hAnsi="仿宋_GB2312" w:eastAsia="仿宋_GB2312"/>
          <w:kern w:val="0"/>
          <w:sz w:val="32"/>
          <w:lang w:val="zh-CN"/>
        </w:rPr>
        <w:t>3、统筹整合辖区行政资源、社会资源和公共服务资源，综合协调相关职能部门和驻区企事业单位，为辖区居民提供民生保障、社会治安、城市管理等综合服务；</w:t>
      </w:r>
    </w:p>
    <w:p>
      <w:pPr>
        <w:shd w:val="clear" w:color="auto" w:fill="FFFFFF"/>
        <w:spacing w:line="360" w:lineRule="auto"/>
        <w:ind w:firstLine="640"/>
        <w:rPr>
          <w:rFonts w:ascii="仿宋_GB2312" w:hAnsi="仿宋_GB2312" w:eastAsia="仿宋_GB2312"/>
          <w:kern w:val="0"/>
          <w:sz w:val="32"/>
          <w:lang w:val="zh-CN"/>
        </w:rPr>
      </w:pPr>
      <w:r>
        <w:rPr>
          <w:rFonts w:hint="eastAsia" w:ascii="仿宋_GB2312" w:hAnsi="仿宋_GB2312" w:eastAsia="仿宋_GB2312"/>
          <w:kern w:val="0"/>
          <w:sz w:val="32"/>
          <w:lang w:val="zh-CN"/>
        </w:rPr>
        <w:t>4、对相关职能部门和驻区企事业单位履行社会管理和公共服务职能情况进行监督、检查和考核；</w:t>
      </w:r>
    </w:p>
    <w:p>
      <w:pPr>
        <w:shd w:val="clear" w:color="auto" w:fill="FFFFFF"/>
        <w:spacing w:line="360" w:lineRule="auto"/>
        <w:ind w:firstLine="640"/>
        <w:rPr>
          <w:rFonts w:ascii="仿宋_GB2312" w:hAnsi="仿宋_GB2312" w:eastAsia="仿宋_GB2312"/>
          <w:kern w:val="0"/>
          <w:sz w:val="32"/>
          <w:lang w:val="zh-CN"/>
        </w:rPr>
      </w:pPr>
      <w:r>
        <w:rPr>
          <w:rFonts w:hint="eastAsia" w:ascii="仿宋_GB2312" w:hAnsi="仿宋_GB2312" w:eastAsia="仿宋_GB2312"/>
          <w:kern w:val="0"/>
          <w:sz w:val="32"/>
          <w:lang w:val="zh-CN"/>
        </w:rPr>
        <w:t>5、承办区委、区人民政府交办的其他事项。</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乌鲁木齐市米东区古牧地东路片区管理委员会2022年度，实有人数166人，其中：在职人员153人，离休人员0人，退休人员13人。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从部门决算单位构成看，乌鲁木齐市米东区古牧地东路片区管理委员会部门决算包括：乌鲁木齐市米东区古牧地东路片区管理委员会</w:t>
      </w:r>
      <w:r>
        <w:rPr>
          <w:rFonts w:hint="eastAsia" w:ascii="仿宋_GB2312" w:hAnsi="仿宋_GB2312" w:eastAsia="仿宋_GB2312"/>
          <w:kern w:val="0"/>
          <w:sz w:val="32"/>
          <w:lang w:val="zh-CN"/>
        </w:rPr>
        <w:t>决算。单位无下属预算单位，下设</w:t>
      </w:r>
      <w:r>
        <w:rPr>
          <w:rFonts w:hint="eastAsia" w:ascii="仿宋_GB2312" w:hAnsi="仿宋_GB2312" w:eastAsia="仿宋_GB2312"/>
          <w:kern w:val="0"/>
          <w:sz w:val="32"/>
        </w:rPr>
        <w:t>7</w:t>
      </w:r>
      <w:r>
        <w:rPr>
          <w:rFonts w:hint="eastAsia" w:ascii="仿宋_GB2312" w:hAnsi="仿宋_GB2312" w:eastAsia="仿宋_GB2312"/>
          <w:kern w:val="0"/>
          <w:sz w:val="32"/>
          <w:lang w:val="zh-CN"/>
        </w:rPr>
        <w:t>个科室，分别是：</w:t>
      </w:r>
      <w:r>
        <w:rPr>
          <w:rFonts w:hint="eastAsia" w:ascii="仿宋_GB2312" w:hAnsi="仿宋_GB2312" w:eastAsia="仿宋_GB2312"/>
          <w:kern w:val="0"/>
          <w:sz w:val="32"/>
        </w:rPr>
        <w:t>党建办公室、综合协调办公室（综合执法办公室）、党群服务中心、社会事务（统计）服务中心（退役军人服务站）、公共卫生服务指导中心（防疫专员办公室）、综治中心（网格化服务中心、群众工作中心）、民族宗教事务中心</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7,579.63万元，</w:t>
      </w:r>
      <w:r>
        <w:rPr>
          <w:rFonts w:hint="eastAsia" w:ascii="仿宋_GB2312" w:hAnsi="仿宋_GB2312" w:eastAsia="仿宋_GB2312"/>
          <w:sz w:val="32"/>
        </w:rPr>
        <w:t>其中：本年收入合计</w:t>
      </w:r>
      <w:r>
        <w:rPr>
          <w:rFonts w:hint="eastAsia" w:ascii="仿宋_GB2312" w:hAnsi="仿宋_GB2312" w:eastAsia="仿宋_GB2312"/>
          <w:kern w:val="0"/>
          <w:sz w:val="32"/>
        </w:rPr>
        <w:t>7,383.90</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195.73</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增加606.41万元，增长8.70%，主要原因是：本年追加2021年未完全支付的社保、公积金、养老、追加2021年事业人员绩效等人员经费，增加分流执法岗人员工资、困难人员补助金等项目经费，导致收入增加。</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7,579.63万元，</w:t>
      </w:r>
      <w:r>
        <w:rPr>
          <w:rFonts w:hint="eastAsia" w:ascii="仿宋_GB2312" w:hAnsi="仿宋_GB2312" w:eastAsia="仿宋_GB2312"/>
          <w:sz w:val="32"/>
        </w:rPr>
        <w:t>其中：本年支出合计</w:t>
      </w:r>
      <w:r>
        <w:rPr>
          <w:rFonts w:hint="eastAsia" w:ascii="仿宋_GB2312" w:hAnsi="仿宋_GB2312" w:eastAsia="仿宋_GB2312"/>
          <w:kern w:val="0"/>
          <w:sz w:val="32"/>
        </w:rPr>
        <w:t>7,431.71</w:t>
      </w:r>
      <w:r>
        <w:rPr>
          <w:rFonts w:hint="eastAsia" w:ascii="仿宋_GB2312" w:hAnsi="仿宋_GB2312" w:eastAsia="仿宋_GB2312"/>
          <w:sz w:val="32"/>
        </w:rPr>
        <w:t>万元，结余分配</w:t>
      </w:r>
      <w:r>
        <w:rPr>
          <w:rFonts w:hint="eastAsia" w:ascii="仿宋_GB2312" w:hAnsi="仿宋_GB2312" w:eastAsia="仿宋_GB2312"/>
          <w:kern w:val="0"/>
          <w:sz w:val="32"/>
        </w:rPr>
        <w:t>0.00</w:t>
      </w:r>
      <w:r>
        <w:rPr>
          <w:rFonts w:hint="eastAsia" w:ascii="仿宋_GB2312" w:hAnsi="仿宋_GB2312" w:eastAsia="仿宋_GB2312"/>
          <w:sz w:val="32"/>
        </w:rPr>
        <w:t>万元，年末结转和结余</w:t>
      </w:r>
      <w:r>
        <w:rPr>
          <w:rFonts w:hint="eastAsia" w:ascii="仿宋_GB2312" w:hAnsi="仿宋_GB2312" w:eastAsia="仿宋_GB2312"/>
          <w:kern w:val="0"/>
          <w:sz w:val="32"/>
        </w:rPr>
        <w:t>147.92</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与上年相比，增加606.41万元，增长8.70%，主要原因是：本年追加2021年未完全支付的社保、公积金、养老、追加2021年事业人员绩效等人员经费，增加分流执法岗人员工资、困难人员补助金等项目经费，支出增加。</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7,383.90万元，其中：财政拨款收入7,383.60万元，占100.00%；上级补助收入0.00万元，占0.00%；事业收入0.00万元，占0.00%；经营收入0.00万元，占0.00%；附属单位上缴收入0.00万元，占0.00%；其他收入0.30万元，占0.00%。</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2022年度本年支出7,431.71万元，其中：基本支出7,431.71万元，占100.00%；项目支出0.00万元，占0.00%；上缴上级支出0.00万元，占0.00%；经营支出0.00万元，占0.00%；对附属单位补助支出0.00万元，占0.00%。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7,577.85万元，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194.25</w:t>
      </w:r>
      <w:r>
        <w:rPr>
          <w:rFonts w:hint="eastAsia" w:ascii="仿宋_GB2312" w:hAnsi="仿宋_GB2312" w:eastAsia="仿宋_GB2312"/>
          <w:sz w:val="32"/>
        </w:rPr>
        <w:t>万元，财政拨款本年收入</w:t>
      </w:r>
      <w:r>
        <w:rPr>
          <w:rFonts w:hint="eastAsia" w:ascii="仿宋_GB2312" w:hAnsi="仿宋_GB2312" w:eastAsia="仿宋_GB2312"/>
          <w:kern w:val="0"/>
          <w:sz w:val="32"/>
        </w:rPr>
        <w:t>7,383.60</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与上年相比，增加606.54万元，增长8.70%，主要原因是：本年追加2021年未完全支付的社保、公积金、养老、追加2021年事业人员绩效等人员经费，增加分流执法岗人员工资、困难人员补助金等项目经费，收入增加。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7,577.85万元，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146.44</w:t>
      </w:r>
      <w:r>
        <w:rPr>
          <w:rFonts w:hint="eastAsia" w:ascii="仿宋_GB2312" w:hAnsi="仿宋_GB2312" w:eastAsia="仿宋_GB2312"/>
          <w:sz w:val="32"/>
        </w:rPr>
        <w:t>万元，财政拨款本年支出</w:t>
      </w:r>
      <w:r>
        <w:rPr>
          <w:rFonts w:hint="eastAsia" w:ascii="仿宋_GB2312" w:hAnsi="仿宋_GB2312" w:eastAsia="仿宋_GB2312"/>
          <w:kern w:val="0"/>
          <w:sz w:val="32"/>
        </w:rPr>
        <w:t>7,431.41</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与上年相比，增加606.54万元，增长8.70%，主要原因是：本年追加2021年未完全支付的社保、公积金、养老、追加2021年事业人员绩效等人员经费，增加分流执法岗人员工资、困难人员补助金等项目经费，支出增加。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年初预算数8,568.66万元，决算数7,577.85万元，预决算差异率-11.56%，主要原因是：本年年中调减社区运转经费、便民站经费及管委会运转经费，与预算相比导致差异。财政拨款支出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年初预算数8,568.66万元，决算数7,577.85万元，预决算差异率-11.56%，主要原因是：本年年中调减社区运转经费、便民站经费及管委会运转经费，与预算相比导致差异。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7,431.41</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增加654.35万元，增长9.66%，主要原因是：本年追加2021年未完全支付的社保、公积金、养老、追加2021年事业人员绩效等人员经费，增加分流执法岗人员工资、困难人员补助金等项目经费，支出增加。</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eastAsia="Times New Roman"/>
          <w:kern w:val="0"/>
          <w:sz w:val="32"/>
        </w:rPr>
      </w:pPr>
      <w:r>
        <w:rPr>
          <w:rFonts w:hint="eastAsia" w:ascii="仿宋_GB2312" w:hAnsi="仿宋_GB2312" w:eastAsia="仿宋_GB2312"/>
          <w:sz w:val="32"/>
        </w:rPr>
        <w:t>1.一般公共服务支出（类）670.72万元，占9.03%；</w:t>
      </w:r>
    </w:p>
    <w:p>
      <w:pPr>
        <w:spacing w:line="600" w:lineRule="exact"/>
        <w:ind w:firstLine="640"/>
        <w:rPr>
          <w:rFonts w:ascii="仿宋_GB2312" w:hAnsi="仿宋_GB2312" w:eastAsia="仿宋_GB2312"/>
          <w:kern w:val="0"/>
          <w:sz w:val="32"/>
        </w:rPr>
      </w:pPr>
      <w:r>
        <w:rPr>
          <w:rFonts w:hint="eastAsia" w:ascii="仿宋_GB2312" w:hAnsi="仿宋_GB2312" w:eastAsia="仿宋_GB2312"/>
          <w:kern w:val="0"/>
          <w:sz w:val="32"/>
        </w:rPr>
        <w:t>2.社会保障和就业支出（类）6,678.01万元，占89.86%；</w:t>
      </w:r>
    </w:p>
    <w:p>
      <w:pPr>
        <w:spacing w:line="600" w:lineRule="exact"/>
        <w:ind w:firstLine="640"/>
        <w:rPr>
          <w:rFonts w:eastAsia="仿宋_GB2312"/>
          <w:kern w:val="0"/>
          <w:sz w:val="32"/>
        </w:rPr>
      </w:pPr>
      <w:r>
        <w:rPr>
          <w:rFonts w:hint="eastAsia" w:ascii="仿宋_GB2312" w:hAnsi="仿宋_GB2312" w:eastAsia="仿宋_GB2312"/>
          <w:kern w:val="0"/>
          <w:sz w:val="32"/>
        </w:rPr>
        <w:t>3.卫生健康支出（类）82.68万元，占1.11%。</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eastAsia="Times New Roman"/>
          <w:kern w:val="0"/>
          <w:sz w:val="32"/>
        </w:rPr>
      </w:pPr>
      <w:r>
        <w:rPr>
          <w:rFonts w:hint="eastAsia" w:ascii="仿宋_GB2312" w:hAnsi="仿宋_GB2312" w:eastAsia="仿宋_GB2312"/>
          <w:kern w:val="0"/>
          <w:sz w:val="32"/>
        </w:rPr>
        <w:t>1.一般公共服务支出（类）政府办公厅（室）及相关机构事务（款）行政运行（项）:支出决算数为294.21万元，比上年决算增加46.72万元，增长18.88%，主要原因是：新增2名行政人员的工资社保及工资基数上调、社保基数增加，此项支出增加；</w:t>
      </w:r>
    </w:p>
    <w:p>
      <w:pPr>
        <w:spacing w:line="600" w:lineRule="exact"/>
        <w:ind w:firstLine="640"/>
        <w:rPr>
          <w:rFonts w:eastAsia="Times New Roman"/>
          <w:kern w:val="0"/>
          <w:sz w:val="32"/>
        </w:rPr>
      </w:pPr>
      <w:r>
        <w:rPr>
          <w:rFonts w:hint="eastAsia" w:ascii="仿宋_GB2312" w:hAnsi="仿宋_GB2312" w:eastAsia="仿宋_GB2312"/>
          <w:kern w:val="0"/>
          <w:sz w:val="32"/>
        </w:rPr>
        <w:t>2.一般公共服务支出（类）政府办公厅（室）及相关机构事务（款）机关服务（项）:支出决算数为376.51万元，比上年决算增加65.47万元，增长21.05%，主要原因是：防疫岗4名工作人员工资、社保本年调整至本科目；调资及社保基数增加导致本年此项支出增加；</w:t>
      </w:r>
    </w:p>
    <w:p>
      <w:pPr>
        <w:spacing w:line="600" w:lineRule="exact"/>
        <w:ind w:firstLine="640"/>
        <w:rPr>
          <w:rFonts w:eastAsia="Times New Roman"/>
          <w:kern w:val="0"/>
          <w:sz w:val="32"/>
        </w:rPr>
      </w:pPr>
      <w:r>
        <w:rPr>
          <w:rFonts w:hint="eastAsia" w:ascii="仿宋_GB2312" w:hAnsi="仿宋_GB2312" w:eastAsia="仿宋_GB2312"/>
          <w:kern w:val="0"/>
          <w:sz w:val="32"/>
        </w:rPr>
        <w:t>3.一般公共服务支出（类）其他共产党事务支出（款）行政运行（项）:支出决算数为0.00万元，比上年决算减少18.90万元，下降100.00%，主要原因是：本年此功能科目</w:t>
      </w:r>
      <w:r>
        <w:rPr>
          <w:rFonts w:hint="eastAsia" w:ascii="仿宋_GB2312" w:hAnsi="仿宋_GB2312" w:eastAsia="仿宋_GB2312"/>
          <w:kern w:val="0"/>
          <w:sz w:val="32"/>
          <w:lang w:val="en-US" w:eastAsia="zh-CN"/>
        </w:rPr>
        <w:t>支出调至2010301列支，此功能科目</w:t>
      </w:r>
      <w:r>
        <w:rPr>
          <w:rFonts w:hint="eastAsia" w:ascii="仿宋_GB2312" w:hAnsi="仿宋_GB2312" w:eastAsia="仿宋_GB2312"/>
          <w:kern w:val="0"/>
          <w:sz w:val="32"/>
        </w:rPr>
        <w:t>未支出；</w:t>
      </w:r>
    </w:p>
    <w:p>
      <w:pPr>
        <w:spacing w:line="600" w:lineRule="exact"/>
        <w:ind w:firstLine="640"/>
        <w:rPr>
          <w:rFonts w:eastAsia="Times New Roman"/>
          <w:kern w:val="0"/>
          <w:sz w:val="32"/>
        </w:rPr>
      </w:pPr>
      <w:r>
        <w:rPr>
          <w:rFonts w:hint="eastAsia" w:ascii="仿宋_GB2312" w:hAnsi="仿宋_GB2312" w:eastAsia="仿宋_GB2312"/>
          <w:kern w:val="0"/>
          <w:sz w:val="32"/>
        </w:rPr>
        <w:t>4.社会保障和就业支出（类）民政管理事务（款）基层政权建设和社区治理（项）:支出决算数为6,349.27万元，比上年决算增加309.26万元，增长5.12%，主要原因是：调资及调整社保基数，增加执法岗36人工资，新增临聘人员工资；</w:t>
      </w:r>
    </w:p>
    <w:p>
      <w:pPr>
        <w:spacing w:line="600" w:lineRule="exact"/>
        <w:ind w:firstLine="640"/>
        <w:rPr>
          <w:rFonts w:eastAsia="Times New Roman"/>
          <w:kern w:val="0"/>
          <w:sz w:val="32"/>
        </w:rPr>
      </w:pPr>
      <w:r>
        <w:rPr>
          <w:rFonts w:hint="eastAsia" w:ascii="仿宋_GB2312" w:hAnsi="仿宋_GB2312" w:eastAsia="仿宋_GB2312"/>
          <w:kern w:val="0"/>
          <w:sz w:val="32"/>
        </w:rPr>
        <w:t>5.社会保障和就业支出（类）行政事业单位养老支出（款）机关事业单位基本养老保险缴费支出（项）:支出决算数为298.74万元，比上年决算增加189.55万元，增长173.60%，主要原因是：养老保险基数上调，养老保险缴费增加；</w:t>
      </w:r>
    </w:p>
    <w:p>
      <w:pPr>
        <w:spacing w:line="600" w:lineRule="exact"/>
        <w:ind w:firstLine="640"/>
        <w:rPr>
          <w:rFonts w:ascii="仿宋_GB2312" w:hAnsi="仿宋_GB2312" w:eastAsia="仿宋_GB2312"/>
          <w:kern w:val="0"/>
          <w:sz w:val="32"/>
        </w:rPr>
      </w:pPr>
      <w:r>
        <w:rPr>
          <w:rFonts w:hint="eastAsia" w:ascii="仿宋_GB2312" w:hAnsi="仿宋_GB2312" w:eastAsia="仿宋_GB2312"/>
          <w:kern w:val="0"/>
          <w:sz w:val="32"/>
        </w:rPr>
        <w:t>6.社会保障和就业支出（类）其他生活救助（款）其他城市生活救助（项）:支出决算数为30.00万元，比上年决算增加30.00万元，增长100.00%，主要原因是：本年增加困难人员补助金项目经费，此项支出增加；</w:t>
      </w:r>
    </w:p>
    <w:p>
      <w:pPr>
        <w:spacing w:line="600" w:lineRule="exact"/>
        <w:ind w:firstLine="640"/>
        <w:rPr>
          <w:rFonts w:eastAsia="Times New Roman"/>
          <w:kern w:val="0"/>
          <w:sz w:val="32"/>
        </w:rPr>
      </w:pPr>
      <w:r>
        <w:rPr>
          <w:rFonts w:hint="eastAsia" w:ascii="仿宋_GB2312" w:hAnsi="仿宋_GB2312" w:eastAsia="仿宋_GB2312"/>
          <w:kern w:val="0"/>
          <w:sz w:val="32"/>
        </w:rPr>
        <w:t>7.卫生健康支出（类）公共卫生（款）其他专业公共卫生机构（项）:支出决算数为0.00万元，比上年决算减少32.76万元，下降100.00%，主要原因是：本年此功能科目未支出；</w:t>
      </w:r>
    </w:p>
    <w:p>
      <w:pPr>
        <w:spacing w:line="600" w:lineRule="exact"/>
        <w:ind w:firstLine="640"/>
        <w:rPr>
          <w:rFonts w:eastAsia="Times New Roman"/>
          <w:kern w:val="0"/>
          <w:sz w:val="32"/>
        </w:rPr>
      </w:pPr>
      <w:r>
        <w:rPr>
          <w:rFonts w:hint="eastAsia" w:ascii="仿宋_GB2312" w:hAnsi="仿宋_GB2312" w:eastAsia="仿宋_GB2312"/>
          <w:kern w:val="0"/>
          <w:sz w:val="32"/>
        </w:rPr>
        <w:t>8.卫生健康支出（类）公共卫生（款）突发公共卫生事件应急处理（项）:支出决算数为78.33万元，比上年决算增加78.33万元，增长100.00%，主要原因是：本年增加滞留外地困难人员补助金，此项功能科目支出增加；</w:t>
      </w:r>
    </w:p>
    <w:p>
      <w:pPr>
        <w:spacing w:line="600" w:lineRule="exact"/>
        <w:ind w:firstLine="640"/>
        <w:rPr>
          <w:rFonts w:eastAsia="Times New Roman"/>
          <w:kern w:val="0"/>
          <w:sz w:val="32"/>
        </w:rPr>
      </w:pPr>
      <w:r>
        <w:rPr>
          <w:rFonts w:hint="eastAsia" w:ascii="仿宋_GB2312" w:hAnsi="仿宋_GB2312" w:eastAsia="仿宋_GB2312"/>
          <w:kern w:val="0"/>
          <w:sz w:val="32"/>
        </w:rPr>
        <w:t>9.卫生健康支出（类）计划生育事务（款）计划生育服务（项）:支出决算数为4.35万元，比上年决算减少3.38万元，下降43.73%，主要原因是：本年厉行节约，单位预付油料费减少，此项功能科目支出减少；</w:t>
      </w:r>
    </w:p>
    <w:p>
      <w:pPr>
        <w:spacing w:line="600" w:lineRule="exact"/>
        <w:ind w:firstLine="640"/>
        <w:rPr>
          <w:rFonts w:eastAsia="Times New Roman"/>
          <w:kern w:val="0"/>
          <w:sz w:val="32"/>
        </w:rPr>
      </w:pPr>
      <w:r>
        <w:rPr>
          <w:rFonts w:hint="eastAsia" w:ascii="仿宋_GB2312" w:hAnsi="仿宋_GB2312" w:eastAsia="仿宋_GB2312"/>
          <w:kern w:val="0"/>
          <w:sz w:val="32"/>
        </w:rPr>
        <w:t>10.城乡社区支出（类）城乡社区管理事务（款）其他城乡社区管理事务支出（项）:支出决算数为0.00万元，比上年决算减少9.94万元，下降100.00%，主要原因是：本年</w:t>
      </w:r>
      <w:r>
        <w:rPr>
          <w:rFonts w:hint="eastAsia" w:ascii="仿宋_GB2312" w:hAnsi="仿宋_GB2312" w:eastAsia="仿宋_GB2312"/>
          <w:kern w:val="0"/>
          <w:sz w:val="32"/>
          <w:lang w:val="en-US" w:eastAsia="zh-CN"/>
        </w:rPr>
        <w:t>减少城市精细化管理专项经费项目资金，</w:t>
      </w:r>
      <w:r>
        <w:rPr>
          <w:rFonts w:hint="eastAsia" w:ascii="仿宋_GB2312" w:hAnsi="仿宋_GB2312" w:eastAsia="仿宋_GB2312"/>
          <w:kern w:val="0"/>
          <w:sz w:val="32"/>
        </w:rPr>
        <w:t>此功能科目未支出。</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highlight w:val="yellow"/>
        </w:rPr>
      </w:pPr>
      <w:r>
        <w:rPr>
          <w:rFonts w:hint="eastAsia" w:ascii="仿宋_GB2312" w:hAnsi="仿宋_GB2312" w:eastAsia="仿宋_GB2312"/>
          <w:kern w:val="0"/>
          <w:sz w:val="32"/>
        </w:rPr>
        <w:t>2022年度一般公共预算财政拨款基本支出7,431.41万元，其中：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3,884.97万元，包括：基本工资、津贴补贴、机关事业单位基本养老保险缴费、职业年金缴费、职工基本医疗保险缴费、公务员医疗补助缴费、其他社会保障缴费、住房公积金、其他工资福利支出、救济费、奖励金。</w:t>
      </w:r>
    </w:p>
    <w:p>
      <w:pPr>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公用经费3,546.44万元，包括：办公费、印刷费、水费、电费、邮电费、租赁费、劳务费、公务用车运行维护费、其他交通费用。</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4.35万元，比上年减少1.30万元，下降23.01%，主要原因是：本年我单位预付车辆油料费减少。其中：因公出国（境）费支出0.00万元，占0.00%，比上年增加0.00万元，增长0.00%，主要原因是：本年单位无因公出国（境）费支出；公务用车购置及运行维护费支出4.35万元，占100.00%，比上年减少1.30万元，下降23.01%，主要原因是：本年我单位预付车辆油料费减少；公务接待费支出0.00万元，占0.00%，比上年增加0.00万元，增长0.00%，主要原因是：本年单位无公务接待费支出。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4.35万元，其中：公务用车购置费0.00万元，公务用车运行维护费4.35万元。公务用车运行维护费开支内容包括公务用车燃油费、车辆维修维护费、保险费、过路费等。公务用车购置数0辆，公务用车保有量23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公务接待费0.00万元，开支内容包括本年单位无此项支出。单位全年安排的国内公务接待0批次，0人次。</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4.35万元，决算数4.35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4.35万元，决算数4.35万元，预决算差异率0.00%，主要原因是：单位严格执行“三公”经费支出标准，未超预算；公务接待费全年预算数0.00万元，决算数0.00万元，预决算差异率0.00%，主要原因是：本年单位无此项支出。</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ascii="仿宋_GB2312" w:hAnsi="仿宋_GB2312" w:eastAsia="仿宋_GB2312"/>
          <w:kern w:val="0"/>
          <w:sz w:val="32"/>
          <w:highlight w:val="yellow"/>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（一）机关运行经费支出情况</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2022年度乌鲁木齐市米东区古牧地东路片区管理委员会单位机关运行经费支出3,546.44万元，比上年增加107.70万元，增长3.13%，主要原因是：增加管委会及社区共11辆车的租赁费、新增临聘人员的工资，劳务费增加</w:t>
      </w:r>
      <w:bookmarkStart w:id="0" w:name="_GoBack"/>
      <w:bookmarkEnd w:id="0"/>
      <w:r>
        <w:rPr>
          <w:rFonts w:hint="eastAsia" w:ascii="仿宋_GB2312" w:hAnsi="仿宋_GB2312" w:eastAsia="仿宋_GB2312"/>
          <w:kern w:val="0"/>
          <w:sz w:val="32"/>
        </w:rPr>
        <w:t>。</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2022年度政府采购支出总额90.50万元，其中：政府采购货物支出90.50万元、政府采购工程支出0.00万元、政府采购服务支出0.00万元。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授予中小企业合同金额90.50万元，占政府采购支出总额的100.00%，其中：授予小微企业合同金额90.50万元，占政府采购支出总额的100.00%。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1,717.85</w:t>
      </w:r>
      <w:r>
        <w:rPr>
          <w:rFonts w:hint="eastAsia" w:ascii="仿宋_GB2312" w:hAnsi="仿宋_GB2312" w:eastAsia="仿宋_GB2312"/>
          <w:sz w:val="32"/>
        </w:rPr>
        <w:t>万元，</w:t>
      </w:r>
      <w:r>
        <w:rPr>
          <w:rFonts w:hint="eastAsia" w:ascii="仿宋_GB2312" w:hAnsi="仿宋_GB2312" w:eastAsia="仿宋_GB2312"/>
          <w:kern w:val="0"/>
          <w:sz w:val="32"/>
        </w:rPr>
        <w:t>房屋5,904.11平方米，价值998.07万元。车辆23辆，价值164.83万元，其中：副部（省）级及以上领导用车0辆、主要领导干部用车2辆、机要通信用车0辆、应急保障用车8辆、执法执勤用车0辆、特种专业技术用车0辆、离退休干部用车0辆、其他用车13辆，其他用车主要是：社区服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eastAsia="Times New Roman"/>
          <w:kern w:val="0"/>
          <w:sz w:val="24"/>
        </w:rPr>
      </w:pPr>
      <w:r>
        <w:rPr>
          <w:rFonts w:hint="eastAsia" w:ascii="仿宋_GB2312" w:hAnsi="仿宋_GB2312" w:eastAsia="仿宋_GB2312"/>
          <w:kern w:val="0"/>
          <w:sz w:val="32"/>
        </w:rPr>
        <w:t>根据预算绩效管理要求，我单位2022年度开展预算绩效评价项目0个，</w:t>
      </w:r>
      <w:r>
        <w:rPr>
          <w:rFonts w:hint="eastAsia" w:ascii="仿宋_GB2312" w:hAnsi="仿宋_GB2312" w:eastAsia="仿宋_GB2312"/>
          <w:sz w:val="32"/>
        </w:rPr>
        <w:t>全年预算数</w:t>
      </w:r>
      <w:r>
        <w:rPr>
          <w:rFonts w:hint="eastAsia" w:ascii="仿宋_GB2312" w:hAnsi="仿宋_GB2312" w:eastAsia="仿宋_GB2312"/>
          <w:kern w:val="0"/>
          <w:sz w:val="32"/>
        </w:rPr>
        <w:t>0</w:t>
      </w:r>
      <w:r>
        <w:rPr>
          <w:rFonts w:hint="eastAsia" w:ascii="仿宋_GB2312" w:hAnsi="仿宋_GB2312" w:eastAsia="仿宋_GB2312"/>
          <w:kern w:val="0"/>
          <w:sz w:val="32"/>
          <w:lang w:val="en-US" w:eastAsia="zh-CN"/>
        </w:rPr>
        <w:t>.00</w:t>
      </w:r>
      <w:r>
        <w:rPr>
          <w:rFonts w:hint="eastAsia" w:ascii="仿宋_GB2312" w:hAnsi="仿宋_GB2312" w:eastAsia="仿宋_GB2312"/>
          <w:sz w:val="32"/>
        </w:rPr>
        <w:t>万元，全年执行数</w:t>
      </w:r>
      <w:r>
        <w:rPr>
          <w:rFonts w:hint="eastAsia" w:ascii="仿宋_GB2312" w:hAnsi="仿宋_GB2312" w:eastAsia="仿宋_GB2312"/>
          <w:kern w:val="0"/>
          <w:sz w:val="32"/>
        </w:rPr>
        <w:t>0</w:t>
      </w:r>
      <w:r>
        <w:rPr>
          <w:rFonts w:hint="eastAsia" w:ascii="仿宋_GB2312" w:hAnsi="仿宋_GB2312" w:eastAsia="仿宋_GB2312"/>
          <w:kern w:val="0"/>
          <w:sz w:val="32"/>
          <w:lang w:val="en-US" w:eastAsia="zh-CN"/>
        </w:rPr>
        <w:t>.00</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eastAsia" w:ascii="仿宋_GB2312" w:hAnsi="仿宋_GB2312" w:eastAsia="仿宋_GB2312"/>
          <w:sz w:val="32"/>
        </w:rPr>
      </w:pPr>
      <w:r>
        <w:rPr>
          <w:rFonts w:hint="eastAsia" w:ascii="仿宋_GB2312" w:hAnsi="仿宋_GB2312" w:eastAsia="仿宋_GB2312"/>
          <w:sz w:val="32"/>
        </w:rPr>
        <w:t>机关运行经费：行政单位和参照公务员法管理的事业单位财政拨款基本支出中的公用经费支出。</w:t>
      </w:r>
    </w:p>
    <w:p>
      <w:pPr>
        <w:rPr>
          <w:rFonts w:hint="eastAsia" w:ascii="仿宋_GB2312" w:hAnsi="仿宋_GB2312" w:eastAsia="仿宋_GB2312"/>
          <w:sz w:val="32"/>
        </w:rPr>
      </w:pPr>
      <w:r>
        <w:rPr>
          <w:rFonts w:hint="eastAsia" w:ascii="仿宋_GB2312" w:hAnsi="仿宋_GB2312" w:eastAsia="仿宋_GB2312"/>
          <w:sz w:val="32"/>
        </w:rPr>
        <w:br w:type="page"/>
      </w:r>
    </w:p>
    <w:p>
      <w:pPr>
        <w:spacing w:line="360" w:lineRule="auto"/>
        <w:ind w:firstLine="640"/>
        <w:rPr>
          <w:rFonts w:hint="eastAsia" w:ascii="仿宋_GB2312" w:hAnsi="仿宋_GB2312" w:eastAsia="仿宋_GB2312"/>
          <w:sz w:val="32"/>
        </w:rPr>
      </w:pPr>
    </w:p>
    <w:p>
      <w:pPr>
        <w:shd w:val="clear" w:color="auto" w:fill="FFFFFF"/>
        <w:spacing w:before="100" w:after="240"/>
        <w:jc w:val="center"/>
        <w:rPr>
          <w:rFonts w:eastAsia="Times New Roman"/>
          <w:kern w:val="0"/>
          <w:sz w:val="32"/>
        </w:rPr>
      </w:pPr>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72A27"/>
    <w:rsid w:val="00676B3C"/>
    <w:rsid w:val="006929CD"/>
    <w:rsid w:val="00E34438"/>
    <w:rsid w:val="2D83304B"/>
    <w:rsid w:val="4E132103"/>
    <w:rsid w:val="663716F6"/>
    <w:rsid w:val="6EE83C8A"/>
    <w:rsid w:val="79664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9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5695</Words>
  <Characters>6469</Characters>
  <Lines>46</Lines>
  <Paragraphs>13</Paragraphs>
  <TotalTime>56</TotalTime>
  <ScaleCrop>false</ScaleCrop>
  <LinksUpToDate>false</LinksUpToDate>
  <CharactersWithSpaces>6480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2023-08-24T07:31:00Z</dcterms:created>
  <dc:creator>asus</dc:creator>
  <cp:lastModifiedBy>逐梦令</cp:lastModifiedBy>
  <dcterms:modified xsi:type="dcterms:W3CDTF">2023-09-01T11:21:08Z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684C33AA96C641738566E5C3458A6B7E_13</vt:lpwstr>
  </property>
</Properties>
</file>