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hd w:val="clear" w:color="auto" w:fill="FFFFFF"/>
        <w:spacing w:before="240" w:after="240"/>
        <w:jc w:val="center"/>
        <w:rPr>
          <w:rFonts w:hint="default" w:eastAsia="Times New Roman"/>
          <w:kern w:val="36"/>
          <w:sz w:val="40"/>
          <w:szCs w:val="24"/>
          <w:lang w:val="zh-CN"/>
        </w:rPr>
      </w:pPr>
    </w:p>
    <w:p>
      <w:pPr>
        <w:shd w:val="clear" w:color="auto" w:fill="FFFFFF"/>
        <w:spacing w:before="240" w:after="240"/>
        <w:jc w:val="center"/>
        <w:rPr>
          <w:rFonts w:hint="default" w:eastAsia="Times New Roman"/>
          <w:kern w:val="36"/>
          <w:sz w:val="40"/>
          <w:szCs w:val="24"/>
          <w:lang w:val="zh-CN"/>
        </w:rPr>
      </w:pPr>
    </w:p>
    <w:p>
      <w:pPr>
        <w:jc w:val="center"/>
        <w:outlineLvl w:val="0"/>
        <w:rPr>
          <w:rFonts w:hint="eastAsia" w:ascii="方正小标宋_GBK" w:hAnsi="方正小标宋_GBK" w:eastAsia="方正小标宋_GBK"/>
          <w:sz w:val="44"/>
          <w:szCs w:val="24"/>
          <w:lang w:val="en-US"/>
        </w:rPr>
      </w:pPr>
      <w:r>
        <w:rPr>
          <w:rFonts w:hint="eastAsia" w:ascii="方正小标宋_GBK" w:hAnsi="方正小标宋_GBK" w:eastAsia="方正小标宋_GBK"/>
          <w:sz w:val="44"/>
          <w:szCs w:val="24"/>
          <w:lang w:val="en-US"/>
        </w:rPr>
        <w:t>乌鲁木齐市米东区古牧地卫生院（人口和计划生育生殖健康服务站）</w:t>
      </w:r>
    </w:p>
    <w:p>
      <w:pPr>
        <w:jc w:val="center"/>
        <w:rPr>
          <w:rFonts w:hint="default" w:eastAsia="Times New Roman"/>
          <w:kern w:val="36"/>
          <w:sz w:val="40"/>
          <w:szCs w:val="24"/>
          <w:lang w:val="zh-CN"/>
        </w:rPr>
      </w:pPr>
      <w:r>
        <w:rPr>
          <w:rFonts w:hint="eastAsia" w:ascii="方正小标宋_GBK" w:hAnsi="方正小标宋_GBK" w:eastAsia="方正小标宋_GBK"/>
          <w:sz w:val="44"/>
          <w:szCs w:val="24"/>
          <w:lang w:val="en-US"/>
        </w:rPr>
        <w:t>2022年度部门决算公开说明</w:t>
      </w:r>
    </w:p>
    <w:p>
      <w:pPr>
        <w:shd w:val="clear" w:color="auto" w:fill="FFFFFF"/>
        <w:spacing w:before="240" w:after="240"/>
        <w:jc w:val="center"/>
        <w:rPr>
          <w:rFonts w:hint="default" w:eastAsia="Times New Roman"/>
          <w:kern w:val="36"/>
          <w:sz w:val="40"/>
          <w:szCs w:val="24"/>
          <w:lang w:val="zh-CN"/>
        </w:rPr>
      </w:pPr>
    </w:p>
    <w:p>
      <w:pPr>
        <w:spacing w:line="540" w:lineRule="exact"/>
        <w:jc w:val="center"/>
        <w:rPr>
          <w:rFonts w:hint="default" w:eastAsia="Times New Roman"/>
          <w:b/>
          <w:kern w:val="0"/>
          <w:sz w:val="24"/>
          <w:szCs w:val="24"/>
          <w:lang w:val="en-US"/>
        </w:rPr>
      </w:pPr>
      <w:r>
        <w:rPr>
          <w:rFonts w:hint="default" w:eastAsia="Times New Roman"/>
          <w:b/>
          <w:kern w:val="36"/>
          <w:sz w:val="36"/>
          <w:szCs w:val="24"/>
          <w:lang w:val="en-US"/>
        </w:rPr>
        <w:br w:type="page"/>
      </w:r>
      <w:r>
        <w:rPr>
          <w:rFonts w:hint="eastAsia" w:ascii="仿宋_GB2312" w:hAnsi="仿宋_GB2312" w:eastAsia="仿宋_GB2312"/>
          <w:b/>
          <w:kern w:val="0"/>
          <w:sz w:val="36"/>
          <w:szCs w:val="24"/>
          <w:lang w:val="en-US"/>
        </w:rPr>
        <w:t>目  录</w:t>
      </w:r>
    </w:p>
    <w:p>
      <w:pPr>
        <w:spacing w:line="540" w:lineRule="exact"/>
        <w:outlineLvl w:val="0"/>
        <w:rPr>
          <w:rFonts w:hint="default" w:eastAsia="Times New Roman"/>
          <w:kern w:val="0"/>
          <w:sz w:val="32"/>
          <w:szCs w:val="24"/>
          <w:lang w:val="en-US"/>
        </w:rPr>
      </w:pPr>
      <w:r>
        <w:rPr>
          <w:rFonts w:hint="eastAsia" w:ascii="仿宋_GB2312" w:hAnsi="仿宋_GB2312" w:eastAsia="仿宋_GB2312"/>
          <w:b/>
          <w:kern w:val="0"/>
          <w:sz w:val="32"/>
          <w:szCs w:val="24"/>
          <w:lang w:val="en-US"/>
        </w:rPr>
        <w:t>第一部分 单位概况</w:t>
      </w:r>
    </w:p>
    <w:p>
      <w:pPr>
        <w:spacing w:line="540" w:lineRule="exact"/>
        <w:rPr>
          <w:rFonts w:hint="default" w:eastAsia="Times New Roman"/>
          <w:kern w:val="0"/>
          <w:sz w:val="32"/>
          <w:szCs w:val="24"/>
          <w:lang w:val="en-US"/>
        </w:rPr>
      </w:pPr>
      <w:r>
        <w:rPr>
          <w:rFonts w:hint="eastAsia" w:ascii="仿宋_GB2312" w:hAnsi="仿宋_GB2312" w:eastAsia="仿宋_GB2312"/>
          <w:kern w:val="0"/>
          <w:sz w:val="32"/>
          <w:szCs w:val="24"/>
          <w:lang w:val="en-US"/>
        </w:rPr>
        <w:t>一、主要职能</w:t>
      </w:r>
    </w:p>
    <w:p>
      <w:pPr>
        <w:spacing w:line="540" w:lineRule="exact"/>
        <w:rPr>
          <w:rFonts w:hint="default" w:eastAsia="Times New Roman"/>
          <w:kern w:val="0"/>
          <w:sz w:val="32"/>
          <w:szCs w:val="24"/>
          <w:lang w:val="en-US"/>
        </w:rPr>
      </w:pPr>
      <w:r>
        <w:rPr>
          <w:rFonts w:hint="eastAsia" w:ascii="仿宋_GB2312" w:hAnsi="仿宋_GB2312" w:eastAsia="仿宋_GB2312"/>
          <w:kern w:val="0"/>
          <w:sz w:val="32"/>
          <w:szCs w:val="24"/>
          <w:lang w:val="en-US"/>
        </w:rPr>
        <w:t>二、</w:t>
      </w:r>
      <w:r>
        <w:rPr>
          <w:rFonts w:hint="eastAsia" w:ascii="仿宋_GB2312" w:hAnsi="仿宋_GB2312" w:eastAsia="仿宋_GB2312"/>
          <w:sz w:val="32"/>
          <w:szCs w:val="24"/>
          <w:lang w:val="en-US"/>
        </w:rPr>
        <w:t>机构设置及人员情况</w:t>
      </w:r>
    </w:p>
    <w:p>
      <w:pPr>
        <w:spacing w:line="540" w:lineRule="exact"/>
        <w:outlineLvl w:val="0"/>
        <w:rPr>
          <w:rFonts w:hint="default" w:eastAsia="Times New Roman"/>
          <w:kern w:val="0"/>
          <w:sz w:val="32"/>
          <w:szCs w:val="24"/>
          <w:lang w:val="en-US"/>
        </w:rPr>
      </w:pPr>
      <w:r>
        <w:rPr>
          <w:rFonts w:hint="eastAsia" w:ascii="仿宋_GB2312" w:hAnsi="仿宋_GB2312" w:eastAsia="仿宋_GB2312"/>
          <w:b/>
          <w:kern w:val="0"/>
          <w:sz w:val="32"/>
          <w:szCs w:val="24"/>
          <w:lang w:val="en-US"/>
        </w:rPr>
        <w:t>第二部分 部门决算情况说明</w:t>
      </w:r>
    </w:p>
    <w:p>
      <w:pPr>
        <w:spacing w:line="540" w:lineRule="exact"/>
        <w:rPr>
          <w:rFonts w:hint="default" w:eastAsia="Times New Roman"/>
          <w:sz w:val="32"/>
          <w:szCs w:val="24"/>
          <w:lang w:val="en-US"/>
        </w:rPr>
      </w:pPr>
      <w:r>
        <w:rPr>
          <w:rFonts w:hint="eastAsia" w:ascii="仿宋_GB2312" w:hAnsi="仿宋_GB2312" w:eastAsia="仿宋_GB2312"/>
          <w:sz w:val="32"/>
          <w:szCs w:val="24"/>
          <w:lang w:val="en-US"/>
        </w:rPr>
        <w:t>一、收入支出决算总体情况说明</w:t>
      </w:r>
    </w:p>
    <w:p>
      <w:pPr>
        <w:spacing w:line="540" w:lineRule="exact"/>
        <w:rPr>
          <w:rFonts w:hint="default" w:eastAsia="Times New Roman"/>
          <w:sz w:val="32"/>
          <w:szCs w:val="24"/>
          <w:lang w:val="en-US"/>
        </w:rPr>
      </w:pPr>
      <w:r>
        <w:rPr>
          <w:rFonts w:hint="eastAsia" w:ascii="仿宋_GB2312" w:hAnsi="仿宋_GB2312" w:eastAsia="仿宋_GB2312"/>
          <w:sz w:val="32"/>
          <w:szCs w:val="24"/>
          <w:lang w:val="en-US"/>
        </w:rPr>
        <w:t>二、收入决算情况说明</w:t>
      </w:r>
    </w:p>
    <w:p>
      <w:pPr>
        <w:spacing w:line="540" w:lineRule="exact"/>
        <w:rPr>
          <w:rFonts w:hint="default" w:eastAsia="Times New Roman"/>
          <w:sz w:val="32"/>
          <w:szCs w:val="24"/>
          <w:lang w:val="en-US"/>
        </w:rPr>
      </w:pPr>
      <w:r>
        <w:rPr>
          <w:rFonts w:hint="eastAsia" w:ascii="仿宋_GB2312" w:hAnsi="仿宋_GB2312" w:eastAsia="仿宋_GB2312"/>
          <w:sz w:val="32"/>
          <w:szCs w:val="24"/>
          <w:lang w:val="en-US"/>
        </w:rPr>
        <w:t>三、支出决算情况说明</w:t>
      </w:r>
    </w:p>
    <w:p>
      <w:pPr>
        <w:spacing w:line="540" w:lineRule="exact"/>
        <w:rPr>
          <w:rFonts w:hint="default" w:eastAsia="Times New Roman"/>
          <w:sz w:val="32"/>
          <w:szCs w:val="24"/>
          <w:lang w:val="en-US"/>
        </w:rPr>
      </w:pPr>
      <w:r>
        <w:rPr>
          <w:rFonts w:hint="eastAsia" w:ascii="仿宋_GB2312" w:hAnsi="仿宋_GB2312" w:eastAsia="仿宋_GB2312"/>
          <w:sz w:val="32"/>
          <w:szCs w:val="24"/>
          <w:lang w:val="en-US"/>
        </w:rPr>
        <w:t>四、财政拨款收入支出决算总体情况说明</w:t>
      </w:r>
    </w:p>
    <w:p>
      <w:pPr>
        <w:spacing w:line="540" w:lineRule="exact"/>
        <w:rPr>
          <w:rFonts w:hint="default" w:eastAsia="Times New Roman"/>
          <w:sz w:val="32"/>
          <w:szCs w:val="24"/>
          <w:lang w:val="en-US"/>
        </w:rPr>
      </w:pPr>
      <w:r>
        <w:rPr>
          <w:rFonts w:hint="eastAsia" w:ascii="仿宋_GB2312" w:hAnsi="仿宋_GB2312" w:eastAsia="仿宋_GB2312"/>
          <w:sz w:val="32"/>
          <w:szCs w:val="24"/>
          <w:lang w:val="en-US"/>
        </w:rPr>
        <w:t>五、一般公共预算财政拨款支出决算情况说明</w:t>
      </w:r>
    </w:p>
    <w:p>
      <w:pPr>
        <w:spacing w:line="540" w:lineRule="exact"/>
        <w:rPr>
          <w:rFonts w:hint="default" w:eastAsia="Times New Roman"/>
          <w:sz w:val="32"/>
          <w:szCs w:val="24"/>
          <w:lang w:val="en-US"/>
        </w:rPr>
      </w:pPr>
      <w:r>
        <w:rPr>
          <w:rFonts w:hint="eastAsia" w:ascii="仿宋_GB2312" w:hAnsi="仿宋_GB2312" w:eastAsia="仿宋_GB2312"/>
          <w:sz w:val="32"/>
          <w:szCs w:val="24"/>
          <w:lang w:val="en-US"/>
        </w:rPr>
        <w:t>六、一般公共预算财政拨款基本支出决算情况说明</w:t>
      </w:r>
    </w:p>
    <w:p>
      <w:pPr>
        <w:spacing w:line="540" w:lineRule="exact"/>
        <w:rPr>
          <w:rFonts w:hint="default" w:eastAsia="Times New Roman"/>
          <w:sz w:val="32"/>
          <w:szCs w:val="24"/>
          <w:lang w:val="en-US"/>
        </w:rPr>
      </w:pPr>
      <w:r>
        <w:rPr>
          <w:rFonts w:hint="eastAsia" w:ascii="仿宋_GB2312" w:hAnsi="仿宋_GB2312" w:eastAsia="仿宋_GB2312"/>
          <w:sz w:val="32"/>
          <w:szCs w:val="24"/>
          <w:lang w:val="en-US"/>
        </w:rPr>
        <w:t>七、财政拨款“三公”经费支出决算情况说明</w:t>
      </w:r>
    </w:p>
    <w:p>
      <w:pPr>
        <w:spacing w:line="540" w:lineRule="exact"/>
        <w:rPr>
          <w:rFonts w:hint="default" w:eastAsia="Times New Roman"/>
          <w:sz w:val="32"/>
          <w:szCs w:val="24"/>
          <w:lang w:val="en-US"/>
        </w:rPr>
      </w:pPr>
      <w:r>
        <w:rPr>
          <w:rFonts w:hint="eastAsia" w:ascii="仿宋_GB2312" w:hAnsi="仿宋_GB2312" w:eastAsia="仿宋_GB2312"/>
          <w:sz w:val="32"/>
          <w:szCs w:val="24"/>
          <w:lang w:val="en-US"/>
        </w:rPr>
        <w:t>八、政府性基金预算</w:t>
      </w:r>
      <w:r>
        <w:rPr>
          <w:rFonts w:hint="eastAsia" w:ascii="仿宋_GB2312" w:hAnsi="仿宋_GB2312" w:eastAsia="仿宋_GB2312"/>
          <w:sz w:val="32"/>
          <w:szCs w:val="24"/>
          <w:lang w:val="zh-CN"/>
        </w:rPr>
        <w:t>财政拨款</w:t>
      </w:r>
      <w:r>
        <w:rPr>
          <w:rFonts w:hint="eastAsia" w:ascii="仿宋_GB2312" w:hAnsi="仿宋_GB2312" w:eastAsia="仿宋_GB2312"/>
          <w:sz w:val="32"/>
          <w:szCs w:val="24"/>
          <w:lang w:val="en-US"/>
        </w:rPr>
        <w:t>收入支出决算情况说明</w:t>
      </w:r>
    </w:p>
    <w:p>
      <w:pPr>
        <w:spacing w:line="540" w:lineRule="exact"/>
        <w:rPr>
          <w:rFonts w:hint="default" w:eastAsia="Times New Roman"/>
          <w:sz w:val="32"/>
          <w:szCs w:val="24"/>
          <w:lang w:val="en-US"/>
        </w:rPr>
      </w:pPr>
      <w:r>
        <w:rPr>
          <w:rFonts w:hint="eastAsia" w:ascii="仿宋_GB2312" w:hAnsi="仿宋_GB2312" w:eastAsia="仿宋_GB2312"/>
          <w:sz w:val="32"/>
          <w:szCs w:val="24"/>
          <w:lang w:val="en-US"/>
        </w:rPr>
        <w:t>九、国有资本经营预算财政拨款收入支出决算情况说明</w:t>
      </w:r>
    </w:p>
    <w:p>
      <w:pPr>
        <w:spacing w:line="540" w:lineRule="exact"/>
        <w:rPr>
          <w:rFonts w:hint="default" w:eastAsia="Times New Roman"/>
          <w:sz w:val="32"/>
          <w:szCs w:val="24"/>
          <w:lang w:val="en-US"/>
        </w:rPr>
      </w:pPr>
      <w:r>
        <w:rPr>
          <w:rFonts w:hint="eastAsia" w:ascii="仿宋_GB2312" w:hAnsi="仿宋_GB2312" w:eastAsia="仿宋_GB2312"/>
          <w:sz w:val="32"/>
          <w:szCs w:val="24"/>
          <w:lang w:val="en-US"/>
        </w:rPr>
        <w:t>十、其他重要事项的情况说明</w:t>
      </w:r>
    </w:p>
    <w:p>
      <w:pPr>
        <w:spacing w:line="540" w:lineRule="exact"/>
        <w:rPr>
          <w:rFonts w:hint="default" w:eastAsia="Times New Roman"/>
          <w:sz w:val="32"/>
          <w:szCs w:val="24"/>
          <w:lang w:val="en-US"/>
        </w:rPr>
      </w:pPr>
      <w:r>
        <w:rPr>
          <w:rFonts w:hint="eastAsia" w:ascii="仿宋_GB2312" w:hAnsi="仿宋_GB2312" w:eastAsia="仿宋_GB2312"/>
          <w:sz w:val="32"/>
          <w:szCs w:val="24"/>
          <w:lang w:val="en-US"/>
        </w:rPr>
        <w:t>（一）机关运行经费支出情况</w:t>
      </w:r>
    </w:p>
    <w:p>
      <w:pPr>
        <w:spacing w:line="540" w:lineRule="exact"/>
        <w:rPr>
          <w:rFonts w:hint="default" w:eastAsia="Times New Roman"/>
          <w:sz w:val="32"/>
          <w:szCs w:val="24"/>
          <w:lang w:val="en-US"/>
        </w:rPr>
      </w:pPr>
      <w:r>
        <w:rPr>
          <w:rFonts w:hint="eastAsia" w:ascii="仿宋_GB2312" w:hAnsi="仿宋_GB2312" w:eastAsia="仿宋_GB2312"/>
          <w:sz w:val="32"/>
          <w:szCs w:val="24"/>
          <w:lang w:val="en-US"/>
        </w:rPr>
        <w:t>（二）政府采购情况</w:t>
      </w:r>
    </w:p>
    <w:p>
      <w:pPr>
        <w:spacing w:line="540" w:lineRule="exact"/>
        <w:rPr>
          <w:rFonts w:hint="default" w:eastAsia="Times New Roman"/>
          <w:sz w:val="32"/>
          <w:szCs w:val="24"/>
          <w:lang w:val="en-US"/>
        </w:rPr>
      </w:pPr>
      <w:r>
        <w:rPr>
          <w:rFonts w:hint="eastAsia" w:ascii="仿宋_GB2312" w:hAnsi="仿宋_GB2312" w:eastAsia="仿宋_GB2312"/>
          <w:sz w:val="32"/>
          <w:szCs w:val="24"/>
          <w:lang w:val="en-US"/>
        </w:rPr>
        <w:t>（三）国有资产占用情况说明</w:t>
      </w:r>
    </w:p>
    <w:p>
      <w:pPr>
        <w:spacing w:line="540" w:lineRule="exact"/>
        <w:outlineLvl w:val="1"/>
        <w:rPr>
          <w:rFonts w:hint="default" w:eastAsia="Times New Roman"/>
          <w:sz w:val="32"/>
          <w:szCs w:val="24"/>
          <w:lang w:val="en-US"/>
        </w:rPr>
      </w:pPr>
      <w:r>
        <w:rPr>
          <w:rFonts w:hint="eastAsia" w:ascii="仿宋_GB2312" w:hAnsi="仿宋_GB2312" w:eastAsia="仿宋_GB2312"/>
          <w:sz w:val="32"/>
          <w:szCs w:val="24"/>
          <w:lang w:val="en-US"/>
        </w:rPr>
        <w:t>十</w:t>
      </w:r>
      <w:r>
        <w:rPr>
          <w:rFonts w:hint="eastAsia" w:ascii="仿宋_GB2312" w:hAnsi="仿宋_GB2312" w:eastAsia="仿宋_GB2312"/>
          <w:sz w:val="32"/>
          <w:szCs w:val="24"/>
          <w:lang w:val="zh-CN"/>
        </w:rPr>
        <w:t>一</w:t>
      </w:r>
      <w:r>
        <w:rPr>
          <w:rFonts w:hint="eastAsia" w:ascii="仿宋_GB2312" w:hAnsi="仿宋_GB2312" w:eastAsia="仿宋_GB2312"/>
          <w:sz w:val="32"/>
          <w:szCs w:val="24"/>
          <w:lang w:val="en-US"/>
        </w:rPr>
        <w:t>、预算绩效的情况说明</w:t>
      </w:r>
    </w:p>
    <w:p>
      <w:pPr>
        <w:spacing w:line="540" w:lineRule="exact"/>
        <w:rPr>
          <w:rFonts w:hint="default" w:eastAsia="Times New Roman"/>
          <w:b/>
          <w:kern w:val="0"/>
          <w:sz w:val="32"/>
          <w:szCs w:val="24"/>
          <w:lang w:val="en-US"/>
        </w:rPr>
      </w:pPr>
      <w:r>
        <w:rPr>
          <w:rFonts w:hint="eastAsia" w:ascii="仿宋_GB2312" w:hAnsi="仿宋_GB2312" w:eastAsia="仿宋_GB2312"/>
          <w:b/>
          <w:kern w:val="0"/>
          <w:sz w:val="32"/>
          <w:szCs w:val="24"/>
          <w:lang w:val="en-US"/>
        </w:rPr>
        <w:t>第三部分 专业名词解释</w:t>
      </w:r>
    </w:p>
    <w:p>
      <w:pPr>
        <w:spacing w:line="540" w:lineRule="exact"/>
        <w:rPr>
          <w:rFonts w:hint="default" w:eastAsia="Times New Roman"/>
          <w:b/>
          <w:kern w:val="0"/>
          <w:sz w:val="32"/>
          <w:szCs w:val="24"/>
          <w:lang w:val="en-US"/>
        </w:rPr>
      </w:pPr>
      <w:r>
        <w:rPr>
          <w:rFonts w:hint="eastAsia" w:ascii="仿宋_GB2312" w:hAnsi="仿宋_GB2312" w:eastAsia="仿宋_GB2312"/>
          <w:b/>
          <w:kern w:val="0"/>
          <w:sz w:val="32"/>
          <w:szCs w:val="24"/>
          <w:lang w:val="en-US"/>
        </w:rPr>
        <w:t>第四部分 部</w:t>
      </w:r>
      <w:r>
        <w:rPr>
          <w:rFonts w:hint="eastAsia" w:ascii="仿宋_GB2312" w:hAnsi="仿宋_GB2312" w:eastAsia="仿宋_GB2312"/>
          <w:b/>
          <w:sz w:val="32"/>
          <w:szCs w:val="24"/>
          <w:lang w:val="en-US"/>
        </w:rPr>
        <w:t>门决算报表（见附表）</w:t>
      </w:r>
    </w:p>
    <w:p>
      <w:pPr>
        <w:spacing w:line="540" w:lineRule="exact"/>
        <w:rPr>
          <w:rFonts w:hint="default" w:eastAsia="Times New Roman"/>
          <w:sz w:val="32"/>
          <w:szCs w:val="24"/>
          <w:lang w:val="en-US"/>
        </w:rPr>
      </w:pPr>
      <w:r>
        <w:rPr>
          <w:rFonts w:hint="eastAsia" w:ascii="仿宋_GB2312" w:hAnsi="仿宋_GB2312" w:eastAsia="仿宋_GB2312"/>
          <w:sz w:val="32"/>
          <w:szCs w:val="24"/>
          <w:lang w:val="en-US"/>
        </w:rPr>
        <w:t>一、《收入支出决算总表》</w:t>
      </w:r>
    </w:p>
    <w:p>
      <w:pPr>
        <w:spacing w:line="540" w:lineRule="exact"/>
        <w:rPr>
          <w:rFonts w:hint="default" w:eastAsia="Times New Roman"/>
          <w:sz w:val="32"/>
          <w:szCs w:val="24"/>
          <w:lang w:val="en-US"/>
        </w:rPr>
      </w:pPr>
      <w:r>
        <w:rPr>
          <w:rFonts w:hint="eastAsia" w:ascii="仿宋_GB2312" w:hAnsi="仿宋_GB2312" w:eastAsia="仿宋_GB2312"/>
          <w:sz w:val="32"/>
          <w:szCs w:val="24"/>
          <w:lang w:val="en-US"/>
        </w:rPr>
        <w:t>二、《收入决算表》</w:t>
      </w:r>
    </w:p>
    <w:p>
      <w:pPr>
        <w:spacing w:line="540" w:lineRule="exact"/>
        <w:rPr>
          <w:rFonts w:hint="default" w:eastAsia="Times New Roman"/>
          <w:sz w:val="32"/>
          <w:szCs w:val="24"/>
          <w:lang w:val="en-US"/>
        </w:rPr>
      </w:pPr>
      <w:r>
        <w:rPr>
          <w:rFonts w:hint="eastAsia" w:ascii="仿宋_GB2312" w:hAnsi="仿宋_GB2312" w:eastAsia="仿宋_GB2312"/>
          <w:sz w:val="32"/>
          <w:szCs w:val="24"/>
          <w:lang w:val="en-US"/>
        </w:rPr>
        <w:t>三、《支出决算表》</w:t>
      </w:r>
    </w:p>
    <w:p>
      <w:pPr>
        <w:spacing w:line="540" w:lineRule="exact"/>
        <w:rPr>
          <w:rFonts w:hint="default" w:eastAsia="Times New Roman"/>
          <w:sz w:val="32"/>
          <w:szCs w:val="24"/>
          <w:lang w:val="en-US"/>
        </w:rPr>
      </w:pPr>
      <w:r>
        <w:rPr>
          <w:rFonts w:hint="eastAsia" w:ascii="仿宋_GB2312" w:hAnsi="仿宋_GB2312" w:eastAsia="仿宋_GB2312"/>
          <w:sz w:val="32"/>
          <w:szCs w:val="24"/>
          <w:lang w:val="en-US"/>
        </w:rPr>
        <w:t>四、《财政拨款收入支出决算总表》</w:t>
      </w:r>
    </w:p>
    <w:p>
      <w:pPr>
        <w:spacing w:line="540" w:lineRule="exact"/>
        <w:rPr>
          <w:rFonts w:hint="default" w:eastAsia="Times New Roman"/>
          <w:sz w:val="32"/>
          <w:szCs w:val="24"/>
          <w:lang w:val="en-US"/>
        </w:rPr>
      </w:pPr>
      <w:r>
        <w:rPr>
          <w:rFonts w:hint="eastAsia" w:ascii="仿宋_GB2312" w:hAnsi="仿宋_GB2312" w:eastAsia="仿宋_GB2312"/>
          <w:sz w:val="32"/>
          <w:szCs w:val="24"/>
          <w:lang w:val="en-US"/>
        </w:rPr>
        <w:t>五、《一般公共预算财政拨款支出决算表》</w:t>
      </w:r>
    </w:p>
    <w:p>
      <w:pPr>
        <w:spacing w:line="540" w:lineRule="exact"/>
        <w:rPr>
          <w:rFonts w:hint="default" w:eastAsia="Times New Roman"/>
          <w:sz w:val="32"/>
          <w:szCs w:val="24"/>
          <w:lang w:val="en-US"/>
        </w:rPr>
      </w:pPr>
      <w:r>
        <w:rPr>
          <w:rFonts w:hint="eastAsia" w:ascii="仿宋_GB2312" w:hAnsi="仿宋_GB2312" w:eastAsia="仿宋_GB2312"/>
          <w:sz w:val="32"/>
          <w:szCs w:val="24"/>
          <w:lang w:val="en-US"/>
        </w:rPr>
        <w:t>六、《一般公共预算财政拨款基本支出决算表》</w:t>
      </w:r>
    </w:p>
    <w:p>
      <w:pPr>
        <w:spacing w:line="540" w:lineRule="exact"/>
        <w:rPr>
          <w:rFonts w:hint="default" w:eastAsia="Times New Roman"/>
          <w:sz w:val="32"/>
          <w:szCs w:val="24"/>
          <w:lang w:val="en-US"/>
        </w:rPr>
      </w:pPr>
      <w:r>
        <w:rPr>
          <w:rFonts w:hint="eastAsia" w:ascii="仿宋_GB2312" w:hAnsi="仿宋_GB2312" w:eastAsia="仿宋_GB2312"/>
          <w:sz w:val="32"/>
          <w:szCs w:val="24"/>
          <w:lang w:val="en-US"/>
        </w:rPr>
        <w:t>七、《财政拨款“三公”经费支出决算表》</w:t>
      </w:r>
    </w:p>
    <w:p>
      <w:pPr>
        <w:spacing w:line="540" w:lineRule="exact"/>
        <w:rPr>
          <w:rFonts w:hint="default" w:eastAsia="Times New Roman"/>
          <w:sz w:val="32"/>
          <w:szCs w:val="24"/>
          <w:lang w:val="en-US"/>
        </w:rPr>
      </w:pPr>
      <w:r>
        <w:rPr>
          <w:rFonts w:hint="eastAsia" w:ascii="仿宋_GB2312" w:hAnsi="仿宋_GB2312" w:eastAsia="仿宋_GB2312"/>
          <w:sz w:val="32"/>
          <w:szCs w:val="24"/>
          <w:lang w:val="en-US"/>
        </w:rPr>
        <w:t>八、《政府性基金预算财政拨款收入支出决算表》</w:t>
      </w:r>
    </w:p>
    <w:p>
      <w:pPr>
        <w:spacing w:line="540" w:lineRule="exact"/>
        <w:rPr>
          <w:rFonts w:hint="default" w:eastAsia="Times New Roman"/>
          <w:sz w:val="32"/>
          <w:szCs w:val="24"/>
          <w:lang w:val="en-US"/>
        </w:rPr>
      </w:pPr>
      <w:r>
        <w:rPr>
          <w:rFonts w:hint="eastAsia" w:ascii="仿宋_GB2312" w:hAnsi="仿宋_GB2312" w:eastAsia="仿宋_GB2312"/>
          <w:sz w:val="32"/>
          <w:szCs w:val="24"/>
          <w:lang w:val="en-US"/>
        </w:rPr>
        <w:t>九、《国有资本经营预算财政拨款收入支出决算表》</w:t>
      </w:r>
    </w:p>
    <w:p>
      <w:pPr>
        <w:spacing w:line="540" w:lineRule="exact"/>
        <w:ind w:firstLine="640"/>
        <w:rPr>
          <w:rFonts w:hint="default" w:eastAsia="Times New Roman"/>
          <w:b/>
          <w:kern w:val="0"/>
          <w:sz w:val="28"/>
          <w:szCs w:val="24"/>
          <w:lang w:val="en-US"/>
        </w:rPr>
      </w:pPr>
    </w:p>
    <w:p>
      <w:pPr>
        <w:shd w:val="clear" w:color="auto" w:fill="FFFFFF"/>
        <w:spacing w:line="360" w:lineRule="auto"/>
        <w:jc w:val="center"/>
        <w:rPr>
          <w:rFonts w:hint="default" w:eastAsia="Times New Roman"/>
          <w:kern w:val="0"/>
          <w:sz w:val="32"/>
          <w:szCs w:val="24"/>
          <w:lang w:val="en-US"/>
        </w:rPr>
      </w:pPr>
    </w:p>
    <w:p>
      <w:pPr>
        <w:shd w:val="clear" w:color="auto" w:fill="FFFFFF"/>
        <w:spacing w:line="360" w:lineRule="auto"/>
        <w:jc w:val="center"/>
        <w:outlineLvl w:val="0"/>
        <w:rPr>
          <w:rFonts w:hint="eastAsia" w:ascii="黑体" w:hAnsi="黑体" w:eastAsia="黑体"/>
          <w:kern w:val="0"/>
          <w:sz w:val="32"/>
          <w:szCs w:val="24"/>
          <w:lang w:val="ar-SA"/>
        </w:rPr>
      </w:pPr>
      <w:r>
        <w:rPr>
          <w:rFonts w:hint="default" w:eastAsia="Times New Roman"/>
          <w:kern w:val="0"/>
          <w:sz w:val="32"/>
          <w:szCs w:val="24"/>
          <w:lang w:val="en-US"/>
        </w:rPr>
        <w:br w:type="page"/>
      </w:r>
      <w:r>
        <w:rPr>
          <w:rFonts w:hint="eastAsia" w:ascii="黑体" w:hAnsi="黑体" w:eastAsia="黑体"/>
          <w:kern w:val="0"/>
          <w:sz w:val="32"/>
          <w:szCs w:val="24"/>
          <w:lang w:val="en-US"/>
        </w:rPr>
        <w:t>第一部分 单位概况</w:t>
      </w:r>
    </w:p>
    <w:p>
      <w:pPr>
        <w:spacing w:line="360" w:lineRule="auto"/>
        <w:ind w:firstLine="640"/>
        <w:rPr>
          <w:rFonts w:hint="eastAsia" w:ascii="黑体" w:hAnsi="黑体" w:eastAsia="黑体"/>
          <w:sz w:val="32"/>
          <w:szCs w:val="24"/>
          <w:lang w:val="zh-CN"/>
        </w:rPr>
      </w:pPr>
      <w:r>
        <w:rPr>
          <w:rFonts w:hint="eastAsia" w:ascii="黑体" w:hAnsi="黑体" w:eastAsia="黑体"/>
          <w:sz w:val="32"/>
          <w:szCs w:val="24"/>
          <w:lang w:val="zh-CN"/>
        </w:rPr>
        <w:t>一、主要职能</w:t>
      </w:r>
    </w:p>
    <w:p>
      <w:pPr>
        <w:spacing w:line="360" w:lineRule="auto"/>
        <w:ind w:firstLine="640"/>
        <w:rPr>
          <w:rFonts w:hint="eastAsia" w:ascii="黑体" w:hAnsi="黑体" w:eastAsia="黑体"/>
          <w:sz w:val="32"/>
          <w:szCs w:val="24"/>
          <w:lang w:val="zh-CN"/>
        </w:rPr>
      </w:pPr>
      <w:r>
        <w:rPr>
          <w:rFonts w:hint="eastAsia" w:ascii="仿宋_GB2312" w:eastAsia="仿宋_GB2312" w:cs="仿宋_GB2312"/>
          <w:kern w:val="0"/>
          <w:sz w:val="32"/>
          <w:szCs w:val="32"/>
        </w:rPr>
        <w:t>乌鲁木齐市米东区古牧地卫生院（人口和计划生育生殖健康服务站）始建于1973年，属于城乡结合地区，自1973年建院以来,古牧地卫生院卫生事业各项工作不断提高，经济效益和社会效益明显提升，院容院貌、基础设施、工作环境、就医条件、精神面貌焕然一新，稳定团结、服务质量、渐进提高。我院是一所集医疗、预防、保健、食品卫生、健康教育、社区卫生服务为一体的综合性乡镇卫生院，承担着</w:t>
      </w:r>
      <w:r>
        <w:rPr>
          <w:rFonts w:hint="eastAsia" w:ascii="仿宋_GB2312" w:eastAsia="仿宋_GB2312" w:cs="仿宋_GB2312"/>
          <w:kern w:val="0"/>
          <w:sz w:val="32"/>
          <w:szCs w:val="32"/>
          <w:lang w:val="en-US" w:eastAsia="zh-CN"/>
        </w:rPr>
        <w:t>56935</w:t>
      </w:r>
      <w:r>
        <w:rPr>
          <w:rFonts w:hint="eastAsia" w:ascii="仿宋_GB2312" w:eastAsia="仿宋_GB2312" w:cs="仿宋_GB2312"/>
          <w:kern w:val="0"/>
          <w:sz w:val="32"/>
          <w:szCs w:val="32"/>
        </w:rPr>
        <w:t>位人口的预防保健和医疗服务任务，服务半径10公里左右，在抓好农村公共卫生、基础医疗、计生服务工作的同时积极开展农村社保医疗，改善农民的医疗保障体系，缓解看病难、看病贵、因病返贫等现象，提高卫生院的社会效益</w:t>
      </w:r>
    </w:p>
    <w:p>
      <w:pPr>
        <w:spacing w:line="360" w:lineRule="auto"/>
        <w:ind w:firstLine="640"/>
        <w:rPr>
          <w:rFonts w:hint="default" w:eastAsia="Times New Roman"/>
          <w:sz w:val="32"/>
          <w:szCs w:val="24"/>
          <w:lang w:val="zh-CN"/>
        </w:rPr>
      </w:pPr>
      <w:r>
        <w:rPr>
          <w:rFonts w:hint="eastAsia" w:ascii="黑体" w:hAnsi="黑体" w:eastAsia="黑体"/>
          <w:sz w:val="32"/>
          <w:szCs w:val="24"/>
          <w:lang w:val="zh-CN"/>
        </w:rPr>
        <w:t>二、机构设置及人员情况</w:t>
      </w:r>
    </w:p>
    <w:p>
      <w:pPr>
        <w:shd w:val="clear" w:color="auto" w:fill="FFFFFF"/>
        <w:spacing w:line="360" w:lineRule="auto"/>
        <w:ind w:firstLine="640"/>
        <w:rPr>
          <w:rFonts w:hint="default" w:eastAsia="Times New Roman"/>
          <w:kern w:val="0"/>
          <w:sz w:val="32"/>
          <w:szCs w:val="24"/>
          <w:lang w:val="en-US"/>
        </w:rPr>
      </w:pPr>
      <w:r>
        <w:rPr>
          <w:rFonts w:hint="eastAsia" w:ascii="仿宋_GB2312" w:hAnsi="仿宋_GB2312" w:eastAsia="仿宋_GB2312"/>
          <w:kern w:val="0"/>
          <w:sz w:val="32"/>
          <w:szCs w:val="24"/>
          <w:lang w:val="en-US"/>
        </w:rPr>
        <w:t>乌鲁木齐市米东区古牧地卫生院（人口和计划生育生殖健康服务站）2022年度，实有人数64人，其中：在职人员47人，离休人员0人，退休人员17人。</w:t>
      </w:r>
    </w:p>
    <w:p>
      <w:pPr>
        <w:shd w:val="clear" w:color="auto" w:fill="FFFFFF"/>
        <w:spacing w:line="360" w:lineRule="auto"/>
        <w:ind w:firstLine="640"/>
        <w:rPr>
          <w:rFonts w:hint="default" w:eastAsia="Times New Roman"/>
          <w:kern w:val="0"/>
          <w:sz w:val="24"/>
          <w:szCs w:val="24"/>
          <w:lang w:val="ar-SA"/>
        </w:rPr>
      </w:pPr>
      <w:r>
        <w:rPr>
          <w:rFonts w:hint="eastAsia" w:ascii="仿宋_GB2312" w:hAnsi="仿宋_GB2312" w:eastAsia="仿宋_GB2312"/>
          <w:kern w:val="0"/>
          <w:sz w:val="32"/>
          <w:szCs w:val="24"/>
          <w:lang w:val="en-US"/>
        </w:rPr>
        <w:t>从部门决算单位构成看，乌鲁木齐市米东区古牧地卫生院（人口和计划生育生殖健康服务站）部门决算包括：乌鲁木齐市米东区古牧地卫生院（人口和计划生育生殖健康服务站）</w:t>
      </w:r>
      <w:r>
        <w:rPr>
          <w:rFonts w:hint="eastAsia" w:ascii="仿宋_GB2312" w:hAnsi="仿宋_GB2312" w:eastAsia="仿宋_GB2312"/>
          <w:kern w:val="0"/>
          <w:sz w:val="32"/>
          <w:szCs w:val="24"/>
          <w:lang w:val="zh-CN"/>
        </w:rPr>
        <w:t>决算。单位无下属预算单位，下设</w:t>
      </w:r>
      <w:r>
        <w:rPr>
          <w:rFonts w:hint="eastAsia" w:ascii="仿宋_GB2312" w:hAnsi="仿宋_GB2312" w:eastAsia="仿宋_GB2312"/>
          <w:kern w:val="0"/>
          <w:sz w:val="32"/>
          <w:szCs w:val="24"/>
          <w:lang w:val="en-US" w:eastAsia="zh-CN"/>
        </w:rPr>
        <w:t>21</w:t>
      </w:r>
      <w:r>
        <w:rPr>
          <w:rFonts w:hint="eastAsia" w:ascii="仿宋_GB2312" w:hAnsi="仿宋_GB2312" w:eastAsia="仿宋_GB2312"/>
          <w:kern w:val="0"/>
          <w:sz w:val="32"/>
          <w:szCs w:val="24"/>
          <w:lang w:val="zh-CN"/>
        </w:rPr>
        <w:t>个科室，分别是：</w:t>
      </w:r>
      <w:r>
        <w:rPr>
          <w:rFonts w:hint="eastAsia" w:ascii="仿宋_GB2312" w:hAnsi="仿宋" w:eastAsia="仿宋_GB2312"/>
          <w:sz w:val="32"/>
          <w:szCs w:val="24"/>
        </w:rPr>
        <w:t>内科、骨科、外科、妇科、儿科、碎石科、口腔科、中医科、针灸理疗、护理部、药剂科、检验科、B超心电、放射科、公共卫生科、院长办、行政办、财务室、医保办、党办、工会办</w:t>
      </w:r>
      <w:r>
        <w:rPr>
          <w:rFonts w:hint="eastAsia" w:ascii="仿宋_GB2312" w:hAnsi="仿宋_GB2312" w:eastAsia="仿宋_GB2312"/>
          <w:kern w:val="0"/>
          <w:sz w:val="32"/>
          <w:szCs w:val="24"/>
          <w:highlight w:val="white"/>
          <w:lang w:val="zh-CN"/>
        </w:rPr>
        <w:t>。</w:t>
      </w:r>
    </w:p>
    <w:p>
      <w:pPr>
        <w:shd w:val="clear" w:color="auto" w:fill="FFFFFF"/>
        <w:spacing w:before="100" w:after="240"/>
        <w:jc w:val="center"/>
        <w:outlineLvl w:val="0"/>
        <w:rPr>
          <w:rFonts w:hint="default" w:eastAsia="Times New Roman"/>
          <w:kern w:val="0"/>
          <w:sz w:val="28"/>
          <w:szCs w:val="24"/>
          <w:lang w:val="ar-SA"/>
        </w:rPr>
      </w:pPr>
      <w:r>
        <w:rPr>
          <w:rFonts w:hint="eastAsia" w:ascii="黑体" w:hAnsi="黑体" w:eastAsia="黑体"/>
          <w:kern w:val="0"/>
          <w:sz w:val="32"/>
          <w:szCs w:val="24"/>
          <w:lang w:val="en-US"/>
        </w:rPr>
        <w:t>第二部分 部门决算情况说明</w:t>
      </w:r>
    </w:p>
    <w:p>
      <w:pPr>
        <w:spacing w:line="360" w:lineRule="auto"/>
        <w:ind w:firstLine="640"/>
        <w:outlineLvl w:val="1"/>
        <w:rPr>
          <w:rFonts w:hint="default" w:eastAsia="Times New Roman"/>
          <w:sz w:val="32"/>
          <w:szCs w:val="24"/>
          <w:lang w:val="zh-CN"/>
        </w:rPr>
      </w:pPr>
      <w:r>
        <w:rPr>
          <w:rFonts w:hint="eastAsia" w:ascii="黑体" w:hAnsi="黑体" w:eastAsia="黑体"/>
          <w:sz w:val="32"/>
          <w:szCs w:val="24"/>
          <w:lang w:val="zh-CN"/>
        </w:rPr>
        <w:t>一、收入支出决算总体情况说明</w:t>
      </w:r>
    </w:p>
    <w:p>
      <w:pPr>
        <w:shd w:val="clear" w:color="auto" w:fill="FFFFFF"/>
        <w:spacing w:line="360" w:lineRule="auto"/>
        <w:ind w:firstLine="640"/>
        <w:rPr>
          <w:rFonts w:hint="eastAsia" w:ascii="仿宋_GB2312" w:hAnsi="仿宋_GB2312" w:eastAsia="仿宋_GB2312"/>
          <w:kern w:val="0"/>
          <w:sz w:val="32"/>
          <w:szCs w:val="24"/>
          <w:lang w:val="en-US"/>
        </w:rPr>
      </w:pPr>
      <w:r>
        <w:rPr>
          <w:rFonts w:hint="eastAsia" w:ascii="仿宋_GB2312" w:hAnsi="仿宋_GB2312" w:eastAsia="仿宋_GB2312"/>
          <w:kern w:val="0"/>
          <w:sz w:val="32"/>
          <w:szCs w:val="24"/>
          <w:lang w:val="en-US"/>
        </w:rPr>
        <w:t>2022年度收入</w:t>
      </w:r>
      <w:r>
        <w:rPr>
          <w:rFonts w:hint="eastAsia" w:ascii="仿宋_GB2312" w:hAnsi="仿宋_GB2312" w:eastAsia="仿宋_GB2312"/>
          <w:sz w:val="32"/>
          <w:szCs w:val="24"/>
          <w:lang w:val="en-US"/>
        </w:rPr>
        <w:t>总计</w:t>
      </w:r>
      <w:r>
        <w:rPr>
          <w:rFonts w:hint="eastAsia" w:ascii="仿宋_GB2312" w:hAnsi="仿宋_GB2312" w:eastAsia="仿宋_GB2312"/>
          <w:kern w:val="0"/>
          <w:sz w:val="32"/>
          <w:szCs w:val="24"/>
          <w:lang w:val="en-US"/>
        </w:rPr>
        <w:t>2,070.10万元，</w:t>
      </w:r>
      <w:r>
        <w:rPr>
          <w:rFonts w:hint="eastAsia" w:ascii="仿宋_GB2312" w:hAnsi="仿宋_GB2312" w:eastAsia="仿宋_GB2312"/>
          <w:sz w:val="32"/>
          <w:szCs w:val="24"/>
          <w:lang w:val="en-US"/>
        </w:rPr>
        <w:t>其中：本年收入合计</w:t>
      </w:r>
      <w:r>
        <w:rPr>
          <w:rFonts w:hint="eastAsia" w:ascii="仿宋_GB2312" w:hAnsi="仿宋_GB2312" w:eastAsia="仿宋_GB2312"/>
          <w:kern w:val="0"/>
          <w:sz w:val="32"/>
          <w:szCs w:val="24"/>
          <w:lang w:val="en-US"/>
        </w:rPr>
        <w:t>2,068.14</w:t>
      </w:r>
      <w:r>
        <w:rPr>
          <w:rFonts w:hint="eastAsia" w:ascii="仿宋_GB2312" w:hAnsi="仿宋_GB2312" w:eastAsia="仿宋_GB2312"/>
          <w:sz w:val="32"/>
          <w:szCs w:val="24"/>
          <w:lang w:val="en-US"/>
        </w:rPr>
        <w:t>万元，使用非财政拨款结余</w:t>
      </w:r>
      <w:r>
        <w:rPr>
          <w:rFonts w:hint="eastAsia" w:ascii="仿宋_GB2312" w:hAnsi="仿宋_GB2312" w:eastAsia="仿宋_GB2312"/>
          <w:kern w:val="0"/>
          <w:sz w:val="32"/>
          <w:szCs w:val="24"/>
          <w:lang w:val="en-US"/>
        </w:rPr>
        <w:t>1.96</w:t>
      </w:r>
      <w:r>
        <w:rPr>
          <w:rFonts w:hint="eastAsia" w:ascii="仿宋_GB2312" w:hAnsi="仿宋_GB2312" w:eastAsia="仿宋_GB2312"/>
          <w:sz w:val="32"/>
          <w:szCs w:val="24"/>
          <w:lang w:val="en-US"/>
        </w:rPr>
        <w:t>万元，年初结转和结余</w:t>
      </w:r>
      <w:r>
        <w:rPr>
          <w:rFonts w:hint="eastAsia" w:ascii="仿宋_GB2312" w:hAnsi="仿宋_GB2312" w:eastAsia="仿宋_GB2312"/>
          <w:kern w:val="0"/>
          <w:sz w:val="32"/>
          <w:szCs w:val="24"/>
          <w:lang w:val="en-US"/>
        </w:rPr>
        <w:t>0.00</w:t>
      </w:r>
      <w:r>
        <w:rPr>
          <w:rFonts w:hint="eastAsia" w:ascii="仿宋_GB2312" w:hAnsi="仿宋_GB2312" w:eastAsia="仿宋_GB2312"/>
          <w:sz w:val="32"/>
          <w:szCs w:val="24"/>
          <w:lang w:val="en-US"/>
        </w:rPr>
        <w:t>万元。收入总计</w:t>
      </w:r>
      <w:r>
        <w:rPr>
          <w:rFonts w:hint="eastAsia" w:ascii="仿宋_GB2312" w:hAnsi="仿宋_GB2312" w:eastAsia="仿宋_GB2312"/>
          <w:kern w:val="0"/>
          <w:sz w:val="32"/>
          <w:szCs w:val="24"/>
          <w:lang w:val="en-US"/>
        </w:rPr>
        <w:t>与上年相比，减少428.05万元，下降17.13%，主要原因是：</w:t>
      </w:r>
      <w:r>
        <w:rPr>
          <w:rFonts w:hint="eastAsia" w:ascii="仿宋_GB2312" w:hAnsi="仿宋_GB2312" w:eastAsia="仿宋_GB2312"/>
          <w:kern w:val="0"/>
          <w:sz w:val="32"/>
          <w:szCs w:val="24"/>
          <w:lang w:val="en-US" w:eastAsia="zh-CN"/>
        </w:rPr>
        <w:t>本年减少基础建设项目，没有开放住院部，收入总计较上年减少</w:t>
      </w:r>
      <w:r>
        <w:rPr>
          <w:rFonts w:hint="eastAsia" w:ascii="仿宋_GB2312" w:hAnsi="仿宋_GB2312" w:eastAsia="仿宋_GB2312"/>
          <w:kern w:val="0"/>
          <w:sz w:val="32"/>
          <w:szCs w:val="24"/>
          <w:lang w:val="en-US"/>
        </w:rPr>
        <w:t>。</w:t>
      </w:r>
    </w:p>
    <w:p>
      <w:pPr>
        <w:shd w:val="clear" w:color="auto" w:fill="FFFFFF"/>
        <w:spacing w:line="360" w:lineRule="auto"/>
        <w:ind w:firstLine="640"/>
        <w:rPr>
          <w:rFonts w:hint="default" w:eastAsia="Times New Roman"/>
          <w:kern w:val="0"/>
          <w:sz w:val="32"/>
          <w:szCs w:val="24"/>
          <w:highlight w:val="yellow"/>
          <w:lang w:val="en-US"/>
        </w:rPr>
      </w:pPr>
      <w:r>
        <w:rPr>
          <w:rFonts w:hint="eastAsia" w:ascii="仿宋_GB2312" w:hAnsi="仿宋_GB2312" w:eastAsia="仿宋_GB2312"/>
          <w:sz w:val="32"/>
          <w:szCs w:val="24"/>
          <w:lang w:val="en-US"/>
        </w:rPr>
        <w:t>本年支出总计</w:t>
      </w:r>
      <w:r>
        <w:rPr>
          <w:rFonts w:hint="eastAsia" w:ascii="仿宋_GB2312" w:hAnsi="仿宋_GB2312" w:eastAsia="仿宋_GB2312"/>
          <w:kern w:val="0"/>
          <w:sz w:val="32"/>
          <w:szCs w:val="24"/>
          <w:lang w:val="en-US"/>
        </w:rPr>
        <w:t>2,070.10万元，</w:t>
      </w:r>
      <w:r>
        <w:rPr>
          <w:rFonts w:hint="eastAsia" w:ascii="仿宋_GB2312" w:hAnsi="仿宋_GB2312" w:eastAsia="仿宋_GB2312"/>
          <w:sz w:val="32"/>
          <w:szCs w:val="24"/>
          <w:lang w:val="en-US"/>
        </w:rPr>
        <w:t>其中：本年支出合计</w:t>
      </w:r>
      <w:r>
        <w:rPr>
          <w:rFonts w:hint="eastAsia" w:ascii="仿宋_GB2312" w:hAnsi="仿宋_GB2312" w:eastAsia="仿宋_GB2312"/>
          <w:kern w:val="0"/>
          <w:sz w:val="32"/>
          <w:szCs w:val="24"/>
          <w:lang w:val="en-US"/>
        </w:rPr>
        <w:t>2,070.10</w:t>
      </w:r>
      <w:r>
        <w:rPr>
          <w:rFonts w:hint="eastAsia" w:ascii="仿宋_GB2312" w:hAnsi="仿宋_GB2312" w:eastAsia="仿宋_GB2312"/>
          <w:sz w:val="32"/>
          <w:szCs w:val="24"/>
          <w:lang w:val="en-US"/>
        </w:rPr>
        <w:t>万元，结余分配</w:t>
      </w:r>
      <w:r>
        <w:rPr>
          <w:rFonts w:hint="eastAsia" w:ascii="仿宋_GB2312" w:hAnsi="仿宋_GB2312" w:eastAsia="仿宋_GB2312"/>
          <w:kern w:val="0"/>
          <w:sz w:val="32"/>
          <w:szCs w:val="24"/>
          <w:lang w:val="en-US"/>
        </w:rPr>
        <w:t>0.00</w:t>
      </w:r>
      <w:r>
        <w:rPr>
          <w:rFonts w:hint="eastAsia" w:ascii="仿宋_GB2312" w:hAnsi="仿宋_GB2312" w:eastAsia="仿宋_GB2312"/>
          <w:sz w:val="32"/>
          <w:szCs w:val="24"/>
          <w:lang w:val="en-US"/>
        </w:rPr>
        <w:t>万元，年末结转和结余</w:t>
      </w:r>
      <w:r>
        <w:rPr>
          <w:rFonts w:hint="eastAsia" w:ascii="仿宋_GB2312" w:hAnsi="仿宋_GB2312" w:eastAsia="仿宋_GB2312"/>
          <w:kern w:val="0"/>
          <w:sz w:val="32"/>
          <w:szCs w:val="24"/>
          <w:lang w:val="en-US"/>
        </w:rPr>
        <w:t>0.00</w:t>
      </w:r>
      <w:r>
        <w:rPr>
          <w:rFonts w:hint="eastAsia" w:ascii="仿宋_GB2312" w:hAnsi="仿宋_GB2312" w:eastAsia="仿宋_GB2312"/>
          <w:sz w:val="32"/>
          <w:szCs w:val="24"/>
          <w:lang w:val="en-US"/>
        </w:rPr>
        <w:t>万元。支出总计</w:t>
      </w:r>
      <w:r>
        <w:rPr>
          <w:rFonts w:hint="eastAsia" w:ascii="仿宋_GB2312" w:hAnsi="仿宋_GB2312" w:eastAsia="仿宋_GB2312"/>
          <w:kern w:val="0"/>
          <w:sz w:val="32"/>
          <w:szCs w:val="24"/>
          <w:lang w:val="en-US"/>
        </w:rPr>
        <w:t>与上年相比，减少428.05万元，下降17.13%，主要原因是：</w:t>
      </w:r>
      <w:r>
        <w:rPr>
          <w:rFonts w:hint="eastAsia" w:ascii="仿宋_GB2312" w:hAnsi="仿宋_GB2312" w:eastAsia="仿宋_GB2312"/>
          <w:kern w:val="0"/>
          <w:sz w:val="32"/>
          <w:szCs w:val="24"/>
          <w:lang w:val="en-US" w:eastAsia="zh-CN"/>
        </w:rPr>
        <w:t>本年减少基础建设项目，住院部相关运转经费减少，支出总计较上年减少</w:t>
      </w:r>
      <w:r>
        <w:rPr>
          <w:rFonts w:hint="eastAsia" w:ascii="仿宋_GB2312" w:hAnsi="仿宋_GB2312" w:eastAsia="仿宋_GB2312"/>
          <w:kern w:val="0"/>
          <w:sz w:val="32"/>
          <w:szCs w:val="24"/>
          <w:lang w:val="en-US"/>
        </w:rPr>
        <w:t>。</w:t>
      </w:r>
    </w:p>
    <w:p>
      <w:pPr>
        <w:spacing w:line="360" w:lineRule="auto"/>
        <w:ind w:firstLine="640"/>
        <w:outlineLvl w:val="1"/>
        <w:rPr>
          <w:rFonts w:hint="default" w:eastAsia="Times New Roman"/>
          <w:sz w:val="32"/>
          <w:szCs w:val="24"/>
          <w:lang w:val="en-US"/>
        </w:rPr>
      </w:pPr>
      <w:r>
        <w:rPr>
          <w:rFonts w:hint="eastAsia" w:ascii="黑体" w:hAnsi="黑体" w:eastAsia="黑体"/>
          <w:sz w:val="32"/>
          <w:szCs w:val="24"/>
          <w:lang w:val="zh-CN"/>
        </w:rPr>
        <w:t>二、收入决算情况说明</w:t>
      </w:r>
    </w:p>
    <w:p>
      <w:pPr>
        <w:shd w:val="clear" w:color="auto" w:fill="FFFFFF"/>
        <w:spacing w:line="360" w:lineRule="auto"/>
        <w:ind w:firstLine="640"/>
        <w:rPr>
          <w:rFonts w:hint="default" w:eastAsia="Times New Roman"/>
          <w:kern w:val="0"/>
          <w:sz w:val="32"/>
          <w:szCs w:val="24"/>
          <w:lang w:val="en-US"/>
        </w:rPr>
      </w:pPr>
      <w:r>
        <w:rPr>
          <w:rFonts w:hint="eastAsia" w:ascii="仿宋_GB2312" w:hAnsi="仿宋_GB2312" w:eastAsia="仿宋_GB2312"/>
          <w:kern w:val="0"/>
          <w:sz w:val="32"/>
          <w:szCs w:val="24"/>
          <w:lang w:val="en-US"/>
        </w:rPr>
        <w:t>2022年度本年收入2,068.14万元，其中：财政拨款收入912.81万元，占44.14%；上级补助收入0.00万元，占0.00%；事业收入966.07万元，占46.71%；经营收入0.00万元，占0.00%；附属单位上缴收入0.00万元，占0.00%；其他收入189.26万元，占9.15%。</w:t>
      </w:r>
    </w:p>
    <w:p>
      <w:pPr>
        <w:spacing w:line="360" w:lineRule="auto"/>
        <w:ind w:firstLine="640"/>
        <w:outlineLvl w:val="1"/>
        <w:rPr>
          <w:rFonts w:hint="default" w:eastAsia="Times New Roman"/>
          <w:sz w:val="32"/>
          <w:szCs w:val="24"/>
          <w:lang w:val="en-US"/>
        </w:rPr>
      </w:pPr>
      <w:r>
        <w:rPr>
          <w:rFonts w:hint="eastAsia" w:ascii="黑体" w:hAnsi="黑体" w:eastAsia="黑体"/>
          <w:sz w:val="32"/>
          <w:szCs w:val="24"/>
          <w:lang w:val="zh-CN"/>
        </w:rPr>
        <w:t>三、支出决算情况说明</w:t>
      </w:r>
    </w:p>
    <w:p>
      <w:pPr>
        <w:shd w:val="clear" w:color="auto" w:fill="FFFFFF"/>
        <w:spacing w:line="360" w:lineRule="auto"/>
        <w:ind w:firstLine="640"/>
        <w:rPr>
          <w:rFonts w:hint="default" w:eastAsia="Times New Roman"/>
          <w:kern w:val="0"/>
          <w:sz w:val="32"/>
          <w:szCs w:val="24"/>
          <w:lang w:val="en-US"/>
        </w:rPr>
      </w:pPr>
      <w:r>
        <w:rPr>
          <w:rFonts w:hint="eastAsia" w:ascii="仿宋_GB2312" w:hAnsi="仿宋_GB2312" w:eastAsia="仿宋_GB2312"/>
          <w:kern w:val="0"/>
          <w:sz w:val="32"/>
          <w:szCs w:val="24"/>
          <w:lang w:val="en-US"/>
        </w:rPr>
        <w:t>2022年度本年支出2,070.10万元，其中：基本支出2,070.10万元，占100.00%；项目支出0.00万元，占0.00%；上缴上级支出0.00万元，占0.00%；经营支出0.00万元，占0.00%；对附属单位补助支出0.00万元，占0.00%。</w:t>
      </w:r>
    </w:p>
    <w:p>
      <w:pPr>
        <w:spacing w:line="360" w:lineRule="auto"/>
        <w:ind w:firstLine="640"/>
        <w:outlineLvl w:val="1"/>
        <w:rPr>
          <w:rFonts w:hint="default" w:eastAsia="Times New Roman"/>
          <w:sz w:val="32"/>
          <w:szCs w:val="24"/>
          <w:lang w:val="zh-CN"/>
        </w:rPr>
      </w:pPr>
      <w:r>
        <w:rPr>
          <w:rFonts w:hint="eastAsia" w:ascii="黑体" w:hAnsi="黑体" w:eastAsia="黑体"/>
          <w:sz w:val="32"/>
          <w:szCs w:val="24"/>
          <w:lang w:val="zh-CN"/>
        </w:rPr>
        <w:t>四、财政拨款收入支出决算总体情况说明</w:t>
      </w:r>
    </w:p>
    <w:p>
      <w:pPr>
        <w:shd w:val="clear" w:color="auto" w:fill="FFFFFF"/>
        <w:spacing w:line="360" w:lineRule="auto"/>
        <w:ind w:firstLine="640"/>
        <w:rPr>
          <w:rFonts w:hint="eastAsia" w:ascii="仿宋_GB2312" w:hAnsi="仿宋_GB2312" w:eastAsia="仿宋_GB2312"/>
          <w:kern w:val="0"/>
          <w:sz w:val="32"/>
          <w:szCs w:val="24"/>
          <w:lang w:val="en-US"/>
        </w:rPr>
      </w:pPr>
      <w:r>
        <w:rPr>
          <w:rFonts w:hint="eastAsia" w:ascii="仿宋_GB2312" w:hAnsi="仿宋_GB2312" w:eastAsia="仿宋_GB2312"/>
          <w:kern w:val="0"/>
          <w:sz w:val="32"/>
          <w:szCs w:val="24"/>
          <w:lang w:val="en-US"/>
        </w:rPr>
        <w:t>2022年度财政拨款收入</w:t>
      </w:r>
      <w:r>
        <w:rPr>
          <w:rFonts w:hint="eastAsia" w:ascii="仿宋_GB2312" w:hAnsi="仿宋_GB2312" w:eastAsia="仿宋_GB2312"/>
          <w:sz w:val="32"/>
          <w:szCs w:val="24"/>
          <w:lang w:val="en-US"/>
        </w:rPr>
        <w:t>总计</w:t>
      </w:r>
      <w:r>
        <w:rPr>
          <w:rFonts w:hint="eastAsia" w:ascii="仿宋_GB2312" w:hAnsi="仿宋_GB2312" w:eastAsia="仿宋_GB2312"/>
          <w:kern w:val="0"/>
          <w:sz w:val="32"/>
          <w:szCs w:val="24"/>
          <w:lang w:val="en-US"/>
        </w:rPr>
        <w:t>912.81万元，</w:t>
      </w:r>
      <w:r>
        <w:rPr>
          <w:rFonts w:hint="eastAsia" w:ascii="仿宋_GB2312" w:hAnsi="仿宋_GB2312" w:eastAsia="仿宋_GB2312"/>
          <w:sz w:val="32"/>
          <w:szCs w:val="24"/>
          <w:lang w:val="en-US"/>
        </w:rPr>
        <w:t>其中：年初财政拨款结转和结余</w:t>
      </w:r>
      <w:r>
        <w:rPr>
          <w:rFonts w:hint="eastAsia" w:ascii="仿宋_GB2312" w:hAnsi="仿宋_GB2312" w:eastAsia="仿宋_GB2312"/>
          <w:kern w:val="0"/>
          <w:sz w:val="32"/>
          <w:szCs w:val="24"/>
          <w:lang w:val="en-US"/>
        </w:rPr>
        <w:t>0.00</w:t>
      </w:r>
      <w:r>
        <w:rPr>
          <w:rFonts w:hint="eastAsia" w:ascii="仿宋_GB2312" w:hAnsi="仿宋_GB2312" w:eastAsia="仿宋_GB2312"/>
          <w:sz w:val="32"/>
          <w:szCs w:val="24"/>
          <w:lang w:val="en-US"/>
        </w:rPr>
        <w:t>万元，财政拨款本年收入</w:t>
      </w:r>
      <w:r>
        <w:rPr>
          <w:rFonts w:hint="eastAsia" w:ascii="仿宋_GB2312" w:hAnsi="仿宋_GB2312" w:eastAsia="仿宋_GB2312"/>
          <w:kern w:val="0"/>
          <w:sz w:val="32"/>
          <w:szCs w:val="24"/>
          <w:lang w:val="en-US"/>
        </w:rPr>
        <w:t>912.81</w:t>
      </w:r>
      <w:r>
        <w:rPr>
          <w:rFonts w:hint="eastAsia" w:ascii="仿宋_GB2312" w:hAnsi="仿宋_GB2312" w:eastAsia="仿宋_GB2312"/>
          <w:sz w:val="32"/>
          <w:szCs w:val="24"/>
          <w:lang w:val="en-US"/>
        </w:rPr>
        <w:t>万元。财政拨款收入总计</w:t>
      </w:r>
      <w:r>
        <w:rPr>
          <w:rFonts w:hint="eastAsia" w:ascii="仿宋_GB2312" w:hAnsi="仿宋_GB2312" w:eastAsia="仿宋_GB2312"/>
          <w:kern w:val="0"/>
          <w:sz w:val="32"/>
          <w:szCs w:val="24"/>
          <w:lang w:val="en-US"/>
        </w:rPr>
        <w:t>与上年相比，增加198.21万元，增长27.74%，主要原因是：</w:t>
      </w:r>
      <w:r>
        <w:rPr>
          <w:rFonts w:hint="eastAsia" w:ascii="仿宋_GB2312" w:hAnsi="仿宋_GB2312" w:eastAsia="仿宋_GB2312"/>
          <w:kern w:val="0"/>
          <w:sz w:val="32"/>
          <w:szCs w:val="24"/>
          <w:lang w:val="en-US" w:eastAsia="zh-CN"/>
        </w:rPr>
        <w:t>2021年财政拨款拨付9个月人员经费，剩余3个月人员经费均在2022年拨付，人员工资调标、社保、住房公积金基数调增，收入较上年增加较大</w:t>
      </w:r>
      <w:r>
        <w:rPr>
          <w:rFonts w:hint="eastAsia" w:ascii="仿宋_GB2312" w:hAnsi="仿宋_GB2312" w:eastAsia="仿宋_GB2312"/>
          <w:kern w:val="0"/>
          <w:sz w:val="32"/>
          <w:szCs w:val="24"/>
          <w:lang w:val="en-US"/>
        </w:rPr>
        <w:t>。</w:t>
      </w:r>
    </w:p>
    <w:p>
      <w:pPr>
        <w:shd w:val="clear" w:color="auto" w:fill="FFFFFF"/>
        <w:spacing w:line="360" w:lineRule="auto"/>
        <w:ind w:firstLine="640"/>
        <w:rPr>
          <w:rFonts w:hint="default" w:eastAsia="Times New Roman"/>
          <w:kern w:val="0"/>
          <w:sz w:val="32"/>
          <w:szCs w:val="24"/>
          <w:lang w:val="en-US"/>
        </w:rPr>
      </w:pPr>
      <w:r>
        <w:rPr>
          <w:rFonts w:hint="eastAsia" w:ascii="仿宋_GB2312" w:hAnsi="仿宋_GB2312" w:eastAsia="仿宋_GB2312"/>
          <w:kern w:val="0"/>
          <w:sz w:val="32"/>
          <w:szCs w:val="24"/>
          <w:lang w:val="en-US"/>
        </w:rPr>
        <w:t>财政拨款支出</w:t>
      </w:r>
      <w:r>
        <w:rPr>
          <w:rFonts w:hint="eastAsia" w:ascii="仿宋_GB2312" w:hAnsi="仿宋_GB2312" w:eastAsia="仿宋_GB2312"/>
          <w:sz w:val="32"/>
          <w:szCs w:val="24"/>
          <w:lang w:val="en-US"/>
        </w:rPr>
        <w:t>总计</w:t>
      </w:r>
      <w:r>
        <w:rPr>
          <w:rFonts w:hint="eastAsia" w:ascii="仿宋_GB2312" w:hAnsi="仿宋_GB2312" w:eastAsia="仿宋_GB2312"/>
          <w:kern w:val="0"/>
          <w:sz w:val="32"/>
          <w:szCs w:val="24"/>
          <w:lang w:val="en-US"/>
        </w:rPr>
        <w:t>912.81万元，</w:t>
      </w:r>
      <w:r>
        <w:rPr>
          <w:rFonts w:hint="eastAsia" w:ascii="仿宋_GB2312" w:hAnsi="仿宋_GB2312" w:eastAsia="仿宋_GB2312"/>
          <w:sz w:val="32"/>
          <w:szCs w:val="24"/>
          <w:lang w:val="en-US"/>
        </w:rPr>
        <w:t>其中：年末财政拨款结转和结余</w:t>
      </w:r>
      <w:r>
        <w:rPr>
          <w:rFonts w:hint="eastAsia" w:ascii="仿宋_GB2312" w:hAnsi="仿宋_GB2312" w:eastAsia="仿宋_GB2312"/>
          <w:kern w:val="0"/>
          <w:sz w:val="32"/>
          <w:szCs w:val="24"/>
          <w:lang w:val="en-US"/>
        </w:rPr>
        <w:t>0.00</w:t>
      </w:r>
      <w:r>
        <w:rPr>
          <w:rFonts w:hint="eastAsia" w:ascii="仿宋_GB2312" w:hAnsi="仿宋_GB2312" w:eastAsia="仿宋_GB2312"/>
          <w:sz w:val="32"/>
          <w:szCs w:val="24"/>
          <w:lang w:val="en-US"/>
        </w:rPr>
        <w:t>万元，财政拨款本年支出</w:t>
      </w:r>
      <w:r>
        <w:rPr>
          <w:rFonts w:hint="eastAsia" w:ascii="仿宋_GB2312" w:hAnsi="仿宋_GB2312" w:eastAsia="仿宋_GB2312"/>
          <w:kern w:val="0"/>
          <w:sz w:val="32"/>
          <w:szCs w:val="24"/>
          <w:lang w:val="en-US"/>
        </w:rPr>
        <w:t>912.81</w:t>
      </w:r>
      <w:r>
        <w:rPr>
          <w:rFonts w:hint="eastAsia" w:ascii="仿宋_GB2312" w:hAnsi="仿宋_GB2312" w:eastAsia="仿宋_GB2312"/>
          <w:sz w:val="32"/>
          <w:szCs w:val="24"/>
          <w:lang w:val="en-US"/>
        </w:rPr>
        <w:t>万元。财政拨款支出总计</w:t>
      </w:r>
      <w:r>
        <w:rPr>
          <w:rFonts w:hint="eastAsia" w:ascii="仿宋_GB2312" w:hAnsi="仿宋_GB2312" w:eastAsia="仿宋_GB2312"/>
          <w:kern w:val="0"/>
          <w:sz w:val="32"/>
          <w:szCs w:val="24"/>
          <w:lang w:val="en-US"/>
        </w:rPr>
        <w:t>与上年相比，增加198.21万元，增长27.74%，主要原因是：</w:t>
      </w:r>
      <w:r>
        <w:rPr>
          <w:rFonts w:hint="eastAsia" w:ascii="仿宋_GB2312" w:hAnsi="仿宋_GB2312" w:eastAsia="仿宋_GB2312"/>
          <w:kern w:val="0"/>
          <w:sz w:val="32"/>
          <w:szCs w:val="24"/>
          <w:lang w:val="en-US" w:eastAsia="zh-CN"/>
        </w:rPr>
        <w:t>2021年财政拨款拨付9个月人员经费，剩余3个月人员经费均在2022年拨付，人员工资调标、社保、住房公积金基数调增，支出较上年增加较大</w:t>
      </w:r>
      <w:r>
        <w:rPr>
          <w:rFonts w:hint="eastAsia" w:ascii="仿宋_GB2312" w:hAnsi="仿宋_GB2312" w:eastAsia="仿宋_GB2312"/>
          <w:kern w:val="0"/>
          <w:sz w:val="32"/>
          <w:szCs w:val="24"/>
          <w:lang w:val="en-US"/>
        </w:rPr>
        <w:t>。</w:t>
      </w:r>
    </w:p>
    <w:p>
      <w:pPr>
        <w:shd w:val="clear" w:color="auto" w:fill="FFFFFF"/>
        <w:spacing w:line="360" w:lineRule="auto"/>
        <w:ind w:firstLine="640"/>
        <w:rPr>
          <w:rFonts w:hint="default" w:eastAsia="Times New Roman"/>
          <w:kern w:val="0"/>
          <w:sz w:val="32"/>
          <w:szCs w:val="24"/>
          <w:lang w:val="en-US"/>
        </w:rPr>
      </w:pPr>
      <w:r>
        <w:rPr>
          <w:rFonts w:hint="eastAsia" w:ascii="仿宋_GB2312" w:hAnsi="仿宋_GB2312" w:eastAsia="仿宋_GB2312"/>
          <w:kern w:val="0"/>
          <w:sz w:val="32"/>
          <w:szCs w:val="24"/>
          <w:lang w:val="en-US"/>
        </w:rPr>
        <w:t>与年初预算数相比情况：财政拨款收入</w:t>
      </w:r>
      <w:r>
        <w:rPr>
          <w:rFonts w:hint="eastAsia" w:ascii="仿宋_GB2312" w:hAnsi="仿宋_GB2312" w:eastAsia="仿宋_GB2312"/>
          <w:sz w:val="32"/>
          <w:szCs w:val="24"/>
          <w:lang w:val="en-US"/>
        </w:rPr>
        <w:t>总计</w:t>
      </w:r>
      <w:r>
        <w:rPr>
          <w:rFonts w:hint="eastAsia" w:ascii="仿宋_GB2312" w:hAnsi="仿宋_GB2312" w:eastAsia="仿宋_GB2312"/>
          <w:kern w:val="0"/>
          <w:sz w:val="32"/>
          <w:szCs w:val="24"/>
          <w:lang w:val="en-US"/>
        </w:rPr>
        <w:t>年初预算数780.42万元，决算数912.81万元，预决算差异率16.96%，主要原因是：</w:t>
      </w:r>
      <w:r>
        <w:rPr>
          <w:rFonts w:hint="eastAsia" w:ascii="仿宋_GB2312" w:hAnsi="仿宋_GB2312" w:eastAsia="仿宋_GB2312"/>
          <w:kern w:val="0"/>
          <w:sz w:val="32"/>
          <w:szCs w:val="24"/>
          <w:lang w:val="en-US" w:eastAsia="zh-CN"/>
        </w:rPr>
        <w:t>2021年财政拨款拨付9个月人员经费，剩余3个月人员经费均在2022年拨付，人员工资调标、社保、住房公积金基数调增，预算差异率较大</w:t>
      </w:r>
      <w:r>
        <w:rPr>
          <w:rFonts w:hint="eastAsia" w:ascii="仿宋_GB2312" w:hAnsi="仿宋_GB2312" w:eastAsia="仿宋_GB2312"/>
          <w:kern w:val="0"/>
          <w:sz w:val="32"/>
          <w:szCs w:val="24"/>
          <w:lang w:val="en-US"/>
        </w:rPr>
        <w:t>。财政拨款支出</w:t>
      </w:r>
      <w:r>
        <w:rPr>
          <w:rFonts w:hint="eastAsia" w:ascii="仿宋_GB2312" w:hAnsi="仿宋_GB2312" w:eastAsia="仿宋_GB2312"/>
          <w:sz w:val="32"/>
          <w:szCs w:val="24"/>
          <w:lang w:val="en-US"/>
        </w:rPr>
        <w:t>总计</w:t>
      </w:r>
      <w:r>
        <w:rPr>
          <w:rFonts w:hint="eastAsia" w:ascii="仿宋_GB2312" w:hAnsi="仿宋_GB2312" w:eastAsia="仿宋_GB2312"/>
          <w:kern w:val="0"/>
          <w:sz w:val="32"/>
          <w:szCs w:val="24"/>
          <w:lang w:val="en-US"/>
        </w:rPr>
        <w:t>年初预算数780.42万元，决算数912.81万元，预决算差异率16.96%，主要原因是：</w:t>
      </w:r>
      <w:r>
        <w:rPr>
          <w:rFonts w:hint="eastAsia" w:ascii="仿宋_GB2312" w:hAnsi="仿宋_GB2312" w:eastAsia="仿宋_GB2312"/>
          <w:kern w:val="0"/>
          <w:sz w:val="32"/>
          <w:szCs w:val="24"/>
          <w:lang w:val="en-US" w:eastAsia="zh-CN"/>
        </w:rPr>
        <w:t>2021年财政拨款拨付9个月人员经费，剩余3个月人员经费均在2022年拨付，人员工资调标、社保、住房公积金基数调增，预算差异率较大</w:t>
      </w:r>
      <w:r>
        <w:rPr>
          <w:rFonts w:hint="eastAsia" w:ascii="仿宋_GB2312" w:hAnsi="仿宋_GB2312" w:eastAsia="仿宋_GB2312"/>
          <w:kern w:val="0"/>
          <w:sz w:val="32"/>
          <w:szCs w:val="24"/>
          <w:lang w:val="en-US"/>
        </w:rPr>
        <w:t>。</w:t>
      </w:r>
    </w:p>
    <w:p>
      <w:pPr>
        <w:spacing w:line="360" w:lineRule="auto"/>
        <w:ind w:firstLine="640"/>
        <w:outlineLvl w:val="1"/>
        <w:rPr>
          <w:rFonts w:hint="default" w:eastAsia="Times New Roman"/>
          <w:sz w:val="32"/>
          <w:szCs w:val="24"/>
          <w:lang w:val="zh-CN"/>
        </w:rPr>
      </w:pPr>
      <w:r>
        <w:rPr>
          <w:rFonts w:hint="eastAsia" w:ascii="黑体" w:hAnsi="黑体" w:eastAsia="黑体"/>
          <w:sz w:val="32"/>
          <w:szCs w:val="24"/>
          <w:lang w:val="zh-CN"/>
        </w:rPr>
        <w:t>五、一般公共预算财政拨款支出决算情况说明</w:t>
      </w:r>
    </w:p>
    <w:p>
      <w:pPr>
        <w:ind w:firstLine="640"/>
        <w:outlineLvl w:val="2"/>
        <w:rPr>
          <w:rFonts w:hint="default" w:eastAsia="Times New Roman"/>
          <w:sz w:val="32"/>
          <w:szCs w:val="24"/>
          <w:lang w:val="en-US"/>
        </w:rPr>
      </w:pPr>
      <w:r>
        <w:rPr>
          <w:rFonts w:hint="eastAsia" w:ascii="黑体" w:hAnsi="黑体" w:eastAsia="黑体"/>
          <w:sz w:val="32"/>
          <w:szCs w:val="24"/>
          <w:lang w:val="en-US"/>
        </w:rPr>
        <w:t>（一）一般公共预算财政拨款支出决算总体情况</w:t>
      </w:r>
    </w:p>
    <w:p>
      <w:pPr>
        <w:spacing w:line="600" w:lineRule="exact"/>
        <w:ind w:firstLine="640"/>
        <w:rPr>
          <w:rFonts w:hint="eastAsia" w:ascii="仿宋_GB2312" w:hAnsi="仿宋_GB2312" w:eastAsia="仿宋_GB2312"/>
          <w:kern w:val="0"/>
          <w:sz w:val="32"/>
          <w:szCs w:val="24"/>
          <w:highlight w:val="yellow"/>
          <w:lang w:val="en-US"/>
        </w:rPr>
      </w:pPr>
      <w:r>
        <w:rPr>
          <w:rFonts w:hint="eastAsia" w:ascii="仿宋_GB2312" w:hAnsi="仿宋_GB2312" w:eastAsia="仿宋_GB2312"/>
          <w:sz w:val="32"/>
          <w:szCs w:val="24"/>
          <w:lang w:val="en-US"/>
        </w:rPr>
        <w:t>2022年度一般公共预算财政拨款支出</w:t>
      </w:r>
      <w:r>
        <w:rPr>
          <w:rFonts w:hint="eastAsia" w:ascii="仿宋_GB2312" w:hAnsi="仿宋_GB2312" w:eastAsia="仿宋_GB2312"/>
          <w:kern w:val="0"/>
          <w:sz w:val="32"/>
          <w:szCs w:val="24"/>
          <w:lang w:val="en-US"/>
        </w:rPr>
        <w:t>912.81</w:t>
      </w:r>
      <w:r>
        <w:rPr>
          <w:rFonts w:hint="eastAsia" w:ascii="仿宋_GB2312" w:hAnsi="仿宋_GB2312" w:eastAsia="仿宋_GB2312"/>
          <w:sz w:val="32"/>
          <w:szCs w:val="24"/>
          <w:lang w:val="en-US"/>
        </w:rPr>
        <w:t>万元，占本年支出合计的</w:t>
      </w:r>
      <w:r>
        <w:rPr>
          <w:rFonts w:hint="eastAsia" w:ascii="仿宋_GB2312" w:hAnsi="仿宋_GB2312" w:eastAsia="仿宋_GB2312"/>
          <w:kern w:val="0"/>
          <w:sz w:val="32"/>
          <w:szCs w:val="24"/>
          <w:lang w:val="en-US"/>
        </w:rPr>
        <w:t>100.00%</w:t>
      </w:r>
      <w:r>
        <w:rPr>
          <w:rFonts w:hint="eastAsia" w:ascii="仿宋_GB2312" w:hAnsi="仿宋_GB2312" w:eastAsia="仿宋_GB2312"/>
          <w:sz w:val="32"/>
          <w:szCs w:val="24"/>
          <w:lang w:val="en-US"/>
        </w:rPr>
        <w:t>，与上年相比，</w:t>
      </w:r>
      <w:r>
        <w:rPr>
          <w:rFonts w:hint="eastAsia" w:ascii="仿宋_GB2312" w:hAnsi="仿宋_GB2312" w:eastAsia="仿宋_GB2312"/>
          <w:kern w:val="0"/>
          <w:sz w:val="32"/>
          <w:szCs w:val="24"/>
          <w:lang w:val="en-US"/>
        </w:rPr>
        <w:t>增加198.21万元，增长27.74%，主要原因是：</w:t>
      </w:r>
      <w:r>
        <w:rPr>
          <w:rFonts w:hint="eastAsia" w:ascii="仿宋_GB2312" w:hAnsi="仿宋_GB2312" w:eastAsia="仿宋_GB2312"/>
          <w:kern w:val="0"/>
          <w:sz w:val="32"/>
          <w:szCs w:val="24"/>
          <w:lang w:val="en-US" w:eastAsia="zh-CN"/>
        </w:rPr>
        <w:t>2021年财政拨款拨付9个月人员经费，剩余3个月人员经费均在2022年拨付，人员工资调标、社保、住房公积金基数调增；本年卫健委拨项目经费增加</w:t>
      </w:r>
      <w:r>
        <w:rPr>
          <w:rFonts w:hint="eastAsia" w:ascii="仿宋_GB2312" w:hAnsi="仿宋_GB2312" w:eastAsia="仿宋_GB2312"/>
          <w:kern w:val="0"/>
          <w:sz w:val="32"/>
          <w:szCs w:val="24"/>
          <w:lang w:val="en-US"/>
        </w:rPr>
        <w:t>。</w:t>
      </w:r>
    </w:p>
    <w:p>
      <w:pPr>
        <w:ind w:firstLine="640"/>
        <w:outlineLvl w:val="2"/>
        <w:rPr>
          <w:rFonts w:hint="default" w:eastAsia="Times New Roman"/>
          <w:sz w:val="32"/>
          <w:szCs w:val="24"/>
          <w:lang w:val="en-US"/>
        </w:rPr>
      </w:pPr>
      <w:r>
        <w:rPr>
          <w:rFonts w:hint="eastAsia" w:ascii="黑体" w:hAnsi="黑体" w:eastAsia="黑体"/>
          <w:sz w:val="32"/>
          <w:szCs w:val="24"/>
          <w:lang w:val="en-US"/>
        </w:rPr>
        <w:t>（二）一般公共预算财政拨款支出决算结构情况</w:t>
      </w:r>
    </w:p>
    <w:p>
      <w:pPr>
        <w:spacing w:line="600" w:lineRule="exact"/>
        <w:ind w:firstLine="640"/>
        <w:rPr>
          <w:rFonts w:hint="eastAsia" w:ascii="仿宋_GB2312" w:hAnsi="仿宋_GB2312" w:eastAsia="仿宋_GB2312"/>
          <w:sz w:val="32"/>
          <w:szCs w:val="24"/>
          <w:lang w:val="en-US"/>
        </w:rPr>
      </w:pPr>
      <w:r>
        <w:rPr>
          <w:rFonts w:hint="eastAsia" w:ascii="仿宋_GB2312" w:hAnsi="仿宋_GB2312" w:eastAsia="仿宋_GB2312"/>
          <w:sz w:val="32"/>
          <w:szCs w:val="24"/>
          <w:lang w:val="en-US"/>
        </w:rPr>
        <w:t>1.社会保障和就业支出（类）85.37万元，占9.35%；</w:t>
      </w:r>
    </w:p>
    <w:p>
      <w:pPr>
        <w:spacing w:line="600" w:lineRule="exact"/>
        <w:ind w:firstLine="640"/>
        <w:rPr>
          <w:rFonts w:hint="eastAsia" w:ascii="仿宋_GB2312" w:hAnsi="仿宋_GB2312" w:eastAsia="仿宋_GB2312"/>
          <w:kern w:val="0"/>
          <w:sz w:val="32"/>
          <w:szCs w:val="24"/>
          <w:lang w:val="en-US" w:eastAsia="zh-CN"/>
        </w:rPr>
      </w:pPr>
      <w:r>
        <w:rPr>
          <w:rFonts w:hint="eastAsia" w:ascii="仿宋_GB2312" w:hAnsi="仿宋_GB2312" w:eastAsia="仿宋_GB2312"/>
          <w:sz w:val="32"/>
          <w:szCs w:val="24"/>
          <w:lang w:val="en-US" w:eastAsia="zh-CN"/>
        </w:rPr>
        <w:t>2.</w:t>
      </w:r>
      <w:r>
        <w:rPr>
          <w:rFonts w:hint="eastAsia" w:ascii="仿宋_GB2312" w:hAnsi="仿宋_GB2312" w:eastAsia="仿宋_GB2312"/>
          <w:sz w:val="32"/>
          <w:szCs w:val="24"/>
          <w:lang w:val="en-US"/>
        </w:rPr>
        <w:t>卫生健康支出（类）827.44万元，占90.65%</w:t>
      </w:r>
      <w:r>
        <w:rPr>
          <w:rFonts w:hint="eastAsia" w:ascii="仿宋_GB2312" w:hAnsi="仿宋_GB2312" w:eastAsia="仿宋_GB2312"/>
          <w:sz w:val="32"/>
          <w:szCs w:val="24"/>
          <w:lang w:val="en-US" w:eastAsia="zh-CN"/>
        </w:rPr>
        <w:t>。</w:t>
      </w:r>
    </w:p>
    <w:p>
      <w:pPr>
        <w:ind w:firstLine="640"/>
        <w:outlineLvl w:val="2"/>
        <w:rPr>
          <w:rFonts w:hint="default" w:eastAsia="Times New Roman"/>
          <w:sz w:val="32"/>
          <w:szCs w:val="24"/>
          <w:lang w:val="en-US"/>
        </w:rPr>
      </w:pPr>
      <w:r>
        <w:rPr>
          <w:rFonts w:hint="eastAsia" w:ascii="黑体" w:hAnsi="黑体" w:eastAsia="黑体"/>
          <w:sz w:val="32"/>
          <w:szCs w:val="24"/>
          <w:lang w:val="en-US"/>
        </w:rPr>
        <w:t>（三）一般公共预算财政拨款支出决算具体情况</w:t>
      </w:r>
    </w:p>
    <w:p>
      <w:pPr>
        <w:spacing w:line="600" w:lineRule="exact"/>
        <w:ind w:firstLine="640"/>
        <w:rPr>
          <w:rFonts w:hint="default" w:eastAsia="仿宋_GB2312"/>
          <w:kern w:val="0"/>
          <w:sz w:val="32"/>
          <w:szCs w:val="24"/>
          <w:lang w:val="en-US" w:eastAsia="zh-CN"/>
        </w:rPr>
      </w:pPr>
      <w:r>
        <w:rPr>
          <w:rFonts w:hint="eastAsia" w:ascii="仿宋_GB2312" w:hAnsi="仿宋_GB2312" w:eastAsia="仿宋_GB2312"/>
          <w:kern w:val="0"/>
          <w:sz w:val="32"/>
          <w:szCs w:val="24"/>
          <w:lang w:val="en-US"/>
        </w:rPr>
        <w:t>1.社会保障和就业支出（类）行政事业单位养老支出（款）机关事业单位基本养老保险缴费支出（项）:支出决算数为85.37万元，比上年决算增加35.27万元，增长70.40%，主要原因是：</w:t>
      </w:r>
      <w:r>
        <w:rPr>
          <w:rFonts w:hint="eastAsia" w:ascii="仿宋_GB2312" w:hAnsi="仿宋_GB2312" w:eastAsia="仿宋_GB2312"/>
          <w:kern w:val="0"/>
          <w:sz w:val="32"/>
          <w:szCs w:val="24"/>
          <w:lang w:val="en-US" w:eastAsia="zh-CN"/>
        </w:rPr>
        <w:t>2021年财政拨款拨付9个月人员经费，剩余3个月人员经费均在2022年拨付，人员工资调标、社保、住房公积金基数调增；</w:t>
      </w:r>
    </w:p>
    <w:p>
      <w:pPr>
        <w:spacing w:line="600" w:lineRule="exact"/>
        <w:ind w:firstLine="640"/>
        <w:rPr>
          <w:rFonts w:hint="default" w:eastAsia="Times New Roman"/>
          <w:sz w:val="32"/>
          <w:szCs w:val="24"/>
          <w:lang w:val="en-US"/>
        </w:rPr>
      </w:pPr>
      <w:r>
        <w:rPr>
          <w:rFonts w:hint="eastAsia" w:ascii="仿宋_GB2312" w:hAnsi="仿宋_GB2312" w:eastAsia="仿宋_GB2312"/>
          <w:kern w:val="0"/>
          <w:sz w:val="32"/>
          <w:szCs w:val="24"/>
          <w:lang w:val="en-US"/>
        </w:rPr>
        <w:t>2.卫生健康支出（类）基层医疗卫生机构（款）乡镇卫生院（项）:支出决算数为827.44万元，比上年决算增加162.94万元，增长24.52%，主要原因是：</w:t>
      </w:r>
      <w:r>
        <w:rPr>
          <w:rFonts w:hint="eastAsia" w:ascii="仿宋_GB2312" w:hAnsi="仿宋_GB2312" w:eastAsia="仿宋_GB2312"/>
          <w:kern w:val="0"/>
          <w:sz w:val="32"/>
          <w:szCs w:val="24"/>
          <w:lang w:val="en-US" w:eastAsia="zh-CN"/>
        </w:rPr>
        <w:t>2021年财政拨款拨付9个月人员经费，剩余3个月人员经费均在2022年拨付，人员工资调标、社保、住房公积金基数调增</w:t>
      </w:r>
      <w:r>
        <w:rPr>
          <w:rFonts w:hint="eastAsia" w:ascii="仿宋_GB2312" w:hAnsi="仿宋_GB2312" w:eastAsia="仿宋_GB2312"/>
          <w:kern w:val="0"/>
          <w:sz w:val="32"/>
          <w:szCs w:val="24"/>
          <w:lang w:val="en-US"/>
        </w:rPr>
        <w:t>。</w:t>
      </w:r>
    </w:p>
    <w:p>
      <w:pPr>
        <w:spacing w:line="360" w:lineRule="auto"/>
        <w:ind w:firstLine="640"/>
        <w:outlineLvl w:val="1"/>
        <w:rPr>
          <w:rFonts w:hint="default" w:eastAsia="Times New Roman"/>
          <w:sz w:val="32"/>
          <w:szCs w:val="24"/>
          <w:lang w:val="zh-CN"/>
        </w:rPr>
      </w:pPr>
      <w:r>
        <w:rPr>
          <w:rFonts w:hint="eastAsia" w:ascii="黑体" w:hAnsi="黑体" w:eastAsia="黑体"/>
          <w:sz w:val="32"/>
          <w:szCs w:val="24"/>
          <w:lang w:val="zh-CN"/>
        </w:rPr>
        <w:t>六、一般公共预算财政拨款基本支出决算情况说明</w:t>
      </w:r>
    </w:p>
    <w:p>
      <w:pPr>
        <w:shd w:val="clear" w:color="auto" w:fill="FFFFFF"/>
        <w:spacing w:line="360" w:lineRule="auto"/>
        <w:ind w:firstLine="640"/>
        <w:rPr>
          <w:rFonts w:hint="default" w:eastAsia="Times New Roman"/>
          <w:kern w:val="0"/>
          <w:sz w:val="32"/>
          <w:szCs w:val="24"/>
          <w:highlight w:val="yellow"/>
          <w:lang w:val="en-US"/>
        </w:rPr>
      </w:pPr>
      <w:r>
        <w:rPr>
          <w:rFonts w:hint="eastAsia" w:ascii="仿宋_GB2312" w:hAnsi="仿宋_GB2312" w:eastAsia="仿宋_GB2312"/>
          <w:kern w:val="0"/>
          <w:sz w:val="32"/>
          <w:szCs w:val="24"/>
          <w:lang w:val="en-US"/>
        </w:rPr>
        <w:t>2022年度一般公共预算财政拨款基本支出912.81万元，其中：</w:t>
      </w:r>
    </w:p>
    <w:p>
      <w:pPr>
        <w:shd w:val="clear" w:color="auto" w:fill="FFFFFF"/>
        <w:spacing w:line="360" w:lineRule="auto"/>
        <w:ind w:firstLine="640"/>
        <w:rPr>
          <w:rFonts w:hint="default" w:eastAsia="Times New Roman"/>
          <w:kern w:val="0"/>
          <w:sz w:val="32"/>
          <w:szCs w:val="24"/>
          <w:lang w:val="en-US"/>
        </w:rPr>
      </w:pPr>
      <w:r>
        <w:rPr>
          <w:rFonts w:hint="eastAsia" w:ascii="仿宋_GB2312" w:hAnsi="仿宋_GB2312" w:eastAsia="仿宋_GB2312"/>
          <w:kern w:val="0"/>
          <w:sz w:val="32"/>
          <w:szCs w:val="24"/>
          <w:lang w:val="en-US"/>
        </w:rPr>
        <w:t>人员经费912.81万元，包括：基本工资、津贴补贴、奖金、绩效工资、机关事业单位基本养老保险缴费、职工基本医疗保险缴费、公务员医疗补助缴费、其他社会保障缴费、住房公积金、其他工资福利支出、抚恤金、奖励金、其他对个人和家庭的补助。</w:t>
      </w:r>
    </w:p>
    <w:p>
      <w:pPr>
        <w:spacing w:line="360" w:lineRule="auto"/>
        <w:ind w:firstLine="640"/>
        <w:rPr>
          <w:rFonts w:hint="eastAsia" w:ascii="仿宋_GB2312" w:hAnsi="仿宋_GB2312" w:eastAsia="仿宋_GB2312"/>
          <w:kern w:val="0"/>
          <w:sz w:val="32"/>
          <w:szCs w:val="24"/>
          <w:lang w:val="en-US"/>
        </w:rPr>
      </w:pPr>
      <w:r>
        <w:rPr>
          <w:rFonts w:hint="eastAsia" w:ascii="仿宋_GB2312" w:hAnsi="仿宋_GB2312" w:eastAsia="仿宋_GB2312"/>
          <w:kern w:val="0"/>
          <w:sz w:val="32"/>
          <w:szCs w:val="24"/>
          <w:lang w:val="en-US"/>
        </w:rPr>
        <w:t>公用经费0.00万元。</w:t>
      </w:r>
    </w:p>
    <w:p>
      <w:pPr>
        <w:spacing w:line="360" w:lineRule="auto"/>
        <w:ind w:firstLine="640"/>
        <w:outlineLvl w:val="1"/>
        <w:rPr>
          <w:rFonts w:hint="default" w:eastAsia="Times New Roman"/>
          <w:sz w:val="32"/>
          <w:szCs w:val="24"/>
          <w:lang w:val="en-US"/>
        </w:rPr>
      </w:pPr>
      <w:r>
        <w:rPr>
          <w:rFonts w:hint="eastAsia" w:ascii="黑体" w:hAnsi="黑体" w:eastAsia="黑体"/>
          <w:sz w:val="32"/>
          <w:szCs w:val="24"/>
          <w:lang w:val="zh-CN"/>
        </w:rPr>
        <w:t>七、财政拨款</w:t>
      </w:r>
      <w:r>
        <w:rPr>
          <w:rFonts w:hint="eastAsia" w:ascii="黑体" w:hAnsi="黑体" w:eastAsia="黑体"/>
          <w:kern w:val="0"/>
          <w:sz w:val="32"/>
          <w:szCs w:val="24"/>
          <w:lang w:val="en-US"/>
        </w:rPr>
        <w:t>“三公”</w:t>
      </w:r>
      <w:r>
        <w:rPr>
          <w:rFonts w:hint="eastAsia" w:ascii="黑体" w:hAnsi="黑体" w:eastAsia="黑体"/>
          <w:sz w:val="32"/>
          <w:szCs w:val="24"/>
          <w:lang w:val="zh-CN"/>
        </w:rPr>
        <w:t>经费支出决算情况说明</w:t>
      </w:r>
    </w:p>
    <w:p>
      <w:pPr>
        <w:shd w:val="clear" w:color="auto" w:fill="FFFFFF"/>
        <w:spacing w:line="360" w:lineRule="auto"/>
        <w:ind w:firstLine="640"/>
        <w:rPr>
          <w:rFonts w:hint="default" w:eastAsia="Times New Roman"/>
          <w:kern w:val="0"/>
          <w:sz w:val="32"/>
          <w:szCs w:val="24"/>
          <w:lang w:val="en-US"/>
        </w:rPr>
      </w:pPr>
      <w:r>
        <w:rPr>
          <w:rFonts w:hint="eastAsia" w:ascii="仿宋_GB2312" w:hAnsi="仿宋_GB2312" w:eastAsia="仿宋_GB2312"/>
          <w:kern w:val="0"/>
          <w:sz w:val="32"/>
          <w:szCs w:val="24"/>
          <w:lang w:val="en-US"/>
        </w:rPr>
        <w:t>2022年度</w:t>
      </w:r>
      <w:r>
        <w:rPr>
          <w:rFonts w:hint="eastAsia" w:ascii="仿宋_GB2312" w:hAnsi="仿宋_GB2312" w:eastAsia="仿宋_GB2312"/>
          <w:sz w:val="32"/>
          <w:szCs w:val="24"/>
          <w:lang w:val="en-US"/>
        </w:rPr>
        <w:t>财政拨款</w:t>
      </w:r>
      <w:r>
        <w:rPr>
          <w:rFonts w:hint="eastAsia" w:ascii="仿宋_GB2312" w:hAnsi="仿宋_GB2312" w:eastAsia="仿宋_GB2312"/>
          <w:kern w:val="0"/>
          <w:sz w:val="32"/>
          <w:szCs w:val="24"/>
          <w:lang w:val="en-US"/>
        </w:rPr>
        <w:t>“三公”经费支出决算0.00万元，比上年增加0.00万元，增长0.00%，主要原因是：</w:t>
      </w:r>
      <w:r>
        <w:rPr>
          <w:rFonts w:hint="eastAsia" w:ascii="仿宋_GB2312" w:hAnsi="仿宋_GB2312" w:eastAsia="仿宋_GB2312"/>
          <w:kern w:val="0"/>
          <w:sz w:val="32"/>
          <w:szCs w:val="24"/>
          <w:lang w:val="en-US" w:eastAsia="zh-CN"/>
        </w:rPr>
        <w:t>本年单位无三公经费支出</w:t>
      </w:r>
      <w:r>
        <w:rPr>
          <w:rFonts w:hint="eastAsia" w:ascii="仿宋_GB2312" w:hAnsi="仿宋_GB2312" w:eastAsia="仿宋_GB2312"/>
          <w:kern w:val="0"/>
          <w:sz w:val="32"/>
          <w:szCs w:val="24"/>
          <w:lang w:val="en-US"/>
        </w:rPr>
        <w:t>。其中：因公出国（境）费支出0.00万元，占0.00%，比上年增加0.00万元，增长0.00%，主要原因是：本年单位无因公出国（境）费支出；公务用车购置及运行维护费支出0.00万元，占0.00%，比上年增加0.00万元，增长0.00%，主要原因是：</w:t>
      </w:r>
      <w:r>
        <w:rPr>
          <w:rFonts w:hint="eastAsia" w:ascii="仿宋_GB2312" w:hAnsi="仿宋_GB2312" w:eastAsia="仿宋_GB2312"/>
          <w:kern w:val="0"/>
          <w:sz w:val="32"/>
          <w:szCs w:val="24"/>
          <w:lang w:val="en-US" w:eastAsia="zh-CN"/>
        </w:rPr>
        <w:t>本年单位无</w:t>
      </w:r>
      <w:r>
        <w:rPr>
          <w:rFonts w:hint="eastAsia" w:ascii="仿宋_GB2312" w:hAnsi="仿宋_GB2312" w:eastAsia="仿宋_GB2312"/>
          <w:kern w:val="0"/>
          <w:sz w:val="32"/>
          <w:szCs w:val="24"/>
          <w:lang w:val="en-US"/>
        </w:rPr>
        <w:t>公务用车购置及运行维护费支出；公务接待费支出0.00万元，占0.00%，比上年增加0.00万元，增长0.00%，主要原因是：</w:t>
      </w:r>
      <w:r>
        <w:rPr>
          <w:rFonts w:hint="eastAsia" w:ascii="仿宋_GB2312" w:hAnsi="仿宋_GB2312" w:eastAsia="仿宋_GB2312"/>
          <w:kern w:val="0"/>
          <w:sz w:val="32"/>
          <w:szCs w:val="24"/>
          <w:lang w:val="en-US" w:eastAsia="zh-CN"/>
        </w:rPr>
        <w:t>本年单位无</w:t>
      </w:r>
      <w:r>
        <w:rPr>
          <w:rFonts w:hint="eastAsia" w:ascii="仿宋_GB2312" w:hAnsi="仿宋_GB2312" w:eastAsia="仿宋_GB2312"/>
          <w:kern w:val="0"/>
          <w:sz w:val="32"/>
          <w:szCs w:val="24"/>
          <w:lang w:val="en-US"/>
        </w:rPr>
        <w:t>公务接待费支出。具体情况如下：</w:t>
      </w:r>
    </w:p>
    <w:p>
      <w:pPr>
        <w:shd w:val="clear" w:color="auto" w:fill="FFFFFF"/>
        <w:spacing w:line="360" w:lineRule="auto"/>
        <w:ind w:firstLine="640"/>
        <w:rPr>
          <w:rFonts w:hint="default" w:eastAsia="Times New Roman"/>
          <w:kern w:val="0"/>
          <w:sz w:val="32"/>
          <w:szCs w:val="24"/>
          <w:lang w:val="en-US"/>
        </w:rPr>
      </w:pPr>
      <w:r>
        <w:rPr>
          <w:rFonts w:hint="eastAsia" w:ascii="仿宋_GB2312" w:hAnsi="仿宋_GB2312" w:eastAsia="仿宋_GB2312"/>
          <w:kern w:val="0"/>
          <w:sz w:val="32"/>
          <w:szCs w:val="24"/>
          <w:lang w:val="en-US"/>
        </w:rPr>
        <w:t>因公出国（境）费支出0.00万元，开支内容包括本年单位无因公出国（境）费支出。单位全年安排的因公出国（境）团组0个，因公出国（境）0人次。</w:t>
      </w:r>
    </w:p>
    <w:p>
      <w:pPr>
        <w:shd w:val="clear" w:color="auto" w:fill="FFFFFF"/>
        <w:spacing w:line="360" w:lineRule="auto"/>
        <w:ind w:firstLine="640"/>
        <w:rPr>
          <w:rFonts w:hint="default" w:eastAsia="Times New Roman"/>
          <w:kern w:val="0"/>
          <w:sz w:val="32"/>
          <w:szCs w:val="24"/>
          <w:lang w:val="en-US"/>
        </w:rPr>
      </w:pPr>
      <w:r>
        <w:rPr>
          <w:rFonts w:hint="eastAsia" w:ascii="仿宋_GB2312" w:hAnsi="仿宋_GB2312" w:eastAsia="仿宋_GB2312"/>
          <w:kern w:val="0"/>
          <w:sz w:val="32"/>
          <w:szCs w:val="24"/>
          <w:lang w:val="en-US"/>
        </w:rPr>
        <w:t>公务用车购置及运行维护费0.00万元，其中：公务用车购置费0.00万元，公务用车运行维护费0.00万元。公务用车运行维护费开支内容包括</w:t>
      </w:r>
      <w:r>
        <w:rPr>
          <w:rFonts w:hint="eastAsia" w:ascii="仿宋_GB2312" w:hAnsi="仿宋_GB2312" w:eastAsia="仿宋_GB2312"/>
          <w:kern w:val="0"/>
          <w:sz w:val="32"/>
          <w:szCs w:val="24"/>
          <w:lang w:val="en-US" w:eastAsia="zh-CN"/>
        </w:rPr>
        <w:t>本年单位无此项支出</w:t>
      </w:r>
      <w:r>
        <w:rPr>
          <w:rFonts w:hint="eastAsia" w:ascii="仿宋_GB2312" w:hAnsi="仿宋_GB2312" w:eastAsia="仿宋_GB2312"/>
          <w:kern w:val="0"/>
          <w:sz w:val="32"/>
          <w:szCs w:val="24"/>
          <w:lang w:val="en-US"/>
        </w:rPr>
        <w:t>。公务用车购置数0辆，公务用车保有量0辆。</w:t>
      </w:r>
    </w:p>
    <w:p>
      <w:pPr>
        <w:shd w:val="clear" w:color="auto" w:fill="FFFFFF"/>
        <w:spacing w:line="360" w:lineRule="auto"/>
        <w:ind w:firstLine="640"/>
        <w:rPr>
          <w:rFonts w:hint="default" w:eastAsia="Times New Roman"/>
          <w:kern w:val="0"/>
          <w:sz w:val="32"/>
          <w:szCs w:val="24"/>
          <w:lang w:val="en-US"/>
        </w:rPr>
      </w:pPr>
      <w:r>
        <w:rPr>
          <w:rFonts w:hint="eastAsia" w:ascii="仿宋_GB2312" w:hAnsi="仿宋_GB2312" w:eastAsia="仿宋_GB2312"/>
          <w:kern w:val="0"/>
          <w:sz w:val="32"/>
          <w:szCs w:val="24"/>
          <w:lang w:val="en-US"/>
        </w:rPr>
        <w:t>公务接待费0.00万元，开支内容包括</w:t>
      </w:r>
      <w:r>
        <w:rPr>
          <w:rFonts w:hint="eastAsia" w:ascii="仿宋_GB2312" w:hAnsi="仿宋_GB2312" w:eastAsia="仿宋_GB2312"/>
          <w:kern w:val="0"/>
          <w:sz w:val="32"/>
          <w:szCs w:val="24"/>
          <w:lang w:val="en-US" w:eastAsia="zh-CN"/>
        </w:rPr>
        <w:t>无公务接待费支出</w:t>
      </w:r>
      <w:r>
        <w:rPr>
          <w:rFonts w:hint="eastAsia" w:ascii="仿宋_GB2312" w:hAnsi="仿宋_GB2312" w:eastAsia="仿宋_GB2312"/>
          <w:kern w:val="0"/>
          <w:sz w:val="32"/>
          <w:szCs w:val="24"/>
          <w:lang w:val="en-US"/>
        </w:rPr>
        <w:t>。单位全年安排的国内公务接待0批次，0人次。</w:t>
      </w:r>
    </w:p>
    <w:p>
      <w:pPr>
        <w:shd w:val="clear" w:color="auto" w:fill="FFFFFF"/>
        <w:spacing w:line="360" w:lineRule="auto"/>
        <w:ind w:firstLine="640"/>
        <w:rPr>
          <w:rFonts w:hint="default" w:eastAsia="Times New Roman"/>
          <w:kern w:val="0"/>
          <w:sz w:val="32"/>
          <w:szCs w:val="24"/>
          <w:highlight w:val="yellow"/>
          <w:lang w:val="en-US"/>
        </w:rPr>
      </w:pPr>
      <w:r>
        <w:rPr>
          <w:rFonts w:hint="eastAsia" w:ascii="仿宋_GB2312" w:hAnsi="仿宋_GB2312" w:eastAsia="仿宋_GB2312"/>
          <w:kern w:val="0"/>
          <w:sz w:val="32"/>
          <w:szCs w:val="24"/>
          <w:lang w:val="en-US"/>
        </w:rPr>
        <w:t>与</w:t>
      </w:r>
      <w:r>
        <w:rPr>
          <w:rFonts w:hint="eastAsia" w:ascii="仿宋_GB2312" w:hAnsi="仿宋_GB2312" w:eastAsia="仿宋_GB2312"/>
          <w:sz w:val="32"/>
          <w:szCs w:val="24"/>
          <w:lang w:val="en-US"/>
        </w:rPr>
        <w:t>全年</w:t>
      </w:r>
      <w:r>
        <w:rPr>
          <w:rFonts w:hint="eastAsia" w:ascii="仿宋_GB2312" w:hAnsi="仿宋_GB2312" w:eastAsia="仿宋_GB2312"/>
          <w:kern w:val="0"/>
          <w:sz w:val="32"/>
          <w:szCs w:val="24"/>
          <w:lang w:val="en-US"/>
        </w:rPr>
        <w:t>预算</w:t>
      </w:r>
      <w:r>
        <w:rPr>
          <w:rFonts w:hint="eastAsia" w:ascii="仿宋_GB2312" w:hAnsi="仿宋_GB2312" w:eastAsia="仿宋_GB2312"/>
          <w:kern w:val="0"/>
          <w:sz w:val="32"/>
          <w:szCs w:val="24"/>
          <w:lang w:val="zh-CN"/>
        </w:rPr>
        <w:t>数</w:t>
      </w:r>
      <w:r>
        <w:rPr>
          <w:rFonts w:hint="eastAsia" w:ascii="仿宋_GB2312" w:hAnsi="仿宋_GB2312" w:eastAsia="仿宋_GB2312"/>
          <w:kern w:val="0"/>
          <w:sz w:val="32"/>
          <w:szCs w:val="24"/>
          <w:lang w:val="en-US"/>
        </w:rPr>
        <w:t>相比情况</w:t>
      </w:r>
      <w:r>
        <w:rPr>
          <w:rFonts w:hint="eastAsia" w:ascii="仿宋_GB2312" w:hAnsi="仿宋_GB2312" w:eastAsia="仿宋_GB2312"/>
          <w:sz w:val="32"/>
          <w:szCs w:val="24"/>
          <w:lang w:val="en-US"/>
        </w:rPr>
        <w:t>：</w:t>
      </w:r>
      <w:r>
        <w:rPr>
          <w:rFonts w:hint="default" w:eastAsia="Times New Roman"/>
          <w:kern w:val="0"/>
          <w:sz w:val="32"/>
          <w:szCs w:val="24"/>
          <w:lang w:val="en-US"/>
        </w:rPr>
        <w:t>“</w:t>
      </w:r>
      <w:r>
        <w:rPr>
          <w:rFonts w:hint="eastAsia" w:ascii="仿宋_GB2312" w:hAnsi="仿宋_GB2312" w:eastAsia="仿宋_GB2312"/>
          <w:kern w:val="0"/>
          <w:sz w:val="32"/>
          <w:szCs w:val="24"/>
          <w:lang w:val="en-US"/>
        </w:rPr>
        <w:t>三公</w:t>
      </w:r>
      <w:r>
        <w:rPr>
          <w:rFonts w:hint="default" w:eastAsia="Times New Roman"/>
          <w:kern w:val="0"/>
          <w:sz w:val="32"/>
          <w:szCs w:val="24"/>
          <w:lang w:val="en-US"/>
        </w:rPr>
        <w:t>”</w:t>
      </w:r>
      <w:r>
        <w:rPr>
          <w:rFonts w:hint="eastAsia" w:ascii="仿宋_GB2312" w:hAnsi="仿宋_GB2312" w:eastAsia="仿宋_GB2312"/>
          <w:kern w:val="0"/>
          <w:sz w:val="32"/>
          <w:szCs w:val="24"/>
          <w:lang w:val="en-US"/>
        </w:rPr>
        <w:t>经费支出</w:t>
      </w:r>
      <w:r>
        <w:rPr>
          <w:rFonts w:hint="eastAsia" w:ascii="仿宋_GB2312" w:hAnsi="仿宋_GB2312" w:eastAsia="仿宋_GB2312"/>
          <w:sz w:val="32"/>
          <w:szCs w:val="24"/>
          <w:lang w:val="en-US"/>
        </w:rPr>
        <w:t>全年预算数</w:t>
      </w:r>
      <w:r>
        <w:rPr>
          <w:rFonts w:hint="eastAsia" w:ascii="仿宋_GB2312" w:hAnsi="仿宋_GB2312" w:eastAsia="仿宋_GB2312"/>
          <w:kern w:val="0"/>
          <w:sz w:val="32"/>
          <w:szCs w:val="24"/>
          <w:lang w:val="en-US"/>
        </w:rPr>
        <w:t>0.00万元，决算数0.00万元，预决算差异率0.00%，主要原因是：</w:t>
      </w:r>
      <w:r>
        <w:rPr>
          <w:rFonts w:hint="eastAsia" w:ascii="仿宋_GB2312" w:hAnsi="仿宋_GB2312" w:eastAsia="仿宋_GB2312"/>
          <w:kern w:val="0"/>
          <w:sz w:val="32"/>
          <w:szCs w:val="24"/>
          <w:lang w:val="en-US" w:eastAsia="zh-CN"/>
        </w:rPr>
        <w:t>无三公经费支出</w:t>
      </w:r>
      <w:r>
        <w:rPr>
          <w:rFonts w:hint="eastAsia" w:ascii="仿宋_GB2312" w:hAnsi="仿宋_GB2312" w:eastAsia="仿宋_GB2312"/>
          <w:kern w:val="0"/>
          <w:sz w:val="32"/>
          <w:szCs w:val="24"/>
          <w:lang w:val="en-US"/>
        </w:rPr>
        <w:t>。其中：因公出国（境）费全年预算数0.00万元，决算数0.00万元，预决算差异率0.00%，主要原因是：本年单位无因公出国（境）费支出；公务用车购置费全年预算数0.00万元，决算数0.00万元，预决算差异率0.00%，主要原因是：</w:t>
      </w:r>
      <w:r>
        <w:rPr>
          <w:rFonts w:hint="eastAsia" w:ascii="仿宋_GB2312" w:hAnsi="仿宋_GB2312" w:eastAsia="仿宋_GB2312"/>
          <w:kern w:val="0"/>
          <w:sz w:val="32"/>
          <w:szCs w:val="24"/>
          <w:lang w:val="en-US" w:eastAsia="zh-CN"/>
        </w:rPr>
        <w:t>本年单位无</w:t>
      </w:r>
      <w:r>
        <w:rPr>
          <w:rFonts w:hint="eastAsia" w:ascii="仿宋_GB2312" w:hAnsi="仿宋_GB2312" w:eastAsia="仿宋_GB2312"/>
          <w:kern w:val="0"/>
          <w:sz w:val="32"/>
          <w:szCs w:val="24"/>
          <w:lang w:val="en-US"/>
        </w:rPr>
        <w:t>公务用车购置费；公务用车运行费全年预算数0.00万元，决算数0.00万元，预决算差异率0.00%，主要原因是：</w:t>
      </w:r>
      <w:r>
        <w:rPr>
          <w:rFonts w:hint="eastAsia" w:ascii="仿宋_GB2312" w:hAnsi="仿宋_GB2312" w:eastAsia="仿宋_GB2312"/>
          <w:kern w:val="0"/>
          <w:sz w:val="32"/>
          <w:szCs w:val="24"/>
          <w:lang w:val="en-US" w:eastAsia="zh-CN"/>
        </w:rPr>
        <w:t>本年单位无</w:t>
      </w:r>
      <w:r>
        <w:rPr>
          <w:rFonts w:hint="eastAsia" w:ascii="仿宋_GB2312" w:hAnsi="仿宋_GB2312" w:eastAsia="仿宋_GB2312"/>
          <w:kern w:val="0"/>
          <w:sz w:val="32"/>
          <w:szCs w:val="24"/>
          <w:lang w:val="en-US"/>
        </w:rPr>
        <w:t>公务用车运行费；公务接待费全年预算数0.00万元，决算数0.00万元，预决算差异率0.00%，主要原因是：</w:t>
      </w:r>
      <w:r>
        <w:rPr>
          <w:rFonts w:hint="eastAsia" w:ascii="仿宋_GB2312" w:hAnsi="仿宋_GB2312" w:eastAsia="仿宋_GB2312"/>
          <w:kern w:val="0"/>
          <w:sz w:val="32"/>
          <w:szCs w:val="24"/>
          <w:lang w:val="en-US" w:eastAsia="zh-CN"/>
        </w:rPr>
        <w:t>本年单位无公务接待费</w:t>
      </w:r>
      <w:r>
        <w:rPr>
          <w:rFonts w:hint="eastAsia" w:ascii="仿宋_GB2312" w:hAnsi="仿宋_GB2312" w:eastAsia="仿宋_GB2312"/>
          <w:kern w:val="0"/>
          <w:sz w:val="32"/>
          <w:szCs w:val="24"/>
          <w:lang w:val="en-US"/>
        </w:rPr>
        <w:t>。</w:t>
      </w:r>
    </w:p>
    <w:p>
      <w:pPr>
        <w:spacing w:line="360" w:lineRule="auto"/>
        <w:ind w:firstLine="640"/>
        <w:outlineLvl w:val="1"/>
        <w:rPr>
          <w:rFonts w:hint="default" w:eastAsia="Times New Roman"/>
          <w:sz w:val="32"/>
          <w:szCs w:val="24"/>
          <w:lang w:val="zh-CN"/>
        </w:rPr>
      </w:pPr>
      <w:r>
        <w:rPr>
          <w:rFonts w:hint="eastAsia" w:ascii="黑体" w:hAnsi="黑体" w:eastAsia="黑体"/>
          <w:sz w:val="32"/>
          <w:szCs w:val="24"/>
          <w:lang w:val="zh-CN"/>
        </w:rPr>
        <w:t>八、政府性基金预算财政拨款收入支出决算情况说明</w:t>
      </w:r>
    </w:p>
    <w:p>
      <w:pPr>
        <w:shd w:val="clear" w:color="auto" w:fill="FFFFFF"/>
        <w:spacing w:line="360" w:lineRule="auto"/>
        <w:ind w:firstLine="640"/>
        <w:jc w:val="both"/>
        <w:rPr>
          <w:rFonts w:hint="eastAsia" w:ascii="仿宋_GB2312" w:hAnsi="仿宋_GB2312" w:eastAsia="仿宋_GB2312"/>
          <w:kern w:val="0"/>
          <w:sz w:val="32"/>
          <w:szCs w:val="24"/>
          <w:highlight w:val="yellow"/>
          <w:lang w:val="en-US"/>
        </w:rPr>
      </w:pPr>
      <w:r>
        <w:rPr>
          <w:rFonts w:hint="eastAsia" w:ascii="仿宋_GB2312" w:hAnsi="仿宋_GB2312" w:eastAsia="仿宋_GB2312"/>
          <w:kern w:val="0"/>
          <w:sz w:val="32"/>
          <w:szCs w:val="24"/>
          <w:lang w:val="en-US"/>
        </w:rPr>
        <w:t>我单位本年度无政府性基金预算财政拨款收入、支出及结转和结余，政府性基金预算财政拨款收入支出决算表为空表。</w:t>
      </w:r>
    </w:p>
    <w:p>
      <w:pPr>
        <w:spacing w:line="360" w:lineRule="auto"/>
        <w:ind w:firstLine="640"/>
        <w:outlineLvl w:val="1"/>
        <w:rPr>
          <w:rFonts w:hint="default" w:eastAsia="Times New Roman"/>
          <w:color w:val="auto"/>
          <w:sz w:val="32"/>
          <w:szCs w:val="24"/>
          <w:lang w:val="zh-CN"/>
        </w:rPr>
      </w:pPr>
      <w:r>
        <w:rPr>
          <w:rFonts w:hint="eastAsia" w:ascii="黑体" w:hAnsi="黑体" w:eastAsia="黑体"/>
          <w:color w:val="auto"/>
          <w:sz w:val="32"/>
          <w:szCs w:val="24"/>
          <w:lang w:val="zh-CN"/>
        </w:rPr>
        <w:t>九、国有资本经营预算财政拨款收入支出决算情况说明</w:t>
      </w:r>
    </w:p>
    <w:p>
      <w:pPr>
        <w:shd w:val="clear" w:color="auto" w:fill="FFFFFF"/>
        <w:spacing w:line="360" w:lineRule="auto"/>
        <w:ind w:firstLine="640"/>
        <w:jc w:val="left"/>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我单位本年度无国有资本经营预算财政拨款收入、支出及结转和结余，国有资本经营预算财政拨款收入支出决算表为空表。</w:t>
      </w:r>
    </w:p>
    <w:p>
      <w:pPr>
        <w:spacing w:line="360" w:lineRule="auto"/>
        <w:ind w:firstLine="640"/>
        <w:outlineLvl w:val="1"/>
        <w:rPr>
          <w:rFonts w:hint="default" w:eastAsia="Times New Roman"/>
          <w:color w:val="auto"/>
          <w:sz w:val="32"/>
          <w:szCs w:val="24"/>
          <w:lang w:val="zh-CN"/>
        </w:rPr>
      </w:pPr>
      <w:r>
        <w:rPr>
          <w:rFonts w:hint="eastAsia" w:ascii="黑体" w:hAnsi="黑体" w:eastAsia="黑体"/>
          <w:color w:val="auto"/>
          <w:sz w:val="32"/>
          <w:szCs w:val="24"/>
          <w:lang w:val="zh-CN"/>
        </w:rPr>
        <w:t>十、其他重要事项的情况说明</w:t>
      </w:r>
    </w:p>
    <w:p>
      <w:pPr>
        <w:spacing w:line="360" w:lineRule="auto"/>
        <w:ind w:firstLine="640"/>
        <w:outlineLvl w:val="2"/>
        <w:rPr>
          <w:rFonts w:hint="default" w:eastAsia="Times New Roman"/>
          <w:color w:val="auto"/>
          <w:sz w:val="32"/>
          <w:szCs w:val="24"/>
          <w:lang w:val="zh-CN"/>
        </w:rPr>
      </w:pPr>
      <w:r>
        <w:rPr>
          <w:rFonts w:hint="eastAsia" w:ascii="黑体" w:hAnsi="黑体" w:eastAsia="黑体"/>
          <w:color w:val="auto"/>
          <w:sz w:val="32"/>
          <w:szCs w:val="24"/>
          <w:lang w:val="zh-CN"/>
        </w:rPr>
        <w:t>（一）机关运行经费支出情况</w:t>
      </w:r>
    </w:p>
    <w:p>
      <w:pPr>
        <w:spacing w:line="360" w:lineRule="auto"/>
        <w:ind w:firstLine="640"/>
        <w:rPr>
          <w:rFonts w:hint="eastAsia" w:eastAsia="仿宋_GB2312"/>
          <w:color w:val="auto"/>
          <w:kern w:val="0"/>
          <w:sz w:val="32"/>
          <w:szCs w:val="24"/>
          <w:lang w:val="en-US" w:eastAsia="zh-CN"/>
        </w:rPr>
      </w:pPr>
      <w:r>
        <w:rPr>
          <w:rFonts w:hint="eastAsia" w:ascii="仿宋_GB2312" w:hAnsi="仿宋_GB2312" w:eastAsia="仿宋_GB2312"/>
          <w:color w:val="auto"/>
          <w:kern w:val="0"/>
          <w:sz w:val="32"/>
          <w:szCs w:val="24"/>
          <w:lang w:val="en-US"/>
        </w:rPr>
        <w:t>2022年度乌鲁木齐市米东区古牧地卫生院（人口和计划生育生殖健康服务站）单位公用经费0.00万元</w:t>
      </w:r>
      <w:r>
        <w:rPr>
          <w:rFonts w:hint="eastAsia" w:ascii="仿宋_GB2312" w:hAnsi="仿宋_GB2312" w:eastAsia="仿宋_GB2312"/>
          <w:color w:val="auto"/>
          <w:kern w:val="0"/>
          <w:sz w:val="32"/>
          <w:szCs w:val="24"/>
          <w:lang w:val="en-US" w:eastAsia="zh-CN"/>
        </w:rPr>
        <w:t>，比上年增加0.00万元，增长0.00%，主要原因是：本年单位无此项支出。</w:t>
      </w:r>
    </w:p>
    <w:p>
      <w:pPr>
        <w:spacing w:line="360" w:lineRule="auto"/>
        <w:ind w:firstLine="640"/>
        <w:outlineLvl w:val="2"/>
        <w:rPr>
          <w:rFonts w:hint="default" w:eastAsia="Times New Roman"/>
          <w:color w:val="auto"/>
          <w:sz w:val="32"/>
          <w:szCs w:val="24"/>
          <w:lang w:val="en-US"/>
        </w:rPr>
      </w:pPr>
      <w:r>
        <w:rPr>
          <w:rFonts w:hint="eastAsia" w:ascii="黑体" w:hAnsi="黑体" w:eastAsia="黑体"/>
          <w:color w:val="auto"/>
          <w:sz w:val="32"/>
          <w:szCs w:val="24"/>
          <w:lang w:val="en-US"/>
        </w:rPr>
        <w:t>（</w:t>
      </w:r>
      <w:r>
        <w:rPr>
          <w:rFonts w:hint="eastAsia" w:ascii="黑体" w:hAnsi="黑体" w:eastAsia="黑体"/>
          <w:color w:val="auto"/>
          <w:sz w:val="32"/>
          <w:szCs w:val="24"/>
          <w:lang w:val="zh-CN"/>
        </w:rPr>
        <w:t>二</w:t>
      </w:r>
      <w:r>
        <w:rPr>
          <w:rFonts w:hint="eastAsia" w:ascii="黑体" w:hAnsi="黑体" w:eastAsia="黑体"/>
          <w:color w:val="auto"/>
          <w:sz w:val="32"/>
          <w:szCs w:val="24"/>
          <w:lang w:val="en-US"/>
        </w:rPr>
        <w:t>）</w:t>
      </w:r>
      <w:r>
        <w:rPr>
          <w:rFonts w:hint="eastAsia" w:ascii="黑体" w:hAnsi="黑体" w:eastAsia="黑体"/>
          <w:color w:val="auto"/>
          <w:sz w:val="32"/>
          <w:szCs w:val="24"/>
          <w:lang w:val="zh-CN"/>
        </w:rPr>
        <w:t>政府采购情况</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2022年度政府采购支出总额0.00万元，其中：政府采购货物支出0.00万元、政府采购工程支出0.00万元、政府采购服务支出0.00万元。</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授予中小企业合同金额0.00万元，占政府采购支出总额的0.00%，其中：授予小微企业合同金额0.00万元，占政府采购支出总额的0.00%。</w:t>
      </w:r>
    </w:p>
    <w:p>
      <w:pPr>
        <w:spacing w:line="360" w:lineRule="auto"/>
        <w:ind w:firstLine="640"/>
        <w:outlineLvl w:val="2"/>
        <w:rPr>
          <w:rFonts w:hint="default" w:eastAsia="Times New Roman"/>
          <w:color w:val="auto"/>
          <w:sz w:val="32"/>
          <w:szCs w:val="24"/>
          <w:lang w:val="zh-CN"/>
        </w:rPr>
      </w:pPr>
      <w:r>
        <w:rPr>
          <w:rFonts w:hint="eastAsia" w:ascii="黑体" w:hAnsi="黑体" w:eastAsia="黑体"/>
          <w:color w:val="auto"/>
          <w:sz w:val="32"/>
          <w:szCs w:val="24"/>
          <w:lang w:val="zh-CN"/>
        </w:rPr>
        <w:t>（三）国有资产占用情况说明</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截止2022年12月31日，</w:t>
      </w:r>
      <w:r>
        <w:rPr>
          <w:rFonts w:hint="eastAsia" w:ascii="仿宋_GB2312" w:hAnsi="仿宋_GB2312" w:eastAsia="仿宋_GB2312"/>
          <w:color w:val="auto"/>
          <w:sz w:val="32"/>
          <w:szCs w:val="24"/>
          <w:lang w:val="en-US"/>
        </w:rPr>
        <w:t>固定资产原值</w:t>
      </w:r>
      <w:r>
        <w:rPr>
          <w:rFonts w:hint="eastAsia" w:ascii="仿宋_GB2312" w:hAnsi="仿宋_GB2312" w:eastAsia="仿宋_GB2312"/>
          <w:color w:val="auto"/>
          <w:kern w:val="0"/>
          <w:sz w:val="32"/>
          <w:szCs w:val="24"/>
          <w:lang w:val="en-US"/>
        </w:rPr>
        <w:t>773.30</w:t>
      </w:r>
      <w:r>
        <w:rPr>
          <w:rFonts w:hint="eastAsia" w:ascii="仿宋_GB2312" w:hAnsi="仿宋_GB2312" w:eastAsia="仿宋_GB2312"/>
          <w:color w:val="auto"/>
          <w:sz w:val="32"/>
          <w:szCs w:val="24"/>
          <w:lang w:val="en-US"/>
        </w:rPr>
        <w:t>万元，</w:t>
      </w:r>
      <w:r>
        <w:rPr>
          <w:rFonts w:hint="eastAsia" w:ascii="仿宋_GB2312" w:hAnsi="仿宋_GB2312" w:eastAsia="仿宋_GB2312"/>
          <w:color w:val="auto"/>
          <w:kern w:val="0"/>
          <w:sz w:val="32"/>
          <w:szCs w:val="24"/>
          <w:lang w:val="en-US"/>
        </w:rPr>
        <w:t>房屋2,847.71平方米，价值221.54万元。车辆4辆，价值82.70万元，其中：副部（省）级及以上领导用车0辆、主要领导干部用车0辆、机要通信用车0辆、应急保障用车1辆、执法执勤用车0辆、特种专业技术用车0辆、离退休干部用车0辆、其他用车3辆，其他用车主要是：</w:t>
      </w:r>
      <w:r>
        <w:rPr>
          <w:rFonts w:hint="eastAsia" w:ascii="仿宋_GB2312" w:hAnsi="仿宋_GB2312" w:eastAsia="仿宋_GB2312"/>
          <w:color w:val="auto"/>
          <w:kern w:val="0"/>
          <w:sz w:val="32"/>
          <w:szCs w:val="24"/>
          <w:lang w:val="en-US" w:eastAsia="zh-CN"/>
        </w:rPr>
        <w:t>3辆均为单位业务用车</w:t>
      </w:r>
      <w:r>
        <w:rPr>
          <w:rFonts w:hint="eastAsia" w:ascii="仿宋_GB2312" w:hAnsi="仿宋_GB2312" w:eastAsia="仿宋_GB2312"/>
          <w:color w:val="auto"/>
          <w:kern w:val="0"/>
          <w:sz w:val="32"/>
          <w:szCs w:val="24"/>
          <w:lang w:val="en-US"/>
        </w:rPr>
        <w:t>；单价100</w:t>
      </w:r>
      <w:r>
        <w:rPr>
          <w:rFonts w:hint="eastAsia" w:ascii="仿宋_GB2312" w:hAnsi="仿宋_GB2312" w:eastAsia="仿宋_GB2312"/>
          <w:color w:val="auto"/>
          <w:sz w:val="32"/>
          <w:szCs w:val="24"/>
          <w:lang w:val="en-US"/>
        </w:rPr>
        <w:t>万元（含）以上设备（不含车辆）</w:t>
      </w:r>
      <w:r>
        <w:rPr>
          <w:rFonts w:hint="eastAsia" w:ascii="仿宋_GB2312" w:hAnsi="仿宋_GB2312" w:eastAsia="仿宋_GB2312"/>
          <w:color w:val="auto"/>
          <w:kern w:val="0"/>
          <w:sz w:val="32"/>
          <w:szCs w:val="24"/>
          <w:lang w:val="en-US"/>
        </w:rPr>
        <w:t>0台（套）。</w:t>
      </w:r>
    </w:p>
    <w:p>
      <w:pPr>
        <w:spacing w:line="360" w:lineRule="auto"/>
        <w:ind w:firstLine="640"/>
        <w:outlineLvl w:val="1"/>
        <w:rPr>
          <w:rFonts w:hint="default" w:eastAsia="Times New Roman"/>
          <w:color w:val="auto"/>
          <w:sz w:val="32"/>
          <w:szCs w:val="24"/>
          <w:lang w:val="zh-CN"/>
        </w:rPr>
      </w:pPr>
      <w:r>
        <w:rPr>
          <w:rFonts w:hint="eastAsia" w:ascii="黑体" w:hAnsi="黑体" w:eastAsia="黑体"/>
          <w:color w:val="auto"/>
          <w:sz w:val="32"/>
          <w:szCs w:val="24"/>
          <w:lang w:val="zh-CN"/>
        </w:rPr>
        <w:t>十一、预算绩效的情况说明</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根据预算绩效管理要求，我单位2022年度开展预算绩效评价项目</w:t>
      </w:r>
      <w:r>
        <w:rPr>
          <w:rFonts w:hint="eastAsia" w:ascii="仿宋_GB2312" w:hAnsi="仿宋_GB2312" w:eastAsia="仿宋_GB2312"/>
          <w:color w:val="auto"/>
          <w:kern w:val="0"/>
          <w:sz w:val="32"/>
          <w:szCs w:val="24"/>
          <w:lang w:val="en-US" w:eastAsia="zh-CN"/>
        </w:rPr>
        <w:t>0</w:t>
      </w:r>
      <w:r>
        <w:rPr>
          <w:rFonts w:hint="eastAsia" w:ascii="仿宋_GB2312" w:hAnsi="仿宋_GB2312" w:eastAsia="仿宋_GB2312"/>
          <w:color w:val="auto"/>
          <w:kern w:val="0"/>
          <w:sz w:val="32"/>
          <w:szCs w:val="24"/>
          <w:lang w:val="en-US"/>
        </w:rPr>
        <w:t>个，</w:t>
      </w:r>
      <w:r>
        <w:rPr>
          <w:rFonts w:hint="eastAsia" w:ascii="仿宋_GB2312" w:hAnsi="仿宋_GB2312" w:eastAsia="仿宋_GB2312"/>
          <w:color w:val="auto"/>
          <w:sz w:val="32"/>
          <w:szCs w:val="24"/>
          <w:lang w:val="en-US"/>
        </w:rPr>
        <w:t>全年预算数</w:t>
      </w:r>
      <w:r>
        <w:rPr>
          <w:rFonts w:hint="eastAsia" w:ascii="仿宋_GB2312" w:hAnsi="仿宋_GB2312" w:eastAsia="仿宋_GB2312"/>
          <w:color w:val="auto"/>
          <w:kern w:val="0"/>
          <w:sz w:val="32"/>
          <w:szCs w:val="24"/>
          <w:lang w:val="en-US" w:eastAsia="zh-CN"/>
        </w:rPr>
        <w:t>0.00</w:t>
      </w:r>
      <w:r>
        <w:rPr>
          <w:rFonts w:hint="eastAsia" w:ascii="仿宋_GB2312" w:hAnsi="仿宋_GB2312" w:eastAsia="仿宋_GB2312"/>
          <w:color w:val="auto"/>
          <w:sz w:val="32"/>
          <w:szCs w:val="24"/>
          <w:lang w:val="en-US"/>
        </w:rPr>
        <w:t>万元，全年执行数</w:t>
      </w:r>
      <w:r>
        <w:rPr>
          <w:rFonts w:hint="eastAsia" w:ascii="仿宋_GB2312" w:hAnsi="仿宋_GB2312" w:eastAsia="仿宋_GB2312"/>
          <w:color w:val="auto"/>
          <w:kern w:val="0"/>
          <w:sz w:val="32"/>
          <w:szCs w:val="24"/>
          <w:lang w:val="en-US" w:eastAsia="zh-CN"/>
        </w:rPr>
        <w:t>0.00</w:t>
      </w:r>
      <w:r>
        <w:rPr>
          <w:rFonts w:hint="eastAsia" w:ascii="仿宋_GB2312" w:hAnsi="仿宋_GB2312" w:eastAsia="仿宋_GB2312"/>
          <w:color w:val="auto"/>
          <w:sz w:val="32"/>
          <w:szCs w:val="24"/>
          <w:lang w:val="en-US"/>
        </w:rPr>
        <w:t>万元。</w:t>
      </w:r>
      <w:r>
        <w:rPr>
          <w:rFonts w:hint="eastAsia" w:ascii="仿宋_GB2312" w:hAnsi="仿宋_GB2312" w:eastAsia="仿宋_GB2312"/>
          <w:color w:val="auto"/>
          <w:kern w:val="0"/>
          <w:sz w:val="32"/>
          <w:szCs w:val="24"/>
          <w:lang w:val="en-US"/>
        </w:rPr>
        <w:t>预算绩效管理取得的成效：</w:t>
      </w:r>
      <w:r>
        <w:rPr>
          <w:rFonts w:hint="default" w:ascii="仿宋_GB2312" w:eastAsia="仿宋_GB2312"/>
          <w:sz w:val="32"/>
          <w:szCs w:val="24"/>
        </w:rPr>
        <w:t>我单位2022年度无预算绩效项目</w:t>
      </w:r>
      <w:r>
        <w:rPr>
          <w:rFonts w:hint="eastAsia" w:ascii="仿宋_GB2312" w:hAnsi="仿宋_GB2312" w:eastAsia="仿宋_GB2312"/>
          <w:color w:val="auto"/>
          <w:kern w:val="0"/>
          <w:sz w:val="32"/>
          <w:szCs w:val="24"/>
          <w:lang w:val="en-US"/>
        </w:rPr>
        <w:t>。发现的问题及原因：</w:t>
      </w:r>
      <w:r>
        <w:rPr>
          <w:rFonts w:hint="default" w:ascii="仿宋_GB2312" w:eastAsia="仿宋_GB2312"/>
          <w:sz w:val="32"/>
          <w:szCs w:val="24"/>
        </w:rPr>
        <w:t>我单位2022年度无预算绩效项目</w:t>
      </w:r>
      <w:r>
        <w:rPr>
          <w:rFonts w:hint="eastAsia" w:ascii="仿宋_GB2312" w:hAnsi="仿宋_GB2312" w:eastAsia="仿宋_GB2312"/>
          <w:color w:val="auto"/>
          <w:kern w:val="0"/>
          <w:sz w:val="32"/>
          <w:szCs w:val="24"/>
          <w:lang w:val="en-US"/>
        </w:rPr>
        <w:t>。下一步改进措施：</w:t>
      </w:r>
      <w:r>
        <w:rPr>
          <w:rFonts w:hint="default" w:ascii="仿宋_GB2312" w:eastAsia="仿宋_GB2312"/>
          <w:sz w:val="32"/>
          <w:szCs w:val="24"/>
        </w:rPr>
        <w:t>我单位2022年度无预算绩效项目</w:t>
      </w:r>
      <w:r>
        <w:rPr>
          <w:rFonts w:hint="eastAsia" w:ascii="仿宋_GB2312" w:hAnsi="仿宋_GB2312" w:eastAsia="仿宋_GB2312"/>
          <w:color w:val="auto"/>
          <w:kern w:val="0"/>
          <w:sz w:val="32"/>
          <w:szCs w:val="24"/>
          <w:lang w:val="en-US"/>
        </w:rPr>
        <w:t>。</w:t>
      </w:r>
    </w:p>
    <w:p>
      <w:pPr>
        <w:shd w:val="clear" w:color="auto" w:fill="FFFFFF"/>
        <w:spacing w:before="100" w:after="240"/>
        <w:jc w:val="center"/>
        <w:outlineLvl w:val="0"/>
        <w:rPr>
          <w:rFonts w:hint="default" w:eastAsia="Times New Roman"/>
          <w:b/>
          <w:color w:val="auto"/>
          <w:kern w:val="0"/>
          <w:sz w:val="28"/>
          <w:szCs w:val="24"/>
          <w:lang w:val="en-US"/>
        </w:rPr>
      </w:pPr>
      <w:r>
        <w:rPr>
          <w:rFonts w:hint="eastAsia" w:ascii="黑体" w:hAnsi="黑体" w:eastAsia="黑体"/>
          <w:color w:val="auto"/>
          <w:kern w:val="0"/>
          <w:sz w:val="32"/>
          <w:szCs w:val="24"/>
          <w:lang w:val="en-US"/>
        </w:rPr>
        <w:t>第三部分 专业名词解释</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财政拨款收入：指同级财政当年拨付的资金。</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上级补助收入：指事业单位从主管部门和上级单位取得的非财政补助收入。</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事业收入：指事业单位开展专业业务活动及其辅助活动所取得的收入。</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经营收入：指事业单位在专业业务活动及其辅助活动之外开展非独立核算经营活动取得的收入。</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附属单位上缴收入：指事业单位附属的独立核算单位按有关规定上缴的收入。</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其他收入：指除上述“财政拨款收入”、“事业收入”、“经营收入”、“附属单位上缴收入”等之外取得的收入。</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年初结转和结余：指以前年度支出预算因客观条件变化未执行完毕、结转到本年度按有关规定继续使用的资金，既包括财政拨款结转和结余，也包括事业收入、经营收入、其他收入的结转和结余。</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基本支出：指为保障机构正常运转、完成日常工作任务而发生的人员支出和公用支出。</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项目支出：指在基本支出之外为完成特定行政任务和事业发展目标所发生的支出。</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经营支出：指事业单位在专业业务活动及其辅助活动之外开展非独立核算经营活动发生的支出。</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对附属单位补助支出：指事业单位发生的用非财政预算资金对附属单位的补助支出。</w:t>
      </w:r>
    </w:p>
    <w:p>
      <w:pPr>
        <w:spacing w:line="360" w:lineRule="auto"/>
        <w:ind w:firstLine="640"/>
        <w:rPr>
          <w:rFonts w:hint="default" w:eastAsia="Times New Roman"/>
          <w:color w:val="auto"/>
          <w:sz w:val="32"/>
          <w:szCs w:val="24"/>
          <w:lang w:val="en-US"/>
        </w:rPr>
      </w:pPr>
      <w:r>
        <w:rPr>
          <w:rFonts w:hint="eastAsia" w:ascii="仿宋_GB2312" w:hAnsi="仿宋_GB2312" w:eastAsia="仿宋_GB2312"/>
          <w:color w:val="auto"/>
          <w:sz w:val="32"/>
          <w:szCs w:val="24"/>
          <w:lang w:val="en-US"/>
        </w:rPr>
        <w:t>“三公”经费：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360" w:lineRule="auto"/>
        <w:ind w:firstLine="640"/>
        <w:rPr>
          <w:rFonts w:hint="eastAsia" w:ascii="仿宋_GB2312" w:hAnsi="仿宋_GB2312" w:eastAsia="仿宋_GB2312"/>
          <w:color w:val="auto"/>
          <w:sz w:val="32"/>
          <w:szCs w:val="24"/>
          <w:lang w:val="en-US"/>
        </w:rPr>
      </w:pPr>
      <w:r>
        <w:rPr>
          <w:rFonts w:hint="eastAsia" w:ascii="仿宋_GB2312" w:hAnsi="仿宋_GB2312" w:eastAsia="仿宋_GB2312"/>
          <w:color w:val="auto"/>
          <w:sz w:val="32"/>
          <w:szCs w:val="24"/>
          <w:lang w:val="en-US"/>
        </w:rPr>
        <w:t>机关运行经费：行政单位和参照公务员法管理的事业单位财政拨款基本支出中的公用经费支出。</w:t>
      </w:r>
    </w:p>
    <w:p>
      <w:pPr>
        <w:rPr>
          <w:rFonts w:hint="eastAsia" w:ascii="仿宋_GB2312" w:hAnsi="仿宋_GB2312" w:eastAsia="仿宋_GB2312"/>
          <w:color w:val="auto"/>
          <w:sz w:val="32"/>
          <w:szCs w:val="24"/>
          <w:lang w:val="en-US"/>
        </w:rPr>
      </w:pPr>
      <w:r>
        <w:rPr>
          <w:rFonts w:hint="eastAsia" w:ascii="仿宋_GB2312" w:hAnsi="仿宋_GB2312" w:eastAsia="仿宋_GB2312"/>
          <w:color w:val="auto"/>
          <w:sz w:val="32"/>
          <w:szCs w:val="24"/>
          <w:lang w:val="en-US"/>
        </w:rPr>
        <w:br w:type="page"/>
      </w:r>
    </w:p>
    <w:p>
      <w:pPr>
        <w:shd w:val="clear" w:color="auto" w:fill="FFFFFF"/>
        <w:spacing w:before="100" w:after="240"/>
        <w:jc w:val="center"/>
        <w:outlineLvl w:val="0"/>
        <w:rPr>
          <w:rFonts w:hint="default" w:eastAsia="Times New Roman"/>
          <w:color w:val="auto"/>
          <w:kern w:val="0"/>
          <w:sz w:val="32"/>
          <w:szCs w:val="24"/>
          <w:lang w:val="en-US"/>
        </w:rPr>
      </w:pPr>
      <w:bookmarkStart w:id="0" w:name="_GoBack"/>
      <w:bookmarkEnd w:id="0"/>
      <w:r>
        <w:rPr>
          <w:rFonts w:hint="eastAsia" w:ascii="黑体" w:hAnsi="黑体" w:eastAsia="黑体"/>
          <w:color w:val="auto"/>
          <w:kern w:val="0"/>
          <w:sz w:val="32"/>
          <w:szCs w:val="24"/>
          <w:lang w:val="en-US"/>
        </w:rPr>
        <w:t>第四部分 部门决算报表（见附表）</w:t>
      </w:r>
    </w:p>
    <w:p>
      <w:pPr>
        <w:spacing w:line="540" w:lineRule="exact"/>
        <w:ind w:firstLine="640"/>
        <w:rPr>
          <w:rFonts w:hint="default" w:eastAsia="Times New Roman"/>
          <w:color w:val="auto"/>
          <w:sz w:val="32"/>
          <w:szCs w:val="24"/>
          <w:lang w:val="en-US"/>
        </w:rPr>
      </w:pPr>
      <w:r>
        <w:rPr>
          <w:rFonts w:hint="eastAsia" w:ascii="黑体" w:hAnsi="黑体" w:eastAsia="黑体"/>
          <w:color w:val="auto"/>
          <w:sz w:val="32"/>
          <w:szCs w:val="24"/>
          <w:lang w:val="en-US"/>
        </w:rPr>
        <w:t>一、《收入支出决算总表》</w:t>
      </w:r>
    </w:p>
    <w:p>
      <w:pPr>
        <w:spacing w:line="540" w:lineRule="exact"/>
        <w:ind w:firstLine="640"/>
        <w:rPr>
          <w:rFonts w:hint="default" w:eastAsia="Times New Roman"/>
          <w:color w:val="auto"/>
          <w:sz w:val="32"/>
          <w:szCs w:val="24"/>
          <w:lang w:val="en-US"/>
        </w:rPr>
      </w:pPr>
      <w:r>
        <w:rPr>
          <w:rFonts w:hint="eastAsia" w:ascii="黑体" w:hAnsi="黑体" w:eastAsia="黑体"/>
          <w:color w:val="auto"/>
          <w:sz w:val="32"/>
          <w:szCs w:val="24"/>
          <w:lang w:val="en-US"/>
        </w:rPr>
        <w:t>二、《收入决算表》</w:t>
      </w:r>
    </w:p>
    <w:p>
      <w:pPr>
        <w:spacing w:line="540" w:lineRule="exact"/>
        <w:ind w:firstLine="640"/>
        <w:rPr>
          <w:rFonts w:hint="default" w:eastAsia="Times New Roman"/>
          <w:color w:val="auto"/>
          <w:sz w:val="32"/>
          <w:szCs w:val="24"/>
          <w:lang w:val="en-US"/>
        </w:rPr>
      </w:pPr>
      <w:r>
        <w:rPr>
          <w:rFonts w:hint="eastAsia" w:ascii="黑体" w:hAnsi="黑体" w:eastAsia="黑体"/>
          <w:color w:val="auto"/>
          <w:sz w:val="32"/>
          <w:szCs w:val="24"/>
          <w:lang w:val="en-US"/>
        </w:rPr>
        <w:t>三、《支出决算表》</w:t>
      </w:r>
    </w:p>
    <w:p>
      <w:pPr>
        <w:spacing w:line="540" w:lineRule="exact"/>
        <w:ind w:firstLine="640"/>
        <w:rPr>
          <w:rFonts w:hint="default" w:eastAsia="Times New Roman"/>
          <w:color w:val="auto"/>
          <w:sz w:val="32"/>
          <w:szCs w:val="24"/>
          <w:lang w:val="en-US"/>
        </w:rPr>
      </w:pPr>
      <w:r>
        <w:rPr>
          <w:rFonts w:hint="eastAsia" w:ascii="黑体" w:hAnsi="黑体" w:eastAsia="黑体"/>
          <w:color w:val="auto"/>
          <w:sz w:val="32"/>
          <w:szCs w:val="24"/>
          <w:lang w:val="en-US"/>
        </w:rPr>
        <w:t>四、《财政拨款收入支出决算总表》</w:t>
      </w:r>
    </w:p>
    <w:p>
      <w:pPr>
        <w:spacing w:line="540" w:lineRule="exact"/>
        <w:ind w:firstLine="640"/>
        <w:rPr>
          <w:rFonts w:hint="default" w:eastAsia="Times New Roman"/>
          <w:color w:val="auto"/>
          <w:sz w:val="32"/>
          <w:szCs w:val="24"/>
          <w:lang w:val="en-US"/>
        </w:rPr>
      </w:pPr>
      <w:r>
        <w:rPr>
          <w:rFonts w:hint="eastAsia" w:ascii="黑体" w:hAnsi="黑体" w:eastAsia="黑体"/>
          <w:color w:val="auto"/>
          <w:sz w:val="32"/>
          <w:szCs w:val="24"/>
          <w:lang w:val="en-US"/>
        </w:rPr>
        <w:t>五、《一般公共预算财政拨款支出决算表》</w:t>
      </w:r>
    </w:p>
    <w:p>
      <w:pPr>
        <w:spacing w:line="540" w:lineRule="exact"/>
        <w:ind w:firstLine="640"/>
        <w:rPr>
          <w:rFonts w:hint="default" w:eastAsia="Times New Roman"/>
          <w:color w:val="auto"/>
          <w:sz w:val="32"/>
          <w:szCs w:val="24"/>
          <w:lang w:val="en-US"/>
        </w:rPr>
      </w:pPr>
      <w:r>
        <w:rPr>
          <w:rFonts w:hint="eastAsia" w:ascii="黑体" w:hAnsi="黑体" w:eastAsia="黑体"/>
          <w:color w:val="auto"/>
          <w:sz w:val="32"/>
          <w:szCs w:val="24"/>
          <w:lang w:val="en-US"/>
        </w:rPr>
        <w:t>六、《一般公共预算财政拨款基本支出决算表》</w:t>
      </w:r>
    </w:p>
    <w:p>
      <w:pPr>
        <w:spacing w:line="540" w:lineRule="exact"/>
        <w:ind w:firstLine="640"/>
        <w:rPr>
          <w:rFonts w:hint="default" w:eastAsia="Times New Roman"/>
          <w:color w:val="auto"/>
          <w:sz w:val="32"/>
          <w:szCs w:val="24"/>
          <w:lang w:val="en-US"/>
        </w:rPr>
      </w:pPr>
      <w:r>
        <w:rPr>
          <w:rFonts w:hint="eastAsia" w:ascii="黑体" w:hAnsi="黑体" w:eastAsia="黑体"/>
          <w:color w:val="auto"/>
          <w:sz w:val="32"/>
          <w:szCs w:val="24"/>
          <w:lang w:val="en-US"/>
        </w:rPr>
        <w:t>七、《财政拨款“三公”经费支出决算表》</w:t>
      </w:r>
    </w:p>
    <w:p>
      <w:pPr>
        <w:spacing w:line="540" w:lineRule="exact"/>
        <w:ind w:firstLine="640"/>
        <w:rPr>
          <w:rFonts w:hint="default" w:eastAsia="Times New Roman"/>
          <w:color w:val="auto"/>
          <w:kern w:val="0"/>
          <w:sz w:val="32"/>
          <w:szCs w:val="24"/>
          <w:lang w:val="en-US"/>
        </w:rPr>
      </w:pPr>
      <w:r>
        <w:rPr>
          <w:rFonts w:hint="eastAsia" w:ascii="黑体" w:hAnsi="黑体" w:eastAsia="黑体"/>
          <w:color w:val="auto"/>
          <w:sz w:val="32"/>
          <w:szCs w:val="24"/>
          <w:lang w:val="en-US"/>
        </w:rPr>
        <w:t>八、《政府性基金预算财政拨款收入支出决算表》</w:t>
      </w:r>
    </w:p>
    <w:p>
      <w:pPr>
        <w:spacing w:line="540" w:lineRule="exact"/>
        <w:ind w:firstLine="640"/>
        <w:rPr>
          <w:rFonts w:hint="default" w:eastAsia="Times New Roman"/>
          <w:color w:val="auto"/>
          <w:kern w:val="0"/>
          <w:sz w:val="32"/>
          <w:szCs w:val="24"/>
          <w:lang w:val="en-US"/>
        </w:rPr>
      </w:pPr>
      <w:r>
        <w:rPr>
          <w:rFonts w:hint="eastAsia" w:ascii="黑体" w:hAnsi="黑体" w:eastAsia="黑体"/>
          <w:color w:val="auto"/>
          <w:sz w:val="32"/>
          <w:szCs w:val="24"/>
          <w:lang w:val="zh-CN"/>
        </w:rPr>
        <w:t>九</w:t>
      </w:r>
      <w:r>
        <w:rPr>
          <w:rFonts w:hint="eastAsia" w:ascii="黑体" w:hAnsi="黑体" w:eastAsia="黑体"/>
          <w:color w:val="auto"/>
          <w:sz w:val="32"/>
          <w:szCs w:val="24"/>
          <w:lang w:val="en-US"/>
        </w:rPr>
        <w:t>、《国有资本经营预算财政拨款收入支出决算表》</w:t>
      </w:r>
    </w:p>
    <w:p>
      <w:pPr>
        <w:jc w:val="left"/>
        <w:rPr>
          <w:rFonts w:hint="default" w:eastAsia="Times New Roman"/>
          <w:color w:val="auto"/>
          <w:kern w:val="36"/>
          <w:sz w:val="40"/>
          <w:szCs w:val="24"/>
          <w:lang w:val="zh-CN"/>
        </w:rPr>
      </w:pPr>
    </w:p>
    <w:p>
      <w:pPr>
        <w:rPr>
          <w:rFonts w:hint="default" w:eastAsia="Times New Roman"/>
          <w:color w:val="auto"/>
          <w:sz w:val="21"/>
          <w:szCs w:val="24"/>
          <w:lang w:val="en-US"/>
        </w:rPr>
      </w:pPr>
    </w:p>
    <w:p>
      <w:pPr>
        <w:jc w:val="left"/>
        <w:rPr>
          <w:rFonts w:hint="default" w:eastAsia="Times New Roman"/>
          <w:color w:val="auto"/>
          <w:kern w:val="36"/>
          <w:sz w:val="40"/>
          <w:szCs w:val="24"/>
          <w:lang w:val="zh-CN"/>
        </w:rPr>
      </w:pPr>
    </w:p>
    <w:p>
      <w:pPr>
        <w:rPr>
          <w:rFonts w:hint="default" w:eastAsia="Times New Roman"/>
          <w:color w:val="auto"/>
          <w:sz w:val="21"/>
          <w:szCs w:val="24"/>
          <w:lang w:val="en-US"/>
        </w:rPr>
      </w:pPr>
    </w:p>
    <w:p>
      <w:pPr>
        <w:jc w:val="left"/>
        <w:rPr>
          <w:rFonts w:hint="default" w:eastAsia="Times New Roman"/>
          <w:color w:val="auto"/>
          <w:kern w:val="36"/>
          <w:sz w:val="40"/>
          <w:szCs w:val="24"/>
          <w:lang w:val="zh-CN"/>
        </w:rPr>
      </w:pPr>
    </w:p>
    <w:sectPr>
      <w:pgSz w:w="12240" w:h="15840"/>
      <w:pgMar w:top="1440" w:right="1800" w:bottom="1440" w:left="1800" w:header="720" w:footer="720" w:gutter="0"/>
      <w:lnNumType w:countBy="0" w:distance="36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360"/>
  <w:drawingGridHorizontalSpacing w:val="120"/>
  <w:drawingGridVerticalSpacing w:val="120"/>
  <w:displayHorizontalDrawingGridEvery w:val="3"/>
  <w:displayVerticalDrawingGridEvery w:val="3"/>
  <w:doNotUseMarginsForDrawingGridOrigin w:val="1"/>
  <w:drawingGridHorizontalOrigin w:val="1701"/>
  <w:drawingGridVerticalOrigin w:val="1984"/>
  <w:doNotShadeFormData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dkZGMyOWI2OTRjOWQ4ZTEzMzkxOGQzMTU2NTIzNjEifQ=="/>
  </w:docVars>
  <w:rsids>
    <w:rsidRoot w:val="00172A27"/>
    <w:rsid w:val="0AE12395"/>
    <w:rsid w:val="148B03CB"/>
    <w:rsid w:val="466E1948"/>
    <w:rsid w:val="4BE73FAD"/>
    <w:rsid w:val="6004634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qFormat="1" w:unhideWhenUsed="0" w:uiPriority="99" w:semiHidden="0" w:name="index 3"/>
    <w:lsdException w:qFormat="1" w:unhideWhenUsed="0" w:uiPriority="99" w:semiHidden="0" w:name="index 4"/>
    <w:lsdException w:qFormat="1" w:unhideWhenUsed="0" w:uiPriority="99" w:semiHidden="0" w:name="index 5"/>
    <w:lsdException w:qFormat="1" w:unhideWhenUsed="0" w:uiPriority="99" w:semiHidden="0" w:name="index 6"/>
    <w:lsdException w:qFormat="1" w:unhideWhenUsed="0" w:uiPriority="99" w:semiHidden="0" w:name="index 7"/>
    <w:lsdException w:qFormat="1" w:unhideWhenUsed="0" w:uiPriority="99" w:semiHidden="0" w:name="index 8"/>
    <w:lsdException w:qFormat="1" w:unhideWhenUsed="0" w:uiPriority="99" w:semiHidden="0" w:name="index 9"/>
    <w:lsdException w:qFormat="1" w:unhideWhenUsed="0" w:uiPriority="99" w:semiHidden="0" w:name="toc 1"/>
    <w:lsdException w:qFormat="1" w:unhideWhenUsed="0" w:uiPriority="9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qFormat="1" w:unhideWhenUsed="0" w:uiPriority="99" w:semiHidden="0" w:name="index heading"/>
    <w:lsdException w:qFormat="1" w:unhideWhenUsed="0" w:uiPriority="99" w:semiHidden="0" w:name="caption"/>
    <w:lsdException w:qFormat="1" w:unhideWhenUsed="0" w:uiPriority="99" w:semiHidden="0" w:name="table of figures"/>
    <w:lsdException w:qFormat="1" w:unhideWhenUsed="0" w:uiPriority="99" w:semiHidden="0" w:name="envelope address"/>
    <w:lsdException w:qFormat="1" w:unhideWhenUsed="0" w:uiPriority="99" w:semiHidden="0" w:name="envelope return"/>
    <w:lsdException w:qFormat="1" w:unhideWhenUsed="0" w:uiPriority="99" w:semiHidden="0" w:name="footnote reference"/>
    <w:lsdException w:qFormat="1" w:unhideWhenUsed="0" w:uiPriority="99" w:semiHidden="0" w:name="annotation reference"/>
    <w:lsdException w:qFormat="1" w:unhideWhenUsed="0" w:uiPriority="99" w:semiHidden="0" w:name="line number"/>
    <w:lsdException w:qFormat="1" w:unhideWhenUsed="0" w:uiPriority="99" w:semiHidden="0" w:name="page number"/>
    <w:lsdException w:qFormat="1" w:unhideWhenUsed="0" w:uiPriority="99" w:semiHidden="0" w:name="endnote reference"/>
    <w:lsdException w:qFormat="1" w:unhideWhenUsed="0" w:uiPriority="99" w:semiHidden="0" w:name="endnote text"/>
    <w:lsdException w:qFormat="1" w:unhideWhenUsed="0" w:uiPriority="99" w:semiHidden="0" w:name="table of authorities"/>
    <w:lsdException w:qFormat="1" w:unhideWhenUsed="0" w:uiPriority="99" w:semiHidden="0" w:name="macro"/>
    <w:lsdException w:qFormat="1" w:unhideWhenUsed="0" w:uiPriority="99" w:semiHidden="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qFormat="1" w:unhideWhenUsed="0" w:uiPriority="99" w:semiHidden="0" w:name="Closing"/>
    <w:lsdException w:qFormat="1" w:unhideWhenUsed="0" w:uiPriority="99" w:semiHidden="0" w:name="Signature"/>
    <w:lsdException w:uiPriority="99" w:semiHidden="0" w:name="Default Paragraph Font"/>
    <w:lsdException w:qFormat="1" w:unhideWhenUsed="0" w:uiPriority="99" w:semiHidden="0" w:name="Body Text"/>
    <w:lsdException w:qFormat="1" w:unhideWhenUsed="0" w:uiPriority="99" w:semiHidden="0" w:name="Body Text Indent"/>
    <w:lsdException w:qFormat="1" w:unhideWhenUsed="0" w:uiPriority="99" w:semiHidden="0" w:name="List Continue"/>
    <w:lsdException w:qFormat="1" w:unhideWhenUsed="0" w:uiPriority="99" w:semiHidden="0" w:name="List Continue 2"/>
    <w:lsdException w:qFormat="1" w:unhideWhenUsed="0" w:uiPriority="99" w:semiHidden="0" w:name="List Continue 3"/>
    <w:lsdException w:qFormat="1" w:unhideWhenUsed="0" w:uiPriority="99" w:semiHidden="0" w:name="List Continue 4"/>
    <w:lsdException w:qFormat="1" w:unhideWhenUsed="0" w:uiPriority="99" w:semiHidden="0" w:name="List Continue 5"/>
    <w:lsdException w:qFormat="1" w:unhideWhenUsed="0" w:uiPriority="99" w:semiHidden="0" w:name="Message Header"/>
    <w:lsdException w:qFormat="1" w:unhideWhenUsed="0" w:uiPriority="99" w:semiHidden="0" w:name="Subtitle"/>
    <w:lsdException w:qFormat="1" w:unhideWhenUsed="0" w:uiPriority="99" w:semiHidden="0" w:name="Salutation"/>
    <w:lsdException w:qFormat="1" w:unhideWhenUsed="0" w:uiPriority="99" w:semiHidden="0" w:name="Date"/>
    <w:lsdException w:qFormat="1" w:unhideWhenUsed="0" w:uiPriority="99" w:semiHidden="0" w:name="Body Text First Indent"/>
    <w:lsdException w:qFormat="1" w:unhideWhenUsed="0" w:uiPriority="99" w:semiHidden="0" w:name="Body Text First Indent 2"/>
    <w:lsdException w:qFormat="1" w:unhideWhenUsed="0" w:uiPriority="99"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99" w:semiHidden="0" w:name="Emphasis"/>
    <w:lsdException w:qFormat="1" w:unhideWhenUsed="0" w:uiPriority="99" w:semiHidden="0" w:name="Document Map"/>
    <w:lsdException w:qFormat="1" w:unhideWhenUsed="0" w:uiPriority="99" w:semiHidden="0" w:name="Plain Text"/>
    <w:lsdException w:qFormat="1" w:unhideWhenUsed="0" w:uiPriority="99" w:semiHidden="0" w:name="E-mail Signature"/>
    <w:lsdException w:qFormat="1" w:unhideWhenUsed="0" w:uiPriority="99" w:semiHidden="0" w:name="Normal (Web)"/>
    <w:lsdException w:qFormat="1" w:unhideWhenUsed="0" w:uiPriority="99" w:semiHidden="0" w:name="HTML Acronym"/>
    <w:lsdException w:qFormat="1" w:unhideWhenUsed="0" w:uiPriority="99" w:semiHidden="0" w:name="HTML Address"/>
    <w:lsdException w:qFormat="1" w:unhideWhenUsed="0" w:uiPriority="99" w:semiHidden="0" w:name="HTML Cite"/>
    <w:lsdException w:qFormat="1" w:unhideWhenUsed="0" w:uiPriority="99" w:semiHidden="0" w:name="HTML Code"/>
    <w:lsdException w:qFormat="1" w:unhideWhenUsed="0" w:uiPriority="99" w:semiHidden="0" w:name="HTML Definition"/>
    <w:lsdException w:qFormat="1" w:unhideWhenUsed="0" w:uiPriority="99" w:semiHidden="0" w:name="HTML Keyboard"/>
    <w:lsdException w:qFormat="1" w:unhideWhenUsed="0" w:uiPriority="99" w:semiHidden="0" w:name="HTML Preformatted"/>
    <w:lsdException w:qFormat="1" w:unhideWhenUsed="0" w:uiPriority="99" w:semiHidden="0" w:name="HTML Sample"/>
    <w:lsdException w:qFormat="1" w:unhideWhenUsed="0" w:uiPriority="99" w:semiHidden="0" w:name="HTML Typewriter"/>
    <w:lsdException w:qFormat="1" w:unhideWhenUsed="0" w:uiPriority="99" w:semiHidden="0" w:name="HTML Variable"/>
    <w:lsdException w:qFormat="1" w:unhideWhenUsed="0" w:uiPriority="99" w:semiHidden="0" w:name="Normal Table"/>
    <w:lsdException w:qFormat="1" w:unhideWhenUsed="0" w:uiPriority="99" w:semiHidden="0" w:name="annotation subject"/>
    <w:lsdException w:qFormat="1" w:unhideWhenUsed="0" w:uiPriority="99" w:semiHidden="0" w:name="Table Simple 1"/>
    <w:lsdException w:qFormat="1" w:unhideWhenUsed="0" w:uiPriority="99" w:semiHidden="0" w:name="Table Simple 2"/>
    <w:lsdException w:qFormat="1" w:unhideWhenUsed="0" w:uiPriority="99" w:semiHidden="0" w:name="Table Simple 3"/>
    <w:lsdException w:qFormat="1" w:unhideWhenUsed="0" w:uiPriority="99" w:semiHidden="0" w:name="Table Classic 1"/>
    <w:lsdException w:qFormat="1" w:unhideWhenUsed="0" w:uiPriority="99" w:semiHidden="0" w:name="Table Classic 2"/>
    <w:lsdException w:qFormat="1" w:unhideWhenUsed="0" w:uiPriority="99" w:semiHidden="0" w:name="Table Classic 3"/>
    <w:lsdException w:qFormat="1" w:unhideWhenUsed="0" w:uiPriority="99" w:semiHidden="0" w:name="Table Classic 4"/>
    <w:lsdException w:qFormat="1" w:unhideWhenUsed="0" w:uiPriority="99" w:semiHidden="0" w:name="Table Colorful 1"/>
    <w:lsdException w:qFormat="1" w:unhideWhenUsed="0" w:uiPriority="99" w:semiHidden="0" w:name="Table Colorful 2"/>
    <w:lsdException w:qFormat="1" w:unhideWhenUsed="0" w:uiPriority="99" w:semiHidden="0" w:name="Table Colorful 3"/>
    <w:lsdException w:qFormat="1" w:unhideWhenUsed="0" w:uiPriority="99" w:semiHidden="0" w:name="Table Columns 1"/>
    <w:lsdException w:qFormat="1" w:unhideWhenUsed="0" w:uiPriority="99" w:semiHidden="0" w:name="Table Columns 2"/>
    <w:lsdException w:qFormat="1" w:unhideWhenUsed="0" w:uiPriority="99" w:semiHidden="0" w:name="Table Columns 3"/>
    <w:lsdException w:qFormat="1" w:unhideWhenUsed="0" w:uiPriority="99" w:semiHidden="0" w:name="Table Columns 4"/>
    <w:lsdException w:qFormat="1" w:unhideWhenUsed="0" w:uiPriority="99" w:semiHidden="0" w:name="Table Columns 5"/>
    <w:lsdException w:qFormat="1" w:unhideWhenUsed="0" w:uiPriority="99" w:semiHidden="0" w:name="Table Grid 1"/>
    <w:lsdException w:qFormat="1" w:unhideWhenUsed="0" w:uiPriority="99" w:semiHidden="0" w:name="Table Grid 2"/>
    <w:lsdException w:qFormat="1" w:unhideWhenUsed="0" w:uiPriority="99" w:semiHidden="0" w:name="Table Grid 3"/>
    <w:lsdException w:qFormat="1" w:unhideWhenUsed="0" w:uiPriority="99" w:semiHidden="0" w:name="Table Grid 4"/>
    <w:lsdException w:qFormat="1" w:unhideWhenUsed="0" w:uiPriority="99" w:semiHidden="0" w:name="Table Grid 5"/>
    <w:lsdException w:qFormat="1" w:unhideWhenUsed="0" w:uiPriority="99" w:semiHidden="0" w:name="Table Grid 6"/>
    <w:lsdException w:qFormat="1" w:unhideWhenUsed="0" w:uiPriority="99" w:semiHidden="0" w:name="Table Grid 7"/>
    <w:lsdException w:qFormat="1" w:unhideWhenUsed="0" w:uiPriority="99" w:semiHidden="0" w:name="Table Grid 8"/>
    <w:lsdException w:qFormat="1" w:unhideWhenUsed="0" w:uiPriority="99" w:semiHidden="0" w:name="Table List 1"/>
    <w:lsdException w:qFormat="1" w:unhideWhenUsed="0" w:uiPriority="99" w:semiHidden="0" w:name="Table List 2"/>
    <w:lsdException w:qFormat="1" w:unhideWhenUsed="0" w:uiPriority="99" w:semiHidden="0" w:name="Table List 3"/>
    <w:lsdException w:qFormat="1" w:unhideWhenUsed="0" w:uiPriority="99" w:semiHidden="0" w:name="Table List 4"/>
    <w:lsdException w:qFormat="1" w:unhideWhenUsed="0" w:uiPriority="99" w:semiHidden="0" w:name="Table List 5"/>
    <w:lsdException w:qFormat="1" w:unhideWhenUsed="0" w:uiPriority="99" w:semiHidden="0" w:name="Table List 6"/>
    <w:lsdException w:qFormat="1" w:unhideWhenUsed="0" w:uiPriority="99" w:semiHidden="0" w:name="Table List 7"/>
    <w:lsdException w:qFormat="1" w:unhideWhenUsed="0" w:uiPriority="99" w:semiHidden="0" w:name="Table List 8"/>
    <w:lsdException w:qFormat="1" w:unhideWhenUsed="0" w:uiPriority="99" w:semiHidden="0" w:name="Table 3D effects 1"/>
    <w:lsdException w:qFormat="1" w:unhideWhenUsed="0" w:uiPriority="99" w:semiHidden="0" w:name="Table 3D effects 2"/>
    <w:lsdException w:qFormat="1" w:unhideWhenUsed="0" w:uiPriority="99" w:semiHidden="0" w:name="Table 3D effects 3"/>
    <w:lsdException w:qFormat="1" w:unhideWhenUsed="0" w:uiPriority="99" w:semiHidden="0" w:name="Table Contemporary"/>
    <w:lsdException w:qFormat="1" w:unhideWhenUsed="0" w:uiPriority="99" w:semiHidden="0" w:name="Table Elegant"/>
    <w:lsdException w:qFormat="1" w:unhideWhenUsed="0" w:uiPriority="99" w:semiHidden="0" w:name="Table Professional"/>
    <w:lsdException w:qFormat="1" w:unhideWhenUsed="0" w:uiPriority="99" w:semiHidden="0" w:name="Table Subtle 1"/>
    <w:lsdException w:qFormat="1" w:unhideWhenUsed="0" w:uiPriority="99" w:semiHidden="0" w:name="Table Subtle 2"/>
    <w:lsdException w:qFormat="1" w:unhideWhenUsed="0" w:uiPriority="99" w:semiHidden="0" w:name="Table Web 1"/>
    <w:lsdException w:qFormat="1" w:unhideWhenUsed="0" w:uiPriority="99" w:semiHidden="0" w:name="Table Web 2"/>
    <w:lsdException w:qFormat="1" w:unhideWhenUsed="0" w:uiPriority="99" w:semiHidden="0" w:name="Table Web 3"/>
    <w:lsdException w:qFormat="1" w:unhideWhenUsed="0" w:uiPriority="99" w:semiHidden="0" w:name="Balloon Text"/>
    <w:lsdException w:qFormat="1" w:unhideWhenUsed="0" w:uiPriority="99" w:semiHidden="0" w:name="Table Grid"/>
    <w:lsdException w:qFormat="1"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uiPriority w:val="0"/>
    <w:pPr>
      <w:jc w:val="both"/>
    </w:pPr>
    <w:rPr>
      <w:rFonts w:hint="default" w:ascii="Times New Roman" w:hAnsi="Times New Roman" w:eastAsia="宋体" w:cs="Times New Roman"/>
      <w:kern w:val="2"/>
      <w:sz w:val="21"/>
      <w:szCs w:val="24"/>
    </w:rPr>
  </w:style>
  <w:style w:type="character" w:default="1" w:styleId="3">
    <w:name w:val="Default Paragraph Font"/>
    <w:unhideWhenUsed/>
    <w:uiPriority w:val="99"/>
    <w:rPr>
      <w:rFonts w:hint="default"/>
      <w:sz w:val="24"/>
      <w:szCs w:val="24"/>
    </w:rPr>
  </w:style>
  <w:style w:type="table" w:default="1" w:styleId="2">
    <w:name w:val="Normal Table"/>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14</Pages>
  <Words>4935</Words>
  <Characters>5549</Characters>
  <TotalTime>15</TotalTime>
  <ScaleCrop>false</ScaleCrop>
  <LinksUpToDate>false</LinksUpToDate>
  <CharactersWithSpaces>5559</CharactersWithSpaces>
  <Application>WPS Office_11.1.0.14309_F1E327BC-269C-435d-A152-05C5408002CA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2023-08-28T08:21:00Z</dcterms:created>
  <dc:creator>asus</dc:creator>
  <cp:lastModifiedBy>逐梦令</cp:lastModifiedBy>
  <dcterms:modified xsi:type="dcterms:W3CDTF">2023-09-01T11:35:29Z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451A382DE8AF4991818BC48F8D8E886E_13</vt:lpwstr>
  </property>
</Properties>
</file>