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乌鲁木齐市米东区古牧地西路片区管理委员会</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1、受区委、区人民政府委托，统一领导和管理辖区党务、行政和社会事务工作，促进片区和谐发展；</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2、拟订片区发展规划，提出强化“两个机制”、夯实基层基础工作的建议和措施，并组织实施；</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3、统筹整合辖区行政资源、社会资源和公共服务资源，综合协调相关职能部门和驻区企事业单位，为辖区居民提供民生保障、社会治安、城市管理等综合服务；</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4、对相关职能部门和驻区企事业单位履行社会管理和公共服务职能情况进行监督、检查和考核；</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5、承办区委、区人民政府交办的其他事项。</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乌鲁木齐市米东区古牧地西路片区管理委员会2022年度，实有人数231人，其中：在职人员224人，离休人员0人，退休人员7人。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从部门决算单位构成看，乌鲁木齐市米东区古牧地西路片区管理委员会部门决算包括：乌鲁木齐市米东区古牧地西路片区管理委员会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highlight w:val="white"/>
          <w:lang w:val="zh-CN"/>
        </w:rPr>
        <w:t>：</w:t>
      </w:r>
      <w:r>
        <w:rPr>
          <w:rFonts w:hint="eastAsia" w:ascii="仿宋_GB2312" w:hAnsi="仿宋_GB2312" w:eastAsia="仿宋_GB2312"/>
          <w:kern w:val="0"/>
          <w:sz w:val="32"/>
          <w:szCs w:val="24"/>
          <w:lang w:val="en-US"/>
        </w:rPr>
        <w:t>党群服务中心、社会事务（统计）服务中心（退役军人服务站）、综治中心（网格化服务中心）、城区管理服务中心、防疫专员办公室（公共卫生服务指导中心）</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8,818.26万元，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8,818.26</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与上年相比，增加20.03万元，增长0.23%，主要原因是：</w:t>
      </w:r>
      <w:r>
        <w:rPr>
          <w:rFonts w:hint="eastAsia" w:ascii="仿宋_GB2312" w:hAnsi="仿宋_GB2312" w:eastAsia="仿宋_GB2312"/>
          <w:kern w:val="0"/>
          <w:sz w:val="32"/>
          <w:szCs w:val="24"/>
          <w:lang w:val="en-US" w:eastAsia="zh-CN"/>
        </w:rPr>
        <w:t>本年年底新增22名干部，追加人员经费，收入增大</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8,818.26万元，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8,408.26</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410.00</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与上年相比，增加20.03万元，增长0.23%，主要原因是：</w:t>
      </w:r>
      <w:r>
        <w:rPr>
          <w:rFonts w:hint="eastAsia" w:ascii="仿宋_GB2312" w:hAnsi="仿宋_GB2312" w:eastAsia="仿宋_GB2312"/>
          <w:kern w:val="0"/>
          <w:sz w:val="32"/>
          <w:szCs w:val="24"/>
          <w:lang w:val="en-US" w:eastAsia="zh-CN"/>
        </w:rPr>
        <w:t>本年年底新增22名干部，追加人员经费，支出增大</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8,818.26万元，其中：财政拨款收入8,817.67万元，占99.99%；上级补助收入0.00万元，占0.00%；事业收入0.00万元，占0.00%；经营收入0.00万元，占0.00%；附属单位上缴收入0.00万元，占0.00%；其他收入0.59万元，占0.01%。</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2022年度本年支出8,408.26万元，其中：基本支出8,408.26万元，占100.00%；项目支出0.00万元，占0.00%；上缴上级支出0.00万元，占0.00%；经营支出0.00万元，占0.00%；对附属单位补助支出0.00万元，占0.00%。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8,817.67万元，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8,817.67</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与上年相比，增加20.07万元，增长0.23%，主要原因是：</w:t>
      </w:r>
      <w:r>
        <w:rPr>
          <w:rFonts w:hint="eastAsia" w:ascii="仿宋_GB2312" w:hAnsi="仿宋_GB2312" w:eastAsia="仿宋_GB2312"/>
          <w:kern w:val="0"/>
          <w:sz w:val="32"/>
          <w:szCs w:val="24"/>
          <w:lang w:val="en-US" w:eastAsia="zh-CN"/>
        </w:rPr>
        <w:t>本年年底新增22名干部，追加人员经费，收入增大</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8,817.67万元，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409.41</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8,408.26</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与上年相比，增加20.07万元，增长0.23%，主要原因是：</w:t>
      </w:r>
      <w:r>
        <w:rPr>
          <w:rFonts w:hint="eastAsia" w:ascii="仿宋_GB2312" w:hAnsi="仿宋_GB2312" w:eastAsia="仿宋_GB2312"/>
          <w:kern w:val="0"/>
          <w:sz w:val="32"/>
          <w:szCs w:val="24"/>
          <w:lang w:val="en-US" w:eastAsia="zh-CN"/>
        </w:rPr>
        <w:t>本年年底新增22名干部，追加人员经费，支出增大</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年初预算数11,058.12万元，决算数8,817.67万元，预决算差异率-20.26%，主要原因是：</w:t>
      </w:r>
      <w:r>
        <w:rPr>
          <w:rFonts w:hint="eastAsia" w:ascii="仿宋_GB2312" w:hAnsi="仿宋_GB2312" w:eastAsia="仿宋_GB2312"/>
          <w:kern w:val="0"/>
          <w:sz w:val="32"/>
          <w:szCs w:val="24"/>
          <w:lang w:val="en-US" w:eastAsia="zh-CN"/>
        </w:rPr>
        <w:t>本年年中调减社区运转经费、便民站经费及管委会运转经费，与预算相比导致差异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年初预算数11,058.12万元，决算数8,817.67万元，预决算差异率-20.26%，主要原因是：本年年中调减社区运转经费、便民站经费及管委会运转经费，与预算相比导致差异。</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8,408.26</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减少389.34万元，下降4.43%，主要原因是：</w:t>
      </w:r>
      <w:r>
        <w:rPr>
          <w:rFonts w:hint="eastAsia" w:ascii="仿宋_GB2312" w:hAnsi="仿宋_GB2312" w:eastAsia="仿宋_GB2312"/>
          <w:kern w:val="0"/>
          <w:sz w:val="32"/>
          <w:szCs w:val="24"/>
          <w:lang w:val="en-US" w:eastAsia="zh-CN"/>
        </w:rPr>
        <w:t>本年社区运转经费、便民站经费及管委会运转经费减少，导致支出减少</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1.一般公共服务支出（类）699.73万元，占8.32%；</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2.社会保障和就业支出（类）7,704.18万元，占91.63%；</w:t>
      </w:r>
    </w:p>
    <w:p>
      <w:pPr>
        <w:spacing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卫生健康支出（类）4.35万元，占0.05%</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1.一般公共服务支出（类）政府办公厅（室）及相关机构事务（款）行政运行（项）:支出决算数为243.56万元，比上年决算增加16.91万元，增长7.46%，主要原因是：</w:t>
      </w:r>
      <w:r>
        <w:rPr>
          <w:rFonts w:hint="eastAsia" w:ascii="仿宋_GB2312" w:hAnsi="仿宋_GB2312" w:eastAsia="仿宋_GB2312"/>
          <w:kern w:val="0"/>
          <w:sz w:val="32"/>
          <w:szCs w:val="24"/>
          <w:lang w:val="en-US" w:eastAsia="zh-CN"/>
        </w:rPr>
        <w:t>本年新增干部，相关人员经费增加，此项支出增加；</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2.一般公共服务支出（类）政府办公厅（室）及相关机构事务（款）机关服务（项）:支出决算数为456.17万元，比上年决算增加261.07万元，增长133.81%，主要原因是：</w:t>
      </w:r>
      <w:r>
        <w:rPr>
          <w:rFonts w:hint="eastAsia" w:ascii="仿宋_GB2312" w:hAnsi="仿宋_GB2312" w:eastAsia="仿宋_GB2312"/>
          <w:kern w:val="0"/>
          <w:sz w:val="32"/>
          <w:szCs w:val="24"/>
          <w:lang w:val="en-US" w:eastAsia="zh-CN"/>
        </w:rPr>
        <w:t>本年临聘人员增加，相关人员经费增加，导致此项支出增加；</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.一般公共服务支出（类）其他共产党事务支出（款）行政运行（项）:支出决算数为0.00万元，比上年决算减少100.77万元，下降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本年此功能调至2010301列支，此项功能科目未支出；</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lang w:val="en-US"/>
        </w:rPr>
        <w:t>.公共安全支出（类）其他公共安全支出（款）其他公共安全支出（项）:支出决算数为0.00万元，比上年决算减少15.75万元，下降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本年此功能科目未支出；</w:t>
      </w:r>
    </w:p>
    <w:p>
      <w:pPr>
        <w:spacing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en-US"/>
        </w:rPr>
        <w:t>.社会保障和就业支出（类）民政管理事务（款）基层政权建设和社区治理（项）:支出决算数为7,261.76万元，比上年决算减少822.18万元，下降10.17%，主要原因是：本年社区运转经费、便民站经费及管委会运转经费减少，导致支出减少</w:t>
      </w:r>
      <w:r>
        <w:rPr>
          <w:rFonts w:hint="eastAsia" w:ascii="仿宋_GB2312" w:hAnsi="仿宋_GB2312" w:eastAsia="仿宋_GB2312"/>
          <w:kern w:val="0"/>
          <w:sz w:val="32"/>
          <w:szCs w:val="24"/>
          <w:lang w:val="en-US" w:eastAsia="zh-CN"/>
        </w:rPr>
        <w:t>；</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6</w:t>
      </w:r>
      <w:r>
        <w:rPr>
          <w:rFonts w:hint="eastAsia" w:ascii="仿宋_GB2312" w:hAnsi="仿宋_GB2312" w:eastAsia="仿宋_GB2312"/>
          <w:kern w:val="0"/>
          <w:sz w:val="32"/>
          <w:szCs w:val="24"/>
          <w:lang w:val="en-US"/>
        </w:rPr>
        <w:t>.社会保障和就业支出（类）行政事业单位养老支出（款）机关事业单位基本养老保险缴费支出（项）:支出决算数为397.42万元，比上年决算增加250.42万元，增长170.35%，主要原因是：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社保基数增加，且2022年有新纳干部</w:t>
      </w:r>
      <w:r>
        <w:rPr>
          <w:rFonts w:hint="eastAsia" w:ascii="仿宋_GB2312" w:hAnsi="仿宋_GB2312" w:eastAsia="仿宋_GB2312"/>
          <w:kern w:val="0"/>
          <w:sz w:val="32"/>
          <w:szCs w:val="24"/>
          <w:lang w:val="en-US" w:eastAsia="zh-CN"/>
        </w:rPr>
        <w:t>，养老保险缴费增加；</w:t>
      </w:r>
    </w:p>
    <w:p>
      <w:pPr>
        <w:spacing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lang w:val="en-US" w:eastAsia="zh-CN"/>
        </w:rPr>
        <w:t>7</w:t>
      </w:r>
      <w:r>
        <w:rPr>
          <w:rFonts w:hint="eastAsia" w:ascii="仿宋_GB2312" w:hAnsi="仿宋_GB2312" w:eastAsia="仿宋_GB2312"/>
          <w:kern w:val="0"/>
          <w:sz w:val="32"/>
          <w:szCs w:val="24"/>
          <w:lang w:val="en-US"/>
        </w:rPr>
        <w:t>.社会保障和就业支出（类）其他生活救助（款）其他城市生活救助（项）:支出决算数为45.00万元，比上年决算增加45.00万元，增长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新增2022年拨付生活困难人员补助款</w:t>
      </w:r>
      <w:r>
        <w:rPr>
          <w:rFonts w:hint="eastAsia" w:ascii="仿宋_GB2312" w:hAnsi="仿宋_GB2312" w:eastAsia="仿宋_GB2312"/>
          <w:kern w:val="0"/>
          <w:sz w:val="32"/>
          <w:szCs w:val="24"/>
          <w:lang w:val="en-US" w:eastAsia="zh-CN"/>
        </w:rPr>
        <w:t>；</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8</w:t>
      </w:r>
      <w:r>
        <w:rPr>
          <w:rFonts w:hint="eastAsia" w:ascii="仿宋_GB2312" w:hAnsi="仿宋_GB2312" w:eastAsia="仿宋_GB2312"/>
          <w:kern w:val="0"/>
          <w:sz w:val="32"/>
          <w:szCs w:val="24"/>
          <w:lang w:val="en-US"/>
        </w:rPr>
        <w:t>.卫生健康支出（类）公共卫生（款）其他专业公共卫生机构（项）:支出决算数为0.00万元，比上年决算</w:t>
      </w:r>
      <w:r>
        <w:rPr>
          <w:rFonts w:hint="eastAsia" w:ascii="仿宋_GB2312" w:hAnsi="仿宋_GB2312" w:eastAsia="仿宋_GB2312"/>
          <w:kern w:val="0"/>
          <w:sz w:val="32"/>
          <w:szCs w:val="24"/>
          <w:lang w:val="en-US" w:eastAsia="zh-CN"/>
        </w:rPr>
        <w:t>减少</w:t>
      </w:r>
      <w:r>
        <w:rPr>
          <w:rFonts w:hint="eastAsia" w:ascii="仿宋_GB2312" w:hAnsi="仿宋_GB2312" w:eastAsia="仿宋_GB2312"/>
          <w:kern w:val="0"/>
          <w:sz w:val="32"/>
          <w:szCs w:val="24"/>
          <w:lang w:val="en-US"/>
        </w:rPr>
        <w:t>18.39万元，下降100.00%，主要原因是：</w:t>
      </w:r>
      <w:r>
        <w:rPr>
          <w:rFonts w:hint="eastAsia" w:ascii="仿宋_GB2312" w:hAnsi="仿宋_GB2312" w:eastAsia="仿宋_GB2312"/>
          <w:kern w:val="0"/>
          <w:sz w:val="32"/>
          <w:szCs w:val="24"/>
          <w:lang w:val="en-US" w:eastAsia="zh-CN"/>
        </w:rPr>
        <w:t>本年此功能科目未支出；</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9</w:t>
      </w:r>
      <w:r>
        <w:rPr>
          <w:rFonts w:hint="eastAsia" w:ascii="仿宋_GB2312" w:hAnsi="仿宋_GB2312" w:eastAsia="仿宋_GB2312"/>
          <w:kern w:val="0"/>
          <w:sz w:val="32"/>
          <w:szCs w:val="24"/>
          <w:lang w:val="en-US"/>
        </w:rPr>
        <w:t>.卫生健康支出（类）计划生育事务（款）计划生育服务（项）:支出决算数为4.35万元，比上年决算增加4.35万元，增长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本年公务用车运行维护费调至此功能科目支出；</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10</w:t>
      </w:r>
      <w:r>
        <w:rPr>
          <w:rFonts w:hint="eastAsia" w:ascii="仿宋_GB2312" w:hAnsi="仿宋_GB2312" w:eastAsia="仿宋_GB2312"/>
          <w:kern w:val="0"/>
          <w:sz w:val="32"/>
          <w:szCs w:val="24"/>
          <w:lang w:val="en-US"/>
        </w:rPr>
        <w:t>.城乡社区支出（类）城乡社区管理事务（款）其他城乡社区管理事务支出（项）:支出决算数为0.00万元，比上年决算减少10.00万元，下降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2022年未安排城市精细化管理专项经费</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2022年度一般公共预算财政拨款基本支出8,408.26万元，其中：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3,630.50万元，包括：基本工资、津贴补贴、绩效工资、机关事业单位基本养老保险缴费、职工基本医疗保险缴费、公务员医疗补助缴费、其他社会保障缴费、住房公积金、其他工资福利支出、生活补助、奖励金、其他对个人和家庭的补助。</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公用经费4,777.76万元，包括：办公费、水费、电费、邮电费、取暖费、维修（护）费、租赁费、劳务费、公务用车运行维护费、其他交通费用、其他商品和服务支出。</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“三公”经费支出决算4.35万元，比上年增加0.00万元，增长0.00%，主要原因是：</w:t>
      </w:r>
      <w:r>
        <w:rPr>
          <w:rFonts w:hint="eastAsia" w:ascii="仿宋_GB2312" w:eastAsia="仿宋_GB2312" w:cs="仿宋_GB2312"/>
          <w:kern w:val="0"/>
          <w:sz w:val="32"/>
          <w:szCs w:val="32"/>
        </w:rPr>
        <w:t>上年对比无变化</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4.35万元，占100.00%，比上年增加0.00万元，增长0.00%，主要原因是：</w:t>
      </w:r>
      <w:r>
        <w:rPr>
          <w:rFonts w:hint="eastAsia" w:ascii="仿宋_GB2312" w:hAnsi="仿宋_GB2312" w:eastAsia="仿宋_GB2312"/>
          <w:kern w:val="0"/>
          <w:sz w:val="32"/>
          <w:szCs w:val="24"/>
          <w:lang w:val="en-US" w:eastAsia="zh-CN"/>
        </w:rPr>
        <w:t>与上年对比无变化</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本年单位无公务接待费支出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4.35万元，其中：公务用车购置费0.00万元，公务用车运行维护费4.35万元。公务用车运行维护费开支内容包括公务用车燃油费、车辆维修维护费、保险费、过路费等。公务用车购置数0辆，公务用车保有量3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4.35万元，决算数4.35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4.35万元，决算数4.35万元，预决算差异率0.00%，主要原因是：单位严格执行“三公”经费支出标准，未超预算；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2022年度乌鲁木齐市米东区古牧地西路片区管理委员会单位机关运行经费支出4,777.76万元，比上年增加287.44万元，增长6.40%，主要原因是：</w:t>
      </w:r>
      <w:r>
        <w:rPr>
          <w:rFonts w:hint="eastAsia" w:ascii="仿宋_GB2312" w:hAnsi="仿宋_GB2312" w:eastAsia="仿宋_GB2312"/>
          <w:color w:val="auto"/>
          <w:kern w:val="0"/>
          <w:sz w:val="32"/>
          <w:szCs w:val="24"/>
          <w:lang w:val="en-US" w:eastAsia="zh-CN"/>
        </w:rPr>
        <w:t>本年</w:t>
      </w:r>
      <w:r>
        <w:rPr>
          <w:rFonts w:hint="eastAsia" w:ascii="仿宋_GB2312" w:hAnsi="仿宋_GB2312" w:eastAsia="仿宋_GB2312"/>
          <w:kern w:val="0"/>
          <w:sz w:val="32"/>
          <w:szCs w:val="24"/>
          <w:lang w:val="en-US" w:eastAsia="zh-CN"/>
        </w:rPr>
        <w:t>社区业务量增多，相关办公费、劳务费较上年大幅增加</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2022年度政府采购支出总额143.47万元，其中：政府采购货物支出119.28万元、政府采购工程支出0.00万元、政府采购服务支出24.18万元。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授予中小企业合同金额134.81万元，占政府采购支出总额的93.96%，其中：授予小微企业合同金额115.94万元，占政府采购支出总额的80.81%。</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2,594.30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8,142.11平方米，价值1,671.64万元。车辆54辆，价值276.17万元，其中：副部（省）级及以上领导用车0辆、主要领导干部用车2辆、机要通信用车1辆、应急保障用车19辆、执法执勤用车0辆、特种专业技术用车0辆、离退休干部用车0辆、其他用车32辆，其他用车主要是：</w:t>
      </w:r>
      <w:r>
        <w:rPr>
          <w:rFonts w:hint="eastAsia" w:ascii="仿宋_GB2312" w:hAnsi="仿宋_GB2312" w:eastAsia="仿宋_GB2312"/>
          <w:color w:val="auto"/>
          <w:kern w:val="0"/>
          <w:sz w:val="32"/>
          <w:szCs w:val="24"/>
          <w:lang w:val="en-US" w:eastAsia="zh-CN"/>
        </w:rPr>
        <w:t>巡逻车、社区服务用车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bookmarkStart w:id="0" w:name="_GoBack"/>
      <w:bookmarkEnd w:id="0"/>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default" w:eastAsia="Times New Roman"/>
          <w:color w:val="auto"/>
          <w:kern w:val="0"/>
          <w:sz w:val="32"/>
          <w:szCs w:val="24"/>
          <w:lang w:val="en-US"/>
        </w:rPr>
      </w:pP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7EF45E1"/>
    <w:rsid w:val="117E1225"/>
    <w:rsid w:val="7B0101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qFormat/>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5389</Words>
  <Characters>6130</Characters>
  <TotalTime>10</TotalTime>
  <ScaleCrop>false</ScaleCrop>
  <LinksUpToDate>false</LinksUpToDate>
  <CharactersWithSpaces>6141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2023-08-24T07:34:00Z</dcterms:created>
  <dc:creator>asus</dc:creator>
  <cp:lastModifiedBy>逐梦令</cp:lastModifiedBy>
  <dcterms:modified xsi:type="dcterms:W3CDTF">2023-09-01T11:48:19Z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7B5F645866F542848225FD7EB7FD4A59_13</vt:lpwstr>
  </property>
</Properties>
</file>