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乌鲁木齐市米东区古牧地镇人民政府</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贯彻执行国家和自治区、乌鲁木齐市有关财政、税收、行政事业单位国有资产管理的法规、制度和方针政策；组织拟定本单位财政、财务、会计管理、行政事业单位国有资产管理等方面的规章、办法，并监督实施；参与有关账务制度和办法的拟定。</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2.根据我区国民经济和社会发展战略，拟订财政发展战略和中长期规划，提出运用财税政策实施宏观经济调控和综合平衡社会财力的建议。</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承担全镇各项财政收支管理责任；负责编制镇本级预决算草案并组织执行；受镇人民政府委托向镇人民代表大会报告镇本级和全镇预算及其执行情况，向镇人大常委会报告决算；组织实施专项资金绩效考核工作；组织实施经费开支标准、定额，负责财政预决算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4.根据预算安排，拟定财政税收收入计划，并组织实施、管理和监督；负责政府非税收入和政府性基金管理；监管财政票据。</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5.组织实施国库集中收付制度，按规定开展国库集中收付管理工作，管理监督各部门国库资金缴拨使用；负责制定全镇政府采购制度并监督管理；管理财政统一发放工资工作。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6.负责制定全镇行政事业单位国有资产管理规章制度，按规定管理行政事业单位国有资产，执行需要全区统一规定的开支标准和支出政策。</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7.负责做好政府债务管理，合理安排偿债资金预算。</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8.参与制定全镇基本建设财务管理制度，负责政府性投资项目财政资金管理工作；承担有关政策性补贴和专项储备资金财政管理工作。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9.会同有关部门管理镇财政社会保障和就业及医疗卫生资金管理工作，会同有关部门研究制定社会保障资金有关的财务管理制度。</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10.管理和指导全镇会计工作，规范会计行为；组织执行国家统一的会计制度和自治区相关补充规定；组织会计人员的业务培训和会计人员从业资格证书。</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11.监督检查财税法规、政策的执行情况，反映财政收支管理的重大问题，提出加强财政管理的建议。</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乌鲁木齐市米东区古牧地镇人民政府2022年度，实有人数226人，其中：在职人员183人，离休人员0人，退休人员43人。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从部门决算单位构成看，乌鲁木齐市米东区古牧地镇人民政府部门决算包括：乌鲁木齐市米东区古牧地镇人民政府</w:t>
      </w:r>
      <w:r>
        <w:rPr>
          <w:rFonts w:hint="eastAsia" w:ascii="仿宋_GB2312" w:hAnsi="仿宋_GB2312" w:eastAsia="仿宋_GB2312"/>
          <w:kern w:val="0"/>
          <w:sz w:val="32"/>
          <w:lang w:val="zh-CN"/>
        </w:rPr>
        <w:t>决算。单位无下属预算单位，下设</w:t>
      </w:r>
      <w:r>
        <w:rPr>
          <w:rFonts w:ascii="仿宋_GB2312" w:hAnsi="仿宋_GB2312" w:eastAsia="仿宋_GB2312"/>
          <w:kern w:val="0"/>
          <w:sz w:val="32"/>
        </w:rPr>
        <w:t>9</w:t>
      </w:r>
      <w:r>
        <w:rPr>
          <w:rFonts w:hint="eastAsia" w:ascii="仿宋_GB2312" w:hAnsi="仿宋_GB2312" w:eastAsia="仿宋_GB2312"/>
          <w:kern w:val="0"/>
          <w:sz w:val="32"/>
          <w:lang w:val="zh-CN"/>
        </w:rPr>
        <w:t>个科室，分别是：</w:t>
      </w:r>
      <w:r>
        <w:rPr>
          <w:rFonts w:hint="eastAsia" w:ascii="仿宋_GB2312" w:hAnsi="仿宋_GB2312" w:eastAsia="仿宋_GB2312"/>
          <w:kern w:val="0"/>
          <w:sz w:val="32"/>
        </w:rPr>
        <w:t>古牧地镇综合行政执法队、古牧地镇财政所、古牧地镇农业中心、古牧地镇文化中心、古牧地镇社会中心、古牧地镇综治中心、古牧地镇村镇中心、古牧地镇公共卫生中心、古牧地镇社区</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6,885.44万元，</w:t>
      </w:r>
      <w:r>
        <w:rPr>
          <w:rFonts w:hint="eastAsia" w:ascii="仿宋_GB2312" w:hAnsi="仿宋_GB2312" w:eastAsia="仿宋_GB2312"/>
          <w:sz w:val="32"/>
        </w:rPr>
        <w:t>其中：本年收入合计</w:t>
      </w:r>
      <w:r>
        <w:rPr>
          <w:rFonts w:hint="eastAsia" w:ascii="仿宋_GB2312" w:hAnsi="仿宋_GB2312" w:eastAsia="仿宋_GB2312"/>
          <w:kern w:val="0"/>
          <w:sz w:val="32"/>
        </w:rPr>
        <w:t>6,876.01</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9.43</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与上年相比，减少1,405.92万元，下降16.96%，主要原因是：本年减少团结村美丽乡村建设项目项目收入；临聘人员工资、各村村级工作经费、各社区工作经费、各便民警务站工作经费、镇政府运行经费收入减少。</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6,885.44万元，</w:t>
      </w:r>
      <w:r>
        <w:rPr>
          <w:rFonts w:hint="eastAsia" w:ascii="仿宋_GB2312" w:hAnsi="仿宋_GB2312" w:eastAsia="仿宋_GB2312"/>
          <w:sz w:val="32"/>
        </w:rPr>
        <w:t>其中：本年支出合计</w:t>
      </w:r>
      <w:r>
        <w:rPr>
          <w:rFonts w:hint="eastAsia" w:ascii="仿宋_GB2312" w:hAnsi="仿宋_GB2312" w:eastAsia="仿宋_GB2312"/>
          <w:kern w:val="0"/>
          <w:sz w:val="32"/>
        </w:rPr>
        <w:t>6,876.01</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9.43</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与上年相比，减少1,405.92万元，下降16.96%，主要原因是：本年减少团结村美丽乡村建设项目项目支出；临聘人员工资、各村村级工作经费、各社区工作经费、各便民警务站工作经费、镇政府运行经费支出减少。</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6,876.01万元，其中：财政拨款收入6,876.01万元，占100.00%；上级补助收入0.00万元，占0.00%；事业收入0.00万元，占0.00%；经营收入0.00万元，占0.00%；附属单位上缴收入0.00万元，占0.00%；其他收入0.00万元，占0.00%。</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2022年度本年支出6,876.01万元，其中：基本支出6,876.01万元，占100.00%；项目支出0.00万元，占0.00%；上缴上级支出0.00万元，占0.00%；经营支出0.00万元，占0.00%；对附属单位补助支出0.00万元，占0.00%。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6,885.44万元，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9.43</w:t>
      </w:r>
      <w:r>
        <w:rPr>
          <w:rFonts w:hint="eastAsia" w:ascii="仿宋_GB2312" w:hAnsi="仿宋_GB2312" w:eastAsia="仿宋_GB2312"/>
          <w:sz w:val="32"/>
        </w:rPr>
        <w:t>万元，财政拨款本年收入</w:t>
      </w:r>
      <w:r>
        <w:rPr>
          <w:rFonts w:hint="eastAsia" w:ascii="仿宋_GB2312" w:hAnsi="仿宋_GB2312" w:eastAsia="仿宋_GB2312"/>
          <w:kern w:val="0"/>
          <w:sz w:val="32"/>
        </w:rPr>
        <w:t>6,876.01</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减少1,405.92万元，下降16.96%，主要原因是：本年我单位减少西二渠村征地补偿、团结村美丽乡村建设项目收入，临聘人员工资、各村村级工作经费、各社区工作经费、各便民警务站工作经费以及镇政府运行经费收入有所减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6,885.44万元，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9.43</w:t>
      </w:r>
      <w:r>
        <w:rPr>
          <w:rFonts w:hint="eastAsia" w:ascii="仿宋_GB2312" w:hAnsi="仿宋_GB2312" w:eastAsia="仿宋_GB2312"/>
          <w:sz w:val="32"/>
        </w:rPr>
        <w:t>万元，财政拨款本年支出</w:t>
      </w:r>
      <w:r>
        <w:rPr>
          <w:rFonts w:hint="eastAsia" w:ascii="仿宋_GB2312" w:hAnsi="仿宋_GB2312" w:eastAsia="仿宋_GB2312"/>
          <w:kern w:val="0"/>
          <w:sz w:val="32"/>
        </w:rPr>
        <w:t>6,876.01</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减少1,405.92万元，下降16.96%，主要原因是：本年我单位减少西二渠村征地补偿、团结村美丽乡村建设项目支出，临聘人员工资、各村村级工作经费、各社区工作经费、各便民警务站工作经费以及镇政府运行经费支出有所减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8,608.91万元，决算数6,885.44万元，预决算差异率-20.02%，主要原因是：本年度在职人员减少，调减人员经费相关收入，镇机关、各村、社区以及各便民警务站运行经费收入减少，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年初预算数8,608.91万元，决算数6,885.44万元，预决算差异率-20.02%，主要原因是：本年度在职人员减少，调减人员经费相关收入，镇机关、各村、社区以及各便民警务站运行经费支出减少，导致预决算产生差异。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6,876.01</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减少1,405.92万元，下降16.98%，主要原因是：本年度在职人员减少，工资福利支出相对有所减少，镇机关、各村、社区以及各便民警务站运行经费支出减少。</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1.一般公共服务支出（类）4,380.36万元，占63.70%；</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2.社会保障和就业支出（类）1,330.04万元，占19.34%；</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3.卫生健康支出（类）73.34万元，占1.07%；</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4.农林水支出（类）1,091.91万元，占15.88%；</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5.交通运输支出（类）0.36万元，占0.01%。</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一般公共服务支出（类）政府办公厅（室）及相关机构事务（款）行政运行（项）:支出决算数为4,380.36万元，比上年决算减少1,111.05万元，下降20.23%，主要原因是：本年我单位镇机关、各村、社区以及各便民警务站运行经费支出有所减少</w:t>
      </w:r>
      <w:r>
        <w:rPr>
          <w:rFonts w:hint="eastAsia" w:ascii="仿宋_GB2312" w:hAnsi="仿宋_GB2312" w:eastAsia="仿宋_GB2312"/>
          <w:kern w:val="0"/>
          <w:sz w:val="32"/>
          <w:lang w:eastAsia="zh-CN"/>
        </w:rPr>
        <w:t>；</w:t>
      </w:r>
    </w:p>
    <w:p>
      <w:pPr>
        <w:spacing w:line="600" w:lineRule="exact"/>
        <w:ind w:firstLine="640"/>
        <w:rPr>
          <w:rFonts w:hint="eastAsia" w:ascii="仿宋_GB2312" w:hAnsi="仿宋_GB2312" w:eastAsia="仿宋_GB2312"/>
          <w:kern w:val="0"/>
          <w:sz w:val="32"/>
          <w:lang w:eastAsia="zh-CN"/>
        </w:rPr>
      </w:pPr>
      <w:r>
        <w:rPr>
          <w:rFonts w:hint="eastAsia" w:ascii="仿宋_GB2312" w:hAnsi="仿宋_GB2312" w:eastAsia="仿宋_GB2312"/>
          <w:kern w:val="0"/>
          <w:sz w:val="32"/>
        </w:rPr>
        <w:t>2.一般公共服务支出（类）政府办公厅（室）及相关机构事务（款）事业运行（项）:支出决算数为0.00万元，比上年决算减少167.36万元，下降100.00%，主要原因是：本年此功能科目</w:t>
      </w:r>
      <w:r>
        <w:rPr>
          <w:rFonts w:hint="eastAsia" w:ascii="仿宋_GB2312" w:hAnsi="仿宋_GB2312" w:eastAsia="仿宋_GB2312"/>
          <w:kern w:val="0"/>
          <w:sz w:val="32"/>
          <w:lang w:val="en-US" w:eastAsia="zh-CN"/>
        </w:rPr>
        <w:t>调至2010301列支，本年此功能科目</w:t>
      </w:r>
      <w:r>
        <w:rPr>
          <w:rFonts w:hint="eastAsia" w:ascii="仿宋_GB2312" w:hAnsi="仿宋_GB2312" w:eastAsia="仿宋_GB2312"/>
          <w:kern w:val="0"/>
          <w:sz w:val="32"/>
        </w:rPr>
        <w:t>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3.公共安全支出（类）其他公共安全支出（款）其他公共安全支出（项）:支出决算数为0.00万元，比上年决算减少45.15万元，下降100.00%，主要原因是：本年此功能科目未支出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4.文化旅游体育与传媒支出（类）文化和旅游（款）机关服务（项）:支出决算数为0.00万元，比上年决算减少106.69万元，下降100.00%，主要原因是本年此功能科目未支出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5.文化旅游体育与传媒支出（类）文化和旅游（款）其他文化和旅游支出（项）:支出决算数为0.00万元，比上年决算增加减少1.31万元，下降100.00%，主要原因是：本年此功能科目未支出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6.社会保障和就业支出（类）人力资源和社会保障管理事务（款）机关服务（项）:支出决算数为0.00万元，比上年决算减少67.77万元，下降100.00%，主要原因是：本年此功能科目未支出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7.社会保障和就业支出（类）民政管理事务（款）基层政权建设和社区治理（项）:支出决算数为1,049.48万元，比上年决算减少177.48万元，下降14.47%，主要原因是：本年度实有人数减少，工资福利支出相对有所减少</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8.社会保障和就业支出（类）行政事业单位养老支出（款）机关事业单位基本养老保险缴费支出（项）:支出决算数为260.56万元，比上年决算增加99.79万元，增长62.07%，主要原因是：本年度实有人数减少，机关事业单位基本养老保险缴费支出相对有所减少</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9.社会保障和就业支出（类）其他生活救助（款）其他城市生活救助（项）:支出决算数为20.00万元，比上年决算增加20.00万元，增长100.00%，主要原因是：本年度新增困难群众疫情期间生活补助支出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10.卫生健康支出（类）公共卫生（款）其他专业公共卫生机构（项）:支出决算数为0.00万元，比上年决算减少22.39万元，下降100.00%，主要原因是：本年此功能科目未支出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11.卫生健康支出（类）计划生育事务（款）计划生育服务（项）:支出决算数为73.34万元，比上年决算增加73.34万元，增长100.00%，主要原因是：本年新增此款项用于列支工资福利支出及办公费、水费、邮电费</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12.城乡社区支出（类）城乡社区管理事务（款）其他城乡社区管理事务支出（项）:支出决算数为0.00万元，比上年决算减少10.00万元，下降100.00%，主要原因是：本年此功能科目未支出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13.城乡社区支出（类）城乡社区管理事务（款）其他城乡社区管理事务支出（项）:支出决算数为0.00万元，比上年决算减少50.00万元，下降100.00%，主要原因是：本年此功能科目未支出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14.农林水支出（类）农业农村（款）事业运行（项）:支出决算数为1,090.87万元，比上年决算增加284.33万元，增长35.25%，主要原因是：本年在职人员工资基数调整，比上年有所增加</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15.农林水支出（类）农业农村（款）对高校毕业生到基层任职补助（项）:支出决算数为1.04万元，比上年决算增加1.04万元，增长100.00%，主要原因是：本年新增高校毕业生到基层任职补助支出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16.农林水支出（类）农村综合改革（款）对村级公益事业建设的补助（项）:支出决算数为0.00万元，比上年决算减少125.22万元，下降100.00%，主要原因是：本年此功能科目未支出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sz w:val="32"/>
          <w:lang w:eastAsia="zh-CN"/>
        </w:rPr>
      </w:pPr>
      <w:r>
        <w:rPr>
          <w:rFonts w:hint="eastAsia" w:ascii="仿宋_GB2312" w:hAnsi="仿宋_GB2312" w:eastAsia="仿宋_GB2312"/>
          <w:kern w:val="0"/>
          <w:sz w:val="32"/>
        </w:rPr>
        <w:t>17.交通运输支出（类）邮政业支出（款）邮政普遍服务与特殊服务（项）:支出决算数为0.36万元，比上年决算增加0.36万元，增长100.00%，主要原因是：本年新增此款项列支了生活补助费用</w:t>
      </w:r>
      <w:r>
        <w:rPr>
          <w:rFonts w:hint="eastAsia" w:ascii="仿宋_GB2312" w:hAnsi="仿宋_GB2312" w:eastAsia="仿宋_GB2312"/>
          <w:kern w:val="0"/>
          <w:sz w:val="32"/>
          <w:lang w:eastAsia="zh-CN"/>
        </w:rPr>
        <w:t>；</w:t>
      </w:r>
    </w:p>
    <w:p>
      <w:pPr>
        <w:spacing w:line="600" w:lineRule="exact"/>
        <w:ind w:firstLine="640"/>
        <w:rPr>
          <w:rFonts w:eastAsia="Times New Roman"/>
          <w:sz w:val="32"/>
        </w:rPr>
      </w:pPr>
      <w:r>
        <w:rPr>
          <w:rFonts w:hint="eastAsia" w:ascii="仿宋_GB2312" w:hAnsi="仿宋_GB2312" w:eastAsia="仿宋_GB2312"/>
          <w:kern w:val="0"/>
          <w:sz w:val="32"/>
        </w:rPr>
        <w:t>18.交通运输支出（类）邮政业支出（款）其他邮政业支出（项）:支出决算数为0.00万元，比上年决算减少0.36万元，下降100.00%，主要原因是：本年此功能科目未支出。</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2022年度一般公共预算财政拨款基本支出6,876.01万元，其中：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4,769.16万元，包括：基本工资、津贴补贴、奖金、机关事业单位基本养老保险缴费、职工基本医疗保险缴费、公务员医疗补助缴费、其他社会保障缴费、住房公积金、其他工资福利支出、退休费、抚恤金、生活补助、救济费。</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2,106.85万元，包括：办公费、手续费、水费、电费、邮电费、取暖费、差旅费、维修（护）费、租赁费、劳务费、公务用车运行维护费、其他交通费用、税金及附加费用、其他商品和服务支出、办公设备购置。</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7.50万元，比上年减少7.50万元，下降50.00%，主要原因是：本年公务用车运行次数减少，燃油费、保险费、维修维护费有所减少。其中：因公出国（境）费支出0.00万元，占0.00%，比上年增加0.00万元，增长0.00%，主要原因是：本年单位无因公出国（境）费支出；公务用车购置及运行维护费支出7.50万元，占100.00%，比上年减少7.50万元，下降50.00%，主要原因是：本年公务用车运行次数减少，燃油费、保险费、维修维护费有所减少；公务接待费支出0.00万元，占0.00%，比上年增加0.00万元，增长0.00%，主要原因是：</w:t>
      </w:r>
      <w:bookmarkStart w:id="0" w:name="_Hlk110848701"/>
      <w:r>
        <w:rPr>
          <w:rFonts w:hint="eastAsia" w:ascii="仿宋_GB2312" w:eastAsia="仿宋_GB2312" w:cs="仿宋_GB2312"/>
          <w:kern w:val="0"/>
          <w:sz w:val="32"/>
          <w:szCs w:val="32"/>
        </w:rPr>
        <w:t>本年单位无此项支出</w:t>
      </w:r>
      <w:bookmarkEnd w:id="0"/>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7.50万元，其中：公务用车购置费0.00万元，公务用车运行维护费7.50万元。公务用车运行维护费开支内容包括公务用车燃油费、车辆维修维护费、保险费、过路费等。公务用车购置数0辆，公务用车保有量4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7.50万元，决算数7.50万元，预决算差异率0.00%，主要原因是：</w:t>
      </w:r>
      <w:bookmarkStart w:id="1" w:name="_Hlk110848692"/>
      <w:r>
        <w:rPr>
          <w:rFonts w:hint="eastAsia" w:ascii="仿宋_GB2312" w:eastAsia="仿宋_GB2312" w:cs="仿宋_GB2312"/>
          <w:kern w:val="0"/>
          <w:sz w:val="32"/>
          <w:szCs w:val="32"/>
        </w:rPr>
        <w:t>单位严格执行“三公”经费支出标准，未超预算</w:t>
      </w:r>
      <w:bookmarkEnd w:id="1"/>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；公务用车运行费全年预算数7.50万元，决算数7.50万元，预决算差异率0.00%，主要原因是：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乌鲁木齐市米东区古牧地镇人民政府单位机关运行经费支出2,106.83万元，比上年减少1,435.85万元，下降40.53%，主要原因是：本年我单位办公费、劳务费、公务用车运行维护费、其他交通费用支出有所减少；镇机关、各村、各社区及各便民警务站运行经费支出有所减少。</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2022年度政府采购支出总额18.11万元，其中：政府采购货物支出11.76万元、政府采购工程支出5.36万元、政府采购服务支出0.99万元。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授予中小企业合同金额18.11万元，占政府采购支出总额的100.00%，其中：授予小微企业合同金额18.11万元，占政府采购支出总额的100.00%。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9,410.72</w:t>
      </w:r>
      <w:r>
        <w:rPr>
          <w:rFonts w:hint="eastAsia" w:ascii="仿宋_GB2312" w:hAnsi="仿宋_GB2312" w:eastAsia="仿宋_GB2312"/>
          <w:sz w:val="32"/>
        </w:rPr>
        <w:t>万元，</w:t>
      </w:r>
      <w:r>
        <w:rPr>
          <w:rFonts w:hint="eastAsia" w:ascii="仿宋_GB2312" w:hAnsi="仿宋_GB2312" w:eastAsia="仿宋_GB2312"/>
          <w:kern w:val="0"/>
          <w:sz w:val="32"/>
        </w:rPr>
        <w:t>房屋13,386.11平方米，价值7,544.95万元。车辆21辆，价值451.12万元，其中：副部（省）级及以上领导用车0辆、主要领导干部用车4辆、机要通信用车0辆、应急保障用车0辆、执法执勤用车0辆、特种专业技术用车0辆、离退休干部用车0辆、其他用车17辆，其他用车主要是：为我单位巡逻车、水利抢修车、林业打药车、垃圾车及沼气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根据预算绩效管理要求，我单位2022年度开展预算绩效评价项目1个，</w:t>
      </w:r>
      <w:r>
        <w:rPr>
          <w:rFonts w:hint="eastAsia" w:ascii="仿宋_GB2312" w:hAnsi="仿宋_GB2312" w:eastAsia="仿宋_GB2312"/>
          <w:sz w:val="32"/>
        </w:rPr>
        <w:t>全年预算数</w:t>
      </w:r>
      <w:r>
        <w:rPr>
          <w:rFonts w:hint="eastAsia" w:ascii="仿宋_GB2312" w:hAnsi="仿宋_GB2312" w:eastAsia="仿宋_GB2312"/>
          <w:kern w:val="0"/>
          <w:sz w:val="32"/>
        </w:rPr>
        <w:t>20</w:t>
      </w:r>
      <w:r>
        <w:rPr>
          <w:rFonts w:hint="eastAsia" w:ascii="仿宋_GB2312" w:hAnsi="仿宋_GB2312" w:eastAsia="仿宋_GB2312"/>
          <w:kern w:val="0"/>
          <w:sz w:val="32"/>
          <w:lang w:val="en-US" w:eastAsia="zh-CN"/>
        </w:rPr>
        <w:t>.00</w:t>
      </w:r>
      <w:r>
        <w:rPr>
          <w:rFonts w:hint="eastAsia" w:ascii="仿宋_GB2312" w:hAnsi="仿宋_GB2312" w:eastAsia="仿宋_GB2312"/>
          <w:sz w:val="32"/>
        </w:rPr>
        <w:t>万元，全年执行数</w:t>
      </w:r>
      <w:r>
        <w:rPr>
          <w:rFonts w:hint="eastAsia" w:ascii="仿宋_GB2312" w:hAnsi="仿宋_GB2312" w:eastAsia="仿宋_GB2312"/>
          <w:kern w:val="0"/>
          <w:sz w:val="32"/>
        </w:rPr>
        <w:t>20</w:t>
      </w:r>
      <w:r>
        <w:rPr>
          <w:rFonts w:hint="eastAsia" w:ascii="仿宋_GB2312" w:hAnsi="仿宋_GB2312" w:eastAsia="仿宋_GB2312"/>
          <w:kern w:val="0"/>
          <w:sz w:val="32"/>
          <w:lang w:val="en-US" w:eastAsia="zh-CN"/>
        </w:rPr>
        <w:t>.00</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w:t>
      </w:r>
      <w:r>
        <w:rPr>
          <w:rFonts w:ascii="仿宋_GB2312" w:hAnsi="仿宋_GB2312" w:eastAsia="仿宋_GB2312"/>
          <w:kern w:val="0"/>
          <w:sz w:val="32"/>
        </w:rPr>
        <w:t>2022</w:t>
      </w:r>
      <w:r>
        <w:rPr>
          <w:rFonts w:hint="eastAsia" w:ascii="仿宋_GB2312" w:hAnsi="仿宋_GB2312" w:eastAsia="仿宋_GB2312"/>
          <w:kern w:val="0"/>
          <w:sz w:val="32"/>
        </w:rPr>
        <w:t>年疫情期间，此项救助金提升疫情期间困难群众生活水平；二是此项救助金的及时发放，推动疫情防控工作正常开展。发现的问题及原因：</w:t>
      </w:r>
      <w:r>
        <w:rPr>
          <w:rFonts w:hint="eastAsia" w:ascii="仿宋_GB2312" w:eastAsia="仿宋_GB2312" w:cs="仿宋_GB2312"/>
          <w:kern w:val="0"/>
          <w:sz w:val="32"/>
          <w:szCs w:val="32"/>
        </w:rPr>
        <w:t>一是</w:t>
      </w:r>
      <w:r>
        <w:rPr>
          <w:rFonts w:hint="eastAsia" w:ascii="仿宋_GB2312" w:hAnsi="仿宋_GB2312" w:eastAsia="仿宋_GB2312" w:cs="仿宋_GB2312"/>
          <w:sz w:val="32"/>
          <w:szCs w:val="32"/>
        </w:rPr>
        <w:t>对个别项目资金使用方面预算不够细致</w:t>
      </w:r>
      <w:r>
        <w:rPr>
          <w:rFonts w:hint="eastAsia" w:ascii="仿宋_GB2312" w:eastAsia="仿宋_GB2312" w:cs="仿宋_GB2312"/>
          <w:kern w:val="0"/>
          <w:sz w:val="32"/>
          <w:szCs w:val="32"/>
        </w:rPr>
        <w:t>；二是</w:t>
      </w:r>
      <w:r>
        <w:rPr>
          <w:rFonts w:hint="eastAsia" w:ascii="仿宋_GB2312" w:hAnsi="仿宋_GB2312" w:eastAsia="仿宋_GB2312" w:cs="仿宋_GB2312"/>
          <w:sz w:val="32"/>
          <w:szCs w:val="32"/>
        </w:rPr>
        <w:t>预算绩效管理水平仍有欠缺。在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r>
        <w:rPr>
          <w:rFonts w:hint="eastAsia" w:ascii="仿宋_GB2312" w:hAnsi="仿宋_GB2312" w:eastAsia="仿宋_GB2312"/>
          <w:kern w:val="0"/>
          <w:sz w:val="32"/>
        </w:rPr>
        <w:t>。下一步改进措施：</w:t>
      </w:r>
      <w:r>
        <w:rPr>
          <w:rFonts w:hint="eastAsia" w:ascii="仿宋_GB2312" w:eastAsia="仿宋_GB2312" w:cs="仿宋_GB2312"/>
          <w:kern w:val="0"/>
          <w:sz w:val="32"/>
          <w:szCs w:val="32"/>
        </w:rPr>
        <w:t>一是</w:t>
      </w:r>
      <w:r>
        <w:rPr>
          <w:rFonts w:hint="eastAsia" w:ascii="仿宋" w:hAnsi="仿宋" w:eastAsia="仿宋" w:cs="仿宋_GB2312"/>
          <w:sz w:val="32"/>
          <w:szCs w:val="32"/>
        </w:rPr>
        <w:t>进一步加强对绩效管理工作的组织领导，提高对预算绩效管理工作重要性的认识，总结经验查找问题，抓紧研究制定更全面更完善的绩效评价管理办法</w:t>
      </w:r>
      <w:r>
        <w:rPr>
          <w:rFonts w:hint="eastAsia" w:ascii="仿宋_GB2312" w:eastAsia="仿宋_GB2312" w:cs="仿宋_GB2312"/>
          <w:kern w:val="0"/>
          <w:sz w:val="32"/>
          <w:szCs w:val="32"/>
        </w:rPr>
        <w:t>；二是</w:t>
      </w:r>
      <w:r>
        <w:rPr>
          <w:rFonts w:hint="eastAsia" w:ascii="仿宋" w:hAnsi="仿宋" w:eastAsia="仿宋" w:cs="仿宋_GB2312"/>
          <w:sz w:val="32"/>
          <w:szCs w:val="32"/>
        </w:rPr>
        <w:t>考核建立绩效工作考核制度，加大对全面实施预算绩效管理和绩效管理工作的学习力度，让“花钱必问效，无效必问责”的理念深入工作每个环节</w:t>
      </w:r>
      <w:r>
        <w:rPr>
          <w:rFonts w:hint="eastAsia" w:ascii="仿宋_GB2312" w:eastAsia="仿宋_GB2312" w:cs="仿宋_GB2312"/>
          <w:kern w:val="0"/>
          <w:sz w:val="32"/>
          <w:szCs w:val="32"/>
        </w:rPr>
        <w:t>。</w:t>
      </w:r>
      <w:r>
        <w:rPr>
          <w:rFonts w:hint="eastAsia" w:ascii="仿宋_GB2312" w:hAnsi="仿宋_GB2312" w:eastAsia="仿宋_GB2312"/>
          <w:kern w:val="0"/>
          <w:sz w:val="32"/>
        </w:rPr>
        <w:t>具体项目自评情况附项目支出绩效自评表。</w:t>
      </w:r>
    </w:p>
    <w:tbl>
      <w:tblPr>
        <w:tblStyle w:val="4"/>
        <w:tblW w:w="5000" w:type="pct"/>
        <w:tblInd w:w="0" w:type="dxa"/>
        <w:tblLayout w:type="autofit"/>
        <w:tblCellMar>
          <w:top w:w="0" w:type="dxa"/>
          <w:left w:w="108" w:type="dxa"/>
          <w:bottom w:w="0" w:type="dxa"/>
          <w:right w:w="108" w:type="dxa"/>
        </w:tblCellMar>
      </w:tblPr>
      <w:tblGrid>
        <w:gridCol w:w="697"/>
        <w:gridCol w:w="700"/>
        <w:gridCol w:w="698"/>
        <w:gridCol w:w="875"/>
        <w:gridCol w:w="937"/>
        <w:gridCol w:w="564"/>
        <w:gridCol w:w="756"/>
        <w:gridCol w:w="857"/>
        <w:gridCol w:w="140"/>
        <w:gridCol w:w="485"/>
        <w:gridCol w:w="563"/>
        <w:gridCol w:w="399"/>
        <w:gridCol w:w="453"/>
        <w:gridCol w:w="732"/>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10"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2022年受疫情影响生活困难人员救助金（第三批）</w:t>
            </w:r>
          </w:p>
        </w:tc>
      </w:tr>
      <w:tr>
        <w:tblPrEx>
          <w:tblCellMar>
            <w:top w:w="0" w:type="dxa"/>
            <w:left w:w="108" w:type="dxa"/>
            <w:bottom w:w="0" w:type="dxa"/>
            <w:right w:w="108" w:type="dxa"/>
          </w:tblCellMar>
        </w:tblPrEx>
        <w:trPr>
          <w:trHeight w:val="396" w:hRule="atLeast"/>
        </w:trPr>
        <w:tc>
          <w:tcPr>
            <w:tcW w:w="7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16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米东区古牧地镇政府</w:t>
            </w:r>
          </w:p>
        </w:tc>
        <w:tc>
          <w:tcPr>
            <w:tcW w:w="5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8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米东区古牧地镇政府</w:t>
            </w:r>
          </w:p>
        </w:tc>
      </w:tr>
      <w:tr>
        <w:tblPrEx>
          <w:tblCellMar>
            <w:top w:w="0" w:type="dxa"/>
            <w:left w:w="108" w:type="dxa"/>
            <w:bottom w:w="0" w:type="dxa"/>
            <w:right w:w="108" w:type="dxa"/>
          </w:tblCellMar>
        </w:tblPrEx>
        <w:trPr>
          <w:trHeight w:val="396" w:hRule="atLeast"/>
        </w:trPr>
        <w:tc>
          <w:tcPr>
            <w:tcW w:w="78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4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4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5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7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4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20.00</w:t>
            </w:r>
          </w:p>
        </w:tc>
        <w:tc>
          <w:tcPr>
            <w:tcW w:w="5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20.00</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8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557"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4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557"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本项目资金主要用于为 666名受疫情影响人员发放补助，本项目的实施可有效解决受疫情影响人员的实际困难，推动疫情防控工作正常开展。</w:t>
            </w:r>
          </w:p>
        </w:tc>
        <w:tc>
          <w:tcPr>
            <w:tcW w:w="204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我镇有2个社区，2个社区筹备组，12个村委会，共计666人发放困难救助金20万元，其中665人每人救助金300元，1人救助金500元。</w:t>
            </w:r>
          </w:p>
        </w:tc>
      </w:tr>
      <w:tr>
        <w:tblPrEx>
          <w:tblCellMar>
            <w:top w:w="0" w:type="dxa"/>
            <w:left w:w="108" w:type="dxa"/>
            <w:bottom w:w="0" w:type="dxa"/>
            <w:right w:w="108" w:type="dxa"/>
          </w:tblCellMar>
        </w:tblPrEx>
        <w:trPr>
          <w:trHeight w:val="396" w:hRule="atLeast"/>
        </w:trPr>
        <w:tc>
          <w:tcPr>
            <w:tcW w:w="3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341"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2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8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5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4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6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41"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发放补助人数</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=666人</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666个</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补助覆盖率</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97%</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补助资金发放及时率</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&gt;=100%</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补助资金标准</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=300元</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300元</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提升困难群众生活水平情况</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有所提升</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推动疫情防控工作正常开展</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长期推动</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41"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受补助人员满意度</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35"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bookmarkStart w:id="2" w:name="_GoBack"/>
      <w:bookmarkEnd w:id="2"/>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line="360" w:lineRule="auto"/>
        <w:ind w:firstLine="640"/>
        <w:rPr>
          <w:rFonts w:eastAsia="Times New Roman"/>
          <w:kern w:val="0"/>
          <w:sz w:val="32"/>
        </w:rPr>
      </w:pPr>
    </w:p>
    <w:p>
      <w:pPr>
        <w:shd w:val="clear" w:color="auto" w:fill="FFFFFF"/>
        <w:spacing w:before="100" w:after="240"/>
        <w:jc w:val="center"/>
        <w:rPr>
          <w:rFonts w:eastAsia="Times New Roman"/>
          <w:kern w:val="0"/>
          <w:sz w:val="32"/>
        </w:rPr>
      </w:pPr>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81177"/>
    <w:rsid w:val="001E17EE"/>
    <w:rsid w:val="00285BD0"/>
    <w:rsid w:val="002A06EF"/>
    <w:rsid w:val="00396476"/>
    <w:rsid w:val="00443966"/>
    <w:rsid w:val="00483117"/>
    <w:rsid w:val="006F182B"/>
    <w:rsid w:val="00862FCB"/>
    <w:rsid w:val="008913F9"/>
    <w:rsid w:val="00902C95"/>
    <w:rsid w:val="00C1232A"/>
    <w:rsid w:val="00C22CFD"/>
    <w:rsid w:val="00D84BF2"/>
    <w:rsid w:val="00E30CBC"/>
    <w:rsid w:val="00EE4EA3"/>
    <w:rsid w:val="00FA7927"/>
    <w:rsid w:val="5A8B7523"/>
    <w:rsid w:val="5E7964A2"/>
    <w:rsid w:val="5F833D84"/>
    <w:rsid w:val="7F6065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uiPriority w:val="99"/>
    <w:rPr>
      <w:rFonts w:hint="default"/>
      <w:kern w:val="2"/>
      <w:sz w:val="18"/>
      <w:szCs w:val="18"/>
    </w:rPr>
  </w:style>
  <w:style w:type="character" w:customStyle="1" w:styleId="7">
    <w:name w:val="页脚 字符"/>
    <w:link w:val="2"/>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7755</Words>
  <Characters>8778</Characters>
  <Lines>64</Lines>
  <Paragraphs>18</Paragraphs>
  <TotalTime>13</TotalTime>
  <ScaleCrop>false</ScaleCrop>
  <LinksUpToDate>false</LinksUpToDate>
  <CharactersWithSpaces>8790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2023-08-21T03:58:00Z</dcterms:created>
  <dc:creator>Administrator</dc:creator>
  <cp:lastModifiedBy>逐梦令</cp:lastModifiedBy>
  <dcterms:modified xsi:type="dcterms:W3CDTF">2023-09-01T11:55:40Z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7A801598CDE04E719A8807E77B3B6BCE_13</vt:lpwstr>
  </property>
</Properties>
</file>