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乌鲁木齐市米东区地磅片区管理委员会</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一、主要职能</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1、宣传贯彻党的路线、方针、政策，执行法律、法规、规章和上级政府的决定、命令、指示。了解掌握社会动态，提出社会发展规划，保证国家法律、政策的落实。</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2、抓好基层党组织建设，充分发挥党组织的战斗堡垒作用和党员的先锋模范作用，实施党对本行政区域社会发展和经济活动的领导、决策，促进党风廉政建设；组织开展思想政治教育；负责辖区的精神文明建设，提高全民素质。</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3、制定管委会经济发展规划，管理管委会经济工作，组织、督促管委会经济组织的生产、经营和发展；协助开展税收征管工作；向辖区内的机关、团体、企、事业单位布置有关城市管理、方便群众生活等区域性、社会性、群众性的工作，并进行协商，指导督促、检查和考核。</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4、组织实施社会治安综合治理规划，开展依法治街、法制教育、人民调解、维护辖区社会稳定。</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5、负责基层政权组织建设，对社区实施的各项工作进行督促、检查、指导；开展拥军优属，做好国防教育、民兵预备役和兵役、“双拥”工作；兴办社会福利事业，做好社会救济和其他社会保障工作；配合做好抢险救灾工作；开展便民、利民的社区服务，帮助待业人员和再就业人员安置工作。</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6、负责辖区市容环境卫生、绿化、美化环境、殡葬、综合整治等城市管理工作。</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7、开展计生、卫生保健、群众文化、科普、体育等各项工作。</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8、做好民族宗教、统战工作。</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9、保护老年人、未成年人、妇女、儿童、残疾人和归侨、侨眷及少数民族的合法权益。</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10、向区政府反映居民的意见和要求，处理群众来信、来访工作。</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11、负责辖区内人大代表的组织联络工作。</w:t>
      </w:r>
    </w:p>
    <w:p>
      <w:pPr>
        <w:shd w:val="clear" w:color="auto" w:fill="FFFFFF"/>
        <w:spacing w:line="360" w:lineRule="auto"/>
        <w:ind w:firstLine="640"/>
        <w:rPr>
          <w:rFonts w:hint="default" w:ascii="仿宋_GB2312" w:hAnsi="仿宋_GB2312" w:eastAsia="仿宋_GB2312" w:cs="Times New Roman"/>
          <w:kern w:val="0"/>
          <w:sz w:val="32"/>
          <w:szCs w:val="24"/>
          <w:lang w:val="zh-CN"/>
        </w:rPr>
      </w:pPr>
      <w:r>
        <w:rPr>
          <w:rFonts w:hint="default" w:ascii="仿宋_GB2312" w:hAnsi="仿宋_GB2312" w:eastAsia="仿宋_GB2312" w:cs="Times New Roman"/>
          <w:kern w:val="0"/>
          <w:sz w:val="32"/>
          <w:szCs w:val="24"/>
          <w:lang w:val="zh-CN"/>
        </w:rPr>
        <w:t>12、承办区委、区人民政府交办的其他工作任务。</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乌鲁木齐市米东区地磅片区管理委员会2022年度，实有人数114人，其中：在职人员102人，离休人员0人，退休人员12人。</w:t>
      </w:r>
    </w:p>
    <w:p>
      <w:pPr>
        <w:shd w:val="clear" w:color="auto" w:fill="FFFFFF"/>
        <w:spacing w:line="360" w:lineRule="auto"/>
        <w:ind w:firstLine="640"/>
        <w:rPr>
          <w:rFonts w:hint="default" w:eastAsia="Times New Roman"/>
          <w:kern w:val="0"/>
          <w:sz w:val="24"/>
          <w:szCs w:val="24"/>
          <w:highlight w:val="none"/>
          <w:lang w:val="ar-SA"/>
        </w:rPr>
      </w:pPr>
      <w:r>
        <w:rPr>
          <w:rFonts w:hint="eastAsia" w:ascii="仿宋_GB2312" w:hAnsi="仿宋_GB2312" w:eastAsia="仿宋_GB2312"/>
          <w:kern w:val="0"/>
          <w:sz w:val="32"/>
          <w:szCs w:val="24"/>
          <w:lang w:val="en-US"/>
        </w:rPr>
        <w:t>从部门决算单位构成看，乌鲁木齐市米东区地磅片区管理委员会部门决算包括：乌鲁木齐市米东区地磅片区管理委员会</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highlight w:val="none"/>
          <w:lang w:val="en-US" w:eastAsia="zh-CN"/>
        </w:rPr>
        <w:t>8</w:t>
      </w:r>
      <w:r>
        <w:rPr>
          <w:rFonts w:hint="eastAsia" w:ascii="仿宋_GB2312" w:hAnsi="仿宋_GB2312" w:eastAsia="仿宋_GB2312"/>
          <w:kern w:val="0"/>
          <w:sz w:val="32"/>
          <w:szCs w:val="24"/>
          <w:highlight w:val="none"/>
          <w:lang w:val="zh-CN"/>
        </w:rPr>
        <w:t>个科室，分别是：</w:t>
      </w:r>
      <w:r>
        <w:rPr>
          <w:rFonts w:hint="eastAsia" w:ascii="仿宋_GB2312" w:hAnsi="仿宋_GB2312" w:eastAsia="仿宋_GB2312"/>
          <w:kern w:val="0"/>
          <w:sz w:val="32"/>
          <w:szCs w:val="24"/>
          <w:highlight w:val="none"/>
          <w:lang w:val="en-US"/>
        </w:rPr>
        <w:t>党建办公室、综合协调办公室、党群服务中心、社会事务（统计）服务中心、公共卫生服务指导中心、综治中心、企业服务管理中心、综合行政执法队</w:t>
      </w:r>
      <w:r>
        <w:rPr>
          <w:rFonts w:hint="eastAsia" w:ascii="仿宋_GB2312" w:hAnsi="仿宋_GB2312" w:eastAsia="仿宋_GB2312"/>
          <w:kern w:val="0"/>
          <w:sz w:val="32"/>
          <w:szCs w:val="24"/>
          <w:highlight w:val="none"/>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4,245.36万元，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4,160.08</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85.28</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与上年相比，增加71.92万元，增长1.72%，</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w:t>
      </w:r>
      <w:r>
        <w:rPr>
          <w:rFonts w:hint="eastAsia" w:ascii="仿宋_GB2312" w:hAnsi="仿宋_GB2312" w:eastAsia="仿宋_GB2312"/>
          <w:kern w:val="0"/>
          <w:sz w:val="32"/>
          <w:szCs w:val="24"/>
          <w:highlight w:val="none"/>
          <w:lang w:val="en-US"/>
        </w:rPr>
        <w:t>受疫情影响</w:t>
      </w:r>
      <w:r>
        <w:rPr>
          <w:rFonts w:hint="eastAsia" w:ascii="仿宋_GB2312" w:hAnsi="仿宋_GB2312" w:eastAsia="仿宋_GB2312"/>
          <w:kern w:val="0"/>
          <w:sz w:val="32"/>
          <w:szCs w:val="24"/>
          <w:highlight w:val="none"/>
          <w:lang w:val="en-US" w:eastAsia="zh-CN"/>
        </w:rPr>
        <w:t>增加</w:t>
      </w:r>
      <w:r>
        <w:rPr>
          <w:rFonts w:hint="eastAsia" w:ascii="仿宋_GB2312" w:hAnsi="仿宋_GB2312" w:eastAsia="仿宋_GB2312"/>
          <w:kern w:val="0"/>
          <w:sz w:val="32"/>
          <w:szCs w:val="24"/>
          <w:highlight w:val="none"/>
          <w:lang w:val="en-US"/>
        </w:rPr>
        <w:t>生活困难人员救助金（第三批）项目资金、地磅外地人员救助项目资金</w:t>
      </w:r>
      <w:r>
        <w:rPr>
          <w:rFonts w:hint="eastAsia" w:ascii="仿宋_GB2312" w:hAnsi="仿宋_GB2312" w:eastAsia="仿宋_GB2312"/>
          <w:kern w:val="0"/>
          <w:sz w:val="32"/>
          <w:szCs w:val="24"/>
          <w:highlight w:val="none"/>
          <w:lang w:val="en-US" w:eastAsia="zh-CN"/>
        </w:rPr>
        <w:t>，相应收入增加</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sz w:val="32"/>
          <w:szCs w:val="24"/>
          <w:highlight w:val="none"/>
          <w:lang w:val="en-US"/>
        </w:rPr>
        <w:t>本年支出总计</w:t>
      </w:r>
      <w:r>
        <w:rPr>
          <w:rFonts w:hint="eastAsia" w:ascii="仿宋_GB2312" w:hAnsi="仿宋_GB2312" w:eastAsia="仿宋_GB2312"/>
          <w:kern w:val="0"/>
          <w:sz w:val="32"/>
          <w:szCs w:val="24"/>
          <w:highlight w:val="none"/>
          <w:lang w:val="en-US"/>
        </w:rPr>
        <w:t>4,245.36万元，</w:t>
      </w:r>
      <w:r>
        <w:rPr>
          <w:rFonts w:hint="eastAsia" w:ascii="仿宋_GB2312" w:hAnsi="仿宋_GB2312" w:eastAsia="仿宋_GB2312"/>
          <w:sz w:val="32"/>
          <w:szCs w:val="24"/>
          <w:highlight w:val="none"/>
          <w:lang w:val="en-US"/>
        </w:rPr>
        <w:t>其中：本年支出合计</w:t>
      </w:r>
      <w:r>
        <w:rPr>
          <w:rFonts w:hint="eastAsia" w:ascii="仿宋_GB2312" w:hAnsi="仿宋_GB2312" w:eastAsia="仿宋_GB2312"/>
          <w:kern w:val="0"/>
          <w:sz w:val="32"/>
          <w:szCs w:val="24"/>
          <w:highlight w:val="none"/>
          <w:lang w:val="en-US"/>
        </w:rPr>
        <w:t>3,942.02</w:t>
      </w:r>
      <w:r>
        <w:rPr>
          <w:rFonts w:hint="eastAsia" w:ascii="仿宋_GB2312" w:hAnsi="仿宋_GB2312" w:eastAsia="仿宋_GB2312"/>
          <w:sz w:val="32"/>
          <w:szCs w:val="24"/>
          <w:highlight w:val="none"/>
          <w:lang w:val="en-US"/>
        </w:rPr>
        <w:t>万元，结余分配</w:t>
      </w:r>
      <w:r>
        <w:rPr>
          <w:rFonts w:hint="eastAsia" w:ascii="仿宋_GB2312" w:hAnsi="仿宋_GB2312" w:eastAsia="仿宋_GB2312"/>
          <w:kern w:val="0"/>
          <w:sz w:val="32"/>
          <w:szCs w:val="24"/>
          <w:highlight w:val="none"/>
          <w:lang w:val="en-US"/>
        </w:rPr>
        <w:t>0.00</w:t>
      </w:r>
      <w:r>
        <w:rPr>
          <w:rFonts w:hint="eastAsia" w:ascii="仿宋_GB2312" w:hAnsi="仿宋_GB2312" w:eastAsia="仿宋_GB2312"/>
          <w:sz w:val="32"/>
          <w:szCs w:val="24"/>
          <w:highlight w:val="none"/>
          <w:lang w:val="en-US"/>
        </w:rPr>
        <w:t>万元，年末结转和结余</w:t>
      </w:r>
      <w:r>
        <w:rPr>
          <w:rFonts w:hint="eastAsia" w:ascii="仿宋_GB2312" w:hAnsi="仿宋_GB2312" w:eastAsia="仿宋_GB2312"/>
          <w:kern w:val="0"/>
          <w:sz w:val="32"/>
          <w:szCs w:val="24"/>
          <w:highlight w:val="none"/>
          <w:lang w:val="en-US"/>
        </w:rPr>
        <w:t>303.34</w:t>
      </w:r>
      <w:r>
        <w:rPr>
          <w:rFonts w:hint="eastAsia" w:ascii="仿宋_GB2312" w:hAnsi="仿宋_GB2312" w:eastAsia="仿宋_GB2312"/>
          <w:sz w:val="32"/>
          <w:szCs w:val="24"/>
          <w:highlight w:val="none"/>
          <w:lang w:val="en-US"/>
        </w:rPr>
        <w:t>万元。支出总计</w:t>
      </w:r>
      <w:r>
        <w:rPr>
          <w:rFonts w:hint="eastAsia" w:ascii="仿宋_GB2312" w:hAnsi="仿宋_GB2312" w:eastAsia="仿宋_GB2312"/>
          <w:kern w:val="0"/>
          <w:sz w:val="32"/>
          <w:szCs w:val="24"/>
          <w:highlight w:val="none"/>
          <w:lang w:val="en-US"/>
        </w:rPr>
        <w:t>与上年相比，增加71.92万元，增长1.72%，主要原因是：</w:t>
      </w:r>
      <w:r>
        <w:rPr>
          <w:rFonts w:hint="eastAsia" w:ascii="仿宋_GB2312" w:hAnsi="仿宋_GB2312" w:eastAsia="仿宋_GB2312"/>
          <w:kern w:val="0"/>
          <w:sz w:val="32"/>
          <w:szCs w:val="24"/>
          <w:highlight w:val="none"/>
          <w:lang w:val="en-US" w:eastAsia="zh-CN"/>
        </w:rPr>
        <w:t>本年</w:t>
      </w:r>
      <w:r>
        <w:rPr>
          <w:rFonts w:hint="eastAsia" w:ascii="仿宋_GB2312" w:hAnsi="仿宋_GB2312" w:eastAsia="仿宋_GB2312"/>
          <w:kern w:val="0"/>
          <w:sz w:val="32"/>
          <w:szCs w:val="24"/>
          <w:highlight w:val="none"/>
          <w:lang w:val="en-US"/>
        </w:rPr>
        <w:t>受疫情影响</w:t>
      </w:r>
      <w:r>
        <w:rPr>
          <w:rFonts w:hint="eastAsia" w:ascii="仿宋_GB2312" w:hAnsi="仿宋_GB2312" w:eastAsia="仿宋_GB2312"/>
          <w:kern w:val="0"/>
          <w:sz w:val="32"/>
          <w:szCs w:val="24"/>
          <w:highlight w:val="none"/>
          <w:lang w:val="en-US" w:eastAsia="zh-CN"/>
        </w:rPr>
        <w:t>增加</w:t>
      </w:r>
      <w:r>
        <w:rPr>
          <w:rFonts w:hint="eastAsia" w:ascii="仿宋_GB2312" w:hAnsi="仿宋_GB2312" w:eastAsia="仿宋_GB2312"/>
          <w:kern w:val="0"/>
          <w:sz w:val="32"/>
          <w:szCs w:val="24"/>
          <w:highlight w:val="none"/>
          <w:lang w:val="en-US"/>
        </w:rPr>
        <w:t>生活困难人员救助金（第三批）项目资金、地磅外地人员救助项目资金</w:t>
      </w:r>
      <w:r>
        <w:rPr>
          <w:rFonts w:hint="eastAsia" w:ascii="仿宋_GB2312" w:hAnsi="仿宋_GB2312" w:eastAsia="仿宋_GB2312"/>
          <w:kern w:val="0"/>
          <w:sz w:val="32"/>
          <w:szCs w:val="24"/>
          <w:highlight w:val="none"/>
          <w:lang w:val="en-US" w:eastAsia="zh-CN"/>
        </w:rPr>
        <w:t>，相应支出增加</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4,160.08万元，其中：财政拨款收入3,930.43万元，占94.48%；上级补助收入0.00万元，占0.00%；事业收入0.00万元，占0.00%；经营收入0.00万元，占0.00%；附属单位上缴收入0.00万元，占0.00%；其他收入229.65万元，占5.52%。</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2022年度本年支出3,942.02万元，其中：基本支出3,932.03万元，占99.75%；项目支出9.99万元，占0.25%；上缴上级支出0.00万元，占0.00%；经营支出0.00万元，占0.00%；对附属单位补助支出0.00万元，占0.00%。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3,983.60万元，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53.17</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3,930.43</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与上年相比，减少56.73万元，下降1.40%，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sz w:val="32"/>
          <w:szCs w:val="24"/>
          <w:highlight w:val="none"/>
          <w:lang w:val="en-US" w:eastAsia="zh-CN"/>
        </w:rPr>
        <w:t>2022年疫情影响管委会及7个社区运行经费减少，收入减少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财政拨款支出</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3,983.60万元，</w:t>
      </w:r>
      <w:r>
        <w:rPr>
          <w:rFonts w:hint="eastAsia" w:ascii="仿宋_GB2312" w:hAnsi="仿宋_GB2312" w:eastAsia="仿宋_GB2312"/>
          <w:sz w:val="32"/>
          <w:szCs w:val="24"/>
          <w:highlight w:val="none"/>
          <w:lang w:val="en-US"/>
        </w:rPr>
        <w:t>其中：年末财政拨款结转和结余</w:t>
      </w:r>
      <w:r>
        <w:rPr>
          <w:rFonts w:hint="eastAsia" w:ascii="仿宋_GB2312" w:hAnsi="仿宋_GB2312" w:eastAsia="仿宋_GB2312"/>
          <w:kern w:val="0"/>
          <w:sz w:val="32"/>
          <w:szCs w:val="24"/>
          <w:highlight w:val="none"/>
          <w:lang w:val="en-US"/>
        </w:rPr>
        <w:t>178.51</w:t>
      </w:r>
      <w:r>
        <w:rPr>
          <w:rFonts w:hint="eastAsia" w:ascii="仿宋_GB2312" w:hAnsi="仿宋_GB2312" w:eastAsia="仿宋_GB2312"/>
          <w:sz w:val="32"/>
          <w:szCs w:val="24"/>
          <w:highlight w:val="none"/>
          <w:lang w:val="en-US"/>
        </w:rPr>
        <w:t>万元，财政拨款本年支出</w:t>
      </w:r>
      <w:r>
        <w:rPr>
          <w:rFonts w:hint="eastAsia" w:ascii="仿宋_GB2312" w:hAnsi="仿宋_GB2312" w:eastAsia="仿宋_GB2312"/>
          <w:kern w:val="0"/>
          <w:sz w:val="32"/>
          <w:szCs w:val="24"/>
          <w:highlight w:val="none"/>
          <w:lang w:val="en-US"/>
        </w:rPr>
        <w:t>3,805.09</w:t>
      </w:r>
      <w:r>
        <w:rPr>
          <w:rFonts w:hint="eastAsia" w:ascii="仿宋_GB2312" w:hAnsi="仿宋_GB2312" w:eastAsia="仿宋_GB2312"/>
          <w:sz w:val="32"/>
          <w:szCs w:val="24"/>
          <w:highlight w:val="none"/>
          <w:lang w:val="en-US"/>
        </w:rPr>
        <w:t>万元。财政拨款支出总计</w:t>
      </w:r>
      <w:r>
        <w:rPr>
          <w:rFonts w:hint="eastAsia" w:ascii="仿宋_GB2312" w:hAnsi="仿宋_GB2312" w:eastAsia="仿宋_GB2312"/>
          <w:kern w:val="0"/>
          <w:sz w:val="32"/>
          <w:szCs w:val="24"/>
          <w:highlight w:val="none"/>
          <w:lang w:val="en-US"/>
        </w:rPr>
        <w:t>与上年相比，减少56.73万元，下降1.40%，主要原因是：</w:t>
      </w:r>
      <w:r>
        <w:rPr>
          <w:rFonts w:hint="eastAsia" w:ascii="仿宋_GB2312" w:hAnsi="仿宋_GB2312" w:eastAsia="仿宋_GB2312"/>
          <w:sz w:val="32"/>
          <w:szCs w:val="24"/>
          <w:highlight w:val="none"/>
          <w:lang w:val="en-US" w:eastAsia="zh-CN"/>
        </w:rPr>
        <w:t>2022年疫情影响管委会及7个社区运行经费减少，办公费、伙食费支出减少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年初预算数4,722.17万元，决算数3,983.60万元，预决算差异率-15.64%，</w:t>
      </w:r>
      <w:r>
        <w:rPr>
          <w:rFonts w:hint="eastAsia" w:ascii="仿宋_GB2312" w:hAnsi="仿宋_GB2312" w:eastAsia="仿宋_GB2312"/>
          <w:kern w:val="0"/>
          <w:sz w:val="32"/>
          <w:szCs w:val="24"/>
          <w:highlight w:val="none"/>
          <w:lang w:val="en-US"/>
        </w:rPr>
        <w:t>主要原因是：本年年中调减社区运转经费、便民站经费及管委会运转经费，</w:t>
      </w:r>
      <w:r>
        <w:rPr>
          <w:rFonts w:hint="eastAsia" w:ascii="仿宋_GB2312" w:hAnsi="仿宋_GB2312" w:eastAsia="仿宋_GB2312"/>
          <w:sz w:val="32"/>
        </w:rPr>
        <w:t>导致本年预决算存在差异</w:t>
      </w:r>
      <w:r>
        <w:rPr>
          <w:rFonts w:hint="eastAsia" w:ascii="仿宋_GB2312" w:hAnsi="仿宋_GB2312" w:eastAsia="仿宋_GB2312"/>
          <w:kern w:val="0"/>
          <w:sz w:val="32"/>
          <w:szCs w:val="24"/>
          <w:highlight w:val="none"/>
          <w:lang w:val="en-US"/>
        </w:rPr>
        <w:t>。财政拨款支出</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年初预算数4,722.17万元，决算数3,983.60万元，预决算差异率-15.64%，主要原因是：本年年中调减社区运转经费、便民站经费及管委会运转经费，</w:t>
      </w:r>
      <w:r>
        <w:rPr>
          <w:rFonts w:hint="eastAsia" w:ascii="仿宋_GB2312" w:hAnsi="仿宋_GB2312" w:eastAsia="仿宋_GB2312"/>
          <w:kern w:val="0"/>
          <w:sz w:val="32"/>
          <w:szCs w:val="24"/>
          <w:highlight w:val="none"/>
          <w:lang w:val="en-US" w:eastAsia="zh-CN"/>
        </w:rPr>
        <w:t>支出减少，</w:t>
      </w:r>
      <w:r>
        <w:rPr>
          <w:rFonts w:hint="eastAsia" w:ascii="仿宋_GB2312" w:hAnsi="仿宋_GB2312" w:eastAsia="仿宋_GB2312"/>
          <w:sz w:val="32"/>
        </w:rPr>
        <w:t>导致本年预决算存在差异</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3,805.09</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减少182.07万元，下降4.57%，</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sz w:val="32"/>
          <w:szCs w:val="24"/>
          <w:highlight w:val="none"/>
          <w:lang w:val="en-US" w:eastAsia="zh-CN"/>
        </w:rPr>
        <w:t>本年疫情影响管委会及7个社区运转经费减少，办公费、伙食费支出减少</w:t>
      </w:r>
      <w:r>
        <w:rPr>
          <w:rFonts w:hint="eastAsia" w:ascii="仿宋_GB2312" w:hAnsi="仿宋_GB2312" w:eastAsia="仿宋_GB2312"/>
          <w:kern w:val="0"/>
          <w:sz w:val="32"/>
          <w:szCs w:val="24"/>
          <w:highlight w:val="none"/>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1.一般公共服务支出（类）443.66万元，占11.66%；</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2.社会保障和就业支出（类）3,280.20万元，占86.21%；</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3.卫生健康支出（类）81.23万元，占2.13%。</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eastAsia" w:ascii="仿宋_GB2312" w:hAnsi="仿宋_GB2312" w:eastAsia="仿宋_GB2312" w:cs="Times New Roman"/>
          <w:kern w:val="0"/>
          <w:sz w:val="32"/>
          <w:szCs w:val="24"/>
          <w:highlight w:val="none"/>
          <w:lang w:val="en-US" w:eastAsia="zh-CN"/>
        </w:rPr>
      </w:pPr>
      <w:r>
        <w:rPr>
          <w:rFonts w:hint="eastAsia" w:ascii="仿宋_GB2312" w:hAnsi="仿宋_GB2312" w:eastAsia="仿宋_GB2312"/>
          <w:kern w:val="0"/>
          <w:sz w:val="32"/>
          <w:szCs w:val="24"/>
          <w:lang w:val="en-US"/>
        </w:rPr>
        <w:t>1.一般公共服务支出（类）政府办公厅（室）及相关机构事务（款）行政运行（项）:支出决算数为191.09万元，比上年决算减少84.14万元，下降30.57%，</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cs="Times New Roman"/>
          <w:kern w:val="0"/>
          <w:sz w:val="32"/>
          <w:szCs w:val="24"/>
          <w:highlight w:val="none"/>
          <w:lang w:val="en-US" w:eastAsia="zh-CN"/>
        </w:rPr>
        <w:t>因疫情影响机关办公费支出减少，医疗保险基数调减，导致此项支出较上年减少；</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lang w:val="en-US"/>
        </w:rPr>
        <w:t>2.一般公共服务支出（类）政府办公厅（室）及相关机构事务（款）机关服务（项）:支出决算数为252.57万元，比上年决算增加175.36万元，增长227.12%，</w:t>
      </w:r>
      <w:r>
        <w:rPr>
          <w:rFonts w:hint="eastAsia" w:ascii="仿宋_GB2312" w:hAnsi="仿宋_GB2312" w:eastAsia="仿宋_GB2312"/>
          <w:kern w:val="0"/>
          <w:sz w:val="32"/>
          <w:szCs w:val="24"/>
          <w:highlight w:val="none"/>
          <w:lang w:val="en-US"/>
        </w:rPr>
        <w:t>主要原因是：新增调入行政、事业在编人员30人工资、社保、公积金等人员经费增加</w:t>
      </w:r>
      <w:r>
        <w:rPr>
          <w:rFonts w:hint="eastAsia" w:ascii="仿宋_GB2312" w:hAnsi="仿宋_GB2312" w:eastAsia="仿宋_GB2312"/>
          <w:kern w:val="0"/>
          <w:sz w:val="32"/>
          <w:szCs w:val="24"/>
          <w:highlight w:val="none"/>
          <w:lang w:val="en-US" w:eastAsia="zh-CN"/>
        </w:rPr>
        <w:t>；</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.一般公共服务支出（类）其他共产党事务支出（款）行政运行（项）:支出决算数为0.00万元，比上年决算减少81.55万元，下降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highlight w:val="none"/>
          <w:lang w:val="en-US"/>
        </w:rPr>
        <w:t>，主要原因是：本年此功能科目未支出</w:t>
      </w:r>
      <w:r>
        <w:rPr>
          <w:rFonts w:hint="eastAsia" w:ascii="仿宋_GB2312" w:hAnsi="仿宋_GB2312" w:eastAsia="仿宋_GB2312"/>
          <w:kern w:val="0"/>
          <w:sz w:val="32"/>
          <w:szCs w:val="24"/>
          <w:highlight w:val="none"/>
          <w:lang w:val="en-US" w:eastAsia="zh-CN"/>
        </w:rPr>
        <w:t>；</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lang w:val="en-US"/>
        </w:rPr>
        <w:t>.社会保障和就业支出（类</w:t>
      </w:r>
      <w:r>
        <w:rPr>
          <w:rFonts w:hint="eastAsia" w:ascii="仿宋_GB2312" w:hAnsi="仿宋_GB2312" w:eastAsia="仿宋_GB2312"/>
          <w:kern w:val="0"/>
          <w:sz w:val="32"/>
          <w:szCs w:val="24"/>
          <w:highlight w:val="none"/>
          <w:lang w:val="en-US"/>
        </w:rPr>
        <w:t>）民政管理事务（款）基层政权建设和社区治理（项）:支出决算数为3,144.03万元，比上年决算减少197.94万元，下降5.92%，主要原因是：</w:t>
      </w:r>
      <w:r>
        <w:rPr>
          <w:rFonts w:hint="eastAsia" w:ascii="仿宋_GB2312" w:hAnsi="仿宋_GB2312" w:eastAsia="仿宋_GB2312"/>
          <w:kern w:val="0"/>
          <w:sz w:val="32"/>
          <w:szCs w:val="24"/>
          <w:highlight w:val="none"/>
          <w:lang w:val="en-US" w:eastAsia="zh-CN"/>
        </w:rPr>
        <w:t>本年7个</w:t>
      </w:r>
      <w:r>
        <w:rPr>
          <w:rFonts w:hint="eastAsia" w:ascii="仿宋_GB2312" w:hAnsi="仿宋_GB2312" w:eastAsia="仿宋_GB2312"/>
          <w:kern w:val="0"/>
          <w:sz w:val="32"/>
          <w:szCs w:val="24"/>
          <w:highlight w:val="none"/>
          <w:lang w:val="en-US"/>
        </w:rPr>
        <w:t>社区运转经费</w:t>
      </w:r>
      <w:r>
        <w:rPr>
          <w:rFonts w:hint="eastAsia" w:ascii="仿宋_GB2312" w:hAnsi="仿宋_GB2312" w:eastAsia="仿宋_GB2312"/>
          <w:kern w:val="0"/>
          <w:sz w:val="32"/>
          <w:szCs w:val="24"/>
          <w:highlight w:val="none"/>
          <w:lang w:val="en-US" w:eastAsia="zh-CN"/>
        </w:rPr>
        <w:t>减少，此项功能科目支出减少；</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en-US"/>
        </w:rPr>
        <w:t>.社会保障和就业支出（类）行政事业单位养老支出（款）机关事业单位基本养老保险缴费支出（项）:支出决</w:t>
      </w:r>
      <w:r>
        <w:rPr>
          <w:rFonts w:hint="eastAsia" w:ascii="仿宋_GB2312" w:hAnsi="仿宋_GB2312" w:eastAsia="仿宋_GB2312"/>
          <w:kern w:val="0"/>
          <w:sz w:val="32"/>
          <w:szCs w:val="24"/>
          <w:highlight w:val="none"/>
          <w:lang w:val="en-US"/>
        </w:rPr>
        <w:t>算数为126.18万元，比上年决算增加13.26万元，增长11.74%，主要原因是：新增调入行政、事业在编人员</w:t>
      </w:r>
      <w:r>
        <w:rPr>
          <w:rFonts w:hint="eastAsia" w:ascii="仿宋_GB2312" w:hAnsi="仿宋_GB2312" w:eastAsia="仿宋_GB2312"/>
          <w:kern w:val="0"/>
          <w:sz w:val="32"/>
          <w:szCs w:val="24"/>
          <w:highlight w:val="none"/>
          <w:lang w:val="en-US" w:eastAsia="zh-CN"/>
        </w:rPr>
        <w:t>共</w:t>
      </w:r>
      <w:r>
        <w:rPr>
          <w:rFonts w:hint="eastAsia" w:ascii="仿宋_GB2312" w:hAnsi="仿宋_GB2312" w:eastAsia="仿宋_GB2312"/>
          <w:kern w:val="0"/>
          <w:sz w:val="32"/>
          <w:szCs w:val="24"/>
          <w:highlight w:val="none"/>
          <w:lang w:val="en-US"/>
        </w:rPr>
        <w:t>30人</w:t>
      </w:r>
      <w:r>
        <w:rPr>
          <w:rFonts w:hint="eastAsia" w:ascii="仿宋_GB2312" w:hAnsi="仿宋_GB2312" w:eastAsia="仿宋_GB2312"/>
          <w:kern w:val="0"/>
          <w:sz w:val="32"/>
          <w:szCs w:val="24"/>
          <w:highlight w:val="none"/>
          <w:lang w:val="en-US" w:eastAsia="zh-CN"/>
        </w:rPr>
        <w:t>，养老保险缴费</w:t>
      </w:r>
      <w:r>
        <w:rPr>
          <w:rFonts w:hint="eastAsia" w:ascii="仿宋_GB2312" w:hAnsi="仿宋_GB2312" w:eastAsia="仿宋_GB2312"/>
          <w:kern w:val="0"/>
          <w:sz w:val="32"/>
          <w:szCs w:val="24"/>
          <w:highlight w:val="none"/>
          <w:lang w:val="en-US"/>
        </w:rPr>
        <w:t>增加</w:t>
      </w:r>
      <w:r>
        <w:rPr>
          <w:rFonts w:hint="eastAsia" w:ascii="仿宋_GB2312" w:hAnsi="仿宋_GB2312" w:eastAsia="仿宋_GB2312"/>
          <w:kern w:val="0"/>
          <w:sz w:val="32"/>
          <w:szCs w:val="24"/>
          <w:highlight w:val="none"/>
          <w:lang w:val="en-US" w:eastAsia="zh-CN"/>
        </w:rPr>
        <w:t>；</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lang w:val="en-US" w:eastAsia="zh-CN"/>
        </w:rPr>
        <w:t>6</w:t>
      </w:r>
      <w:r>
        <w:rPr>
          <w:rFonts w:hint="eastAsia" w:ascii="仿宋_GB2312" w:hAnsi="仿宋_GB2312" w:eastAsia="仿宋_GB2312"/>
          <w:kern w:val="0"/>
          <w:sz w:val="32"/>
          <w:szCs w:val="24"/>
          <w:lang w:val="en-US"/>
        </w:rPr>
        <w:t>.社会保障和就业支出（类）其他生活救助（款）其他城市生活救助（项）:支出决算数为9.99万元，比上年决算增加9.99万元，增长100.00%</w:t>
      </w:r>
      <w:r>
        <w:rPr>
          <w:rFonts w:hint="eastAsia" w:ascii="仿宋_GB2312" w:hAnsi="仿宋_GB2312" w:eastAsia="仿宋_GB2312"/>
          <w:kern w:val="0"/>
          <w:sz w:val="32"/>
          <w:szCs w:val="24"/>
          <w:highlight w:val="none"/>
          <w:lang w:val="en-US"/>
        </w:rPr>
        <w:t>，主要原因是：疫情影响疫情困难群众补助增加</w:t>
      </w:r>
      <w:r>
        <w:rPr>
          <w:rFonts w:hint="eastAsia" w:ascii="仿宋_GB2312" w:hAnsi="仿宋_GB2312" w:eastAsia="仿宋_GB2312"/>
          <w:kern w:val="0"/>
          <w:sz w:val="32"/>
          <w:szCs w:val="24"/>
          <w:highlight w:val="none"/>
          <w:lang w:val="en-US" w:eastAsia="zh-CN"/>
        </w:rPr>
        <w:t>，此功能科目支出增加；</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lang w:val="en-US" w:eastAsia="zh-CN"/>
        </w:rPr>
        <w:t>7</w:t>
      </w:r>
      <w:r>
        <w:rPr>
          <w:rFonts w:hint="eastAsia" w:ascii="仿宋_GB2312" w:hAnsi="仿宋_GB2312" w:eastAsia="仿宋_GB2312"/>
          <w:kern w:val="0"/>
          <w:sz w:val="32"/>
          <w:szCs w:val="24"/>
          <w:lang w:val="en-US"/>
        </w:rPr>
        <w:t>.卫生健康支出（类）公共卫生（款）其他专业公共卫生机构（项）:支出决算数为0.00万元，比上年决算减少30.29万元，下降100.00%，</w:t>
      </w:r>
      <w:r>
        <w:rPr>
          <w:rFonts w:hint="eastAsia" w:ascii="仿宋_GB2312" w:hAnsi="仿宋_GB2312" w:eastAsia="仿宋_GB2312"/>
          <w:kern w:val="0"/>
          <w:sz w:val="32"/>
          <w:szCs w:val="24"/>
          <w:highlight w:val="none"/>
          <w:lang w:val="en-US"/>
        </w:rPr>
        <w:t>主要原因是：本年此功能科目未支出</w:t>
      </w:r>
      <w:r>
        <w:rPr>
          <w:rFonts w:hint="eastAsia" w:ascii="仿宋_GB2312" w:hAnsi="仿宋_GB2312" w:eastAsia="仿宋_GB2312"/>
          <w:kern w:val="0"/>
          <w:sz w:val="32"/>
          <w:szCs w:val="24"/>
          <w:highlight w:val="none"/>
          <w:lang w:val="en-US" w:eastAsia="zh-CN"/>
        </w:rPr>
        <w:t>；</w:t>
      </w:r>
    </w:p>
    <w:p>
      <w:pPr>
        <w:spacing w:line="600" w:lineRule="exact"/>
        <w:ind w:firstLine="640"/>
        <w:rPr>
          <w:rFonts w:hint="eastAsia" w:eastAsia="仿宋_GB2312"/>
          <w:kern w:val="0"/>
          <w:sz w:val="32"/>
          <w:szCs w:val="24"/>
          <w:highlight w:val="none"/>
          <w:lang w:val="en-US" w:eastAsia="zh-CN"/>
        </w:rPr>
      </w:pPr>
      <w:r>
        <w:rPr>
          <w:rFonts w:hint="eastAsia" w:ascii="仿宋_GB2312" w:hAnsi="仿宋_GB2312" w:eastAsia="仿宋_GB2312"/>
          <w:kern w:val="0"/>
          <w:sz w:val="32"/>
          <w:szCs w:val="24"/>
          <w:lang w:val="en-US" w:eastAsia="zh-CN"/>
        </w:rPr>
        <w:t>8</w:t>
      </w:r>
      <w:r>
        <w:rPr>
          <w:rFonts w:hint="eastAsia" w:ascii="仿宋_GB2312" w:hAnsi="仿宋_GB2312" w:eastAsia="仿宋_GB2312"/>
          <w:kern w:val="0"/>
          <w:sz w:val="32"/>
          <w:szCs w:val="24"/>
          <w:lang w:val="en-US"/>
        </w:rPr>
        <w:t>.卫生健康支出（类）计划生育事务（款）计划生育</w:t>
      </w:r>
      <w:r>
        <w:rPr>
          <w:rFonts w:hint="eastAsia" w:ascii="仿宋_GB2312" w:hAnsi="仿宋_GB2312" w:eastAsia="仿宋_GB2312"/>
          <w:kern w:val="0"/>
          <w:sz w:val="32"/>
          <w:szCs w:val="24"/>
          <w:lang w:val="en-US" w:eastAsia="zh-CN"/>
        </w:rPr>
        <w:t>服</w:t>
      </w:r>
      <w:r>
        <w:rPr>
          <w:rFonts w:hint="eastAsia" w:ascii="仿宋_GB2312" w:hAnsi="仿宋_GB2312" w:eastAsia="仿宋_GB2312"/>
          <w:kern w:val="0"/>
          <w:sz w:val="32"/>
          <w:szCs w:val="24"/>
          <w:lang w:val="en-US"/>
        </w:rPr>
        <w:t>务（项）:支出决算数为81.23万元，比上年决算增加23.24万元，增长40.08%，</w:t>
      </w:r>
      <w:r>
        <w:rPr>
          <w:rFonts w:hint="eastAsia" w:ascii="仿宋_GB2312" w:hAnsi="仿宋_GB2312" w:eastAsia="仿宋_GB2312"/>
          <w:kern w:val="0"/>
          <w:sz w:val="32"/>
          <w:szCs w:val="24"/>
          <w:highlight w:val="none"/>
          <w:lang w:val="en-US"/>
        </w:rPr>
        <w:t>主要原因是：新增调入行政、事业在编人员30人工资、社保、公积金等人员经费增加</w:t>
      </w:r>
      <w:r>
        <w:rPr>
          <w:rFonts w:hint="eastAsia" w:ascii="仿宋_GB2312" w:hAnsi="仿宋_GB2312" w:eastAsia="仿宋_GB2312"/>
          <w:kern w:val="0"/>
          <w:sz w:val="32"/>
          <w:szCs w:val="24"/>
          <w:highlight w:val="none"/>
          <w:lang w:val="en-US" w:eastAsia="zh-CN"/>
        </w:rPr>
        <w:t>；</w:t>
      </w:r>
    </w:p>
    <w:p>
      <w:pPr>
        <w:spacing w:line="600" w:lineRule="exact"/>
        <w:ind w:firstLine="640"/>
        <w:rPr>
          <w:rFonts w:hint="default" w:eastAsia="Times New Roman"/>
          <w:sz w:val="32"/>
          <w:szCs w:val="24"/>
          <w:highlight w:val="none"/>
          <w:lang w:val="en-US"/>
        </w:rPr>
      </w:pPr>
      <w:r>
        <w:rPr>
          <w:rFonts w:hint="eastAsia" w:ascii="仿宋_GB2312" w:hAnsi="仿宋_GB2312" w:eastAsia="仿宋_GB2312"/>
          <w:kern w:val="0"/>
          <w:sz w:val="32"/>
          <w:szCs w:val="24"/>
          <w:lang w:val="en-US" w:eastAsia="zh-CN"/>
        </w:rPr>
        <w:t>9</w:t>
      </w:r>
      <w:r>
        <w:rPr>
          <w:rFonts w:hint="eastAsia" w:ascii="仿宋_GB2312" w:hAnsi="仿宋_GB2312" w:eastAsia="仿宋_GB2312"/>
          <w:kern w:val="0"/>
          <w:sz w:val="32"/>
          <w:szCs w:val="24"/>
          <w:lang w:val="en-US"/>
        </w:rPr>
        <w:t>.城乡社区支出（类）城乡社区管理事务（款）其他城乡社区管理事务支出（项）:支出决算数为0.00万元，比上年决算</w:t>
      </w:r>
      <w:r>
        <w:rPr>
          <w:rFonts w:hint="eastAsia" w:ascii="仿宋_GB2312" w:hAnsi="仿宋_GB2312" w:eastAsia="仿宋_GB2312"/>
          <w:kern w:val="0"/>
          <w:sz w:val="32"/>
          <w:szCs w:val="24"/>
          <w:lang w:val="en-US" w:eastAsia="zh-CN"/>
        </w:rPr>
        <w:t>减少</w:t>
      </w:r>
      <w:r>
        <w:rPr>
          <w:rFonts w:hint="eastAsia" w:ascii="仿宋_GB2312" w:hAnsi="仿宋_GB2312" w:eastAsia="仿宋_GB2312"/>
          <w:kern w:val="0"/>
          <w:sz w:val="32"/>
          <w:szCs w:val="24"/>
          <w:lang w:val="en-US"/>
        </w:rPr>
        <w:t>10.00万元，下降100.00%，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本年此功能科目未支出。</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2022年度一般公共预算财政拨款基本支出3,795.10万元，其中：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2,005.05万元，包括：基本工资、津贴补贴、绩效工资、机关事业单位基本养老保险缴费、职工基本医疗保险缴费、公务员医疗补助缴费、其他社会保障缴费、住房公积金、其他工资福利支出、退休费、生活补助、医疗费补助、其他对个人和家庭的补助。</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1,790.05万元，包括：办公费、印刷费、手续费、水费、电费、邮电费、取暖费、维修（护）费、租赁费、专用材料费、劳务费、委托业务费、福利费、公务用车运行维护费、其他交通费用、其他商品和服务支出、办公设备购置、专用设备购置。</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“三公”经费支出决算5.00万元，比上年增加5.00万元，增长100.00</w:t>
      </w:r>
      <w:r>
        <w:rPr>
          <w:rFonts w:hint="eastAsia" w:ascii="仿宋_GB2312" w:hAnsi="仿宋_GB2312" w:eastAsia="仿宋_GB2312"/>
          <w:kern w:val="0"/>
          <w:sz w:val="32"/>
          <w:szCs w:val="24"/>
          <w:highlight w:val="none"/>
          <w:lang w:val="en-US"/>
        </w:rPr>
        <w:t>%，主要原因是：本年单位车辆出行次数增加，公务用车维修保养费、油料费等支出较上年增加。其中：因公出国（境）费支出0.00万元，占0.00%，比上年增加0.00万元，增长0.00%，主要原因是：本年单位无因公出国（境）费支出；公务用车购置及运行维护费支出5.00万元，占100.00%，比上年增加5.00万元，增长100.00%，主要原因是：本年单位</w:t>
      </w:r>
      <w:r>
        <w:rPr>
          <w:rFonts w:hint="eastAsia" w:ascii="仿宋_GB2312" w:hAnsi="仿宋_GB2312" w:eastAsia="仿宋_GB2312"/>
          <w:kern w:val="0"/>
          <w:sz w:val="32"/>
          <w:szCs w:val="24"/>
          <w:highlight w:val="none"/>
          <w:lang w:val="en-US" w:eastAsia="zh-CN"/>
        </w:rPr>
        <w:t>车辆出行次数</w:t>
      </w:r>
      <w:r>
        <w:rPr>
          <w:rFonts w:hint="eastAsia" w:ascii="仿宋_GB2312" w:hAnsi="仿宋_GB2312" w:eastAsia="仿宋_GB2312"/>
          <w:kern w:val="0"/>
          <w:sz w:val="32"/>
          <w:szCs w:val="24"/>
          <w:highlight w:val="none"/>
          <w:lang w:val="en-US"/>
        </w:rPr>
        <w:t>增加，公务用车</w:t>
      </w:r>
      <w:r>
        <w:rPr>
          <w:rFonts w:hint="eastAsia" w:ascii="仿宋_GB2312" w:hAnsi="仿宋_GB2312" w:eastAsia="仿宋_GB2312"/>
          <w:kern w:val="0"/>
          <w:sz w:val="32"/>
          <w:szCs w:val="24"/>
          <w:highlight w:val="none"/>
          <w:lang w:val="en-US" w:eastAsia="zh-CN"/>
        </w:rPr>
        <w:t>维修保养</w:t>
      </w:r>
      <w:r>
        <w:rPr>
          <w:rFonts w:hint="eastAsia" w:ascii="仿宋_GB2312" w:hAnsi="仿宋_GB2312" w:eastAsia="仿宋_GB2312"/>
          <w:kern w:val="0"/>
          <w:sz w:val="32"/>
          <w:szCs w:val="24"/>
          <w:highlight w:val="none"/>
          <w:lang w:val="en-US"/>
        </w:rPr>
        <w:t>费、</w:t>
      </w:r>
      <w:r>
        <w:rPr>
          <w:rFonts w:hint="eastAsia" w:ascii="仿宋_GB2312" w:hAnsi="仿宋_GB2312" w:eastAsia="仿宋_GB2312"/>
          <w:kern w:val="0"/>
          <w:sz w:val="32"/>
          <w:szCs w:val="24"/>
          <w:highlight w:val="none"/>
          <w:lang w:val="en-US" w:eastAsia="zh-CN"/>
        </w:rPr>
        <w:t>油料</w:t>
      </w:r>
      <w:r>
        <w:rPr>
          <w:rFonts w:hint="eastAsia" w:ascii="仿宋_GB2312" w:hAnsi="仿宋_GB2312" w:eastAsia="仿宋_GB2312"/>
          <w:kern w:val="0"/>
          <w:sz w:val="32"/>
          <w:szCs w:val="24"/>
          <w:highlight w:val="none"/>
          <w:lang w:val="en-US"/>
        </w:rPr>
        <w:t>费等支出较上年增加；公务接待费支出0.00万元，占0.00%，比上年增加0.00万元，增长0.00%，主要原因是：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highlight w:val="none"/>
          <w:lang w:val="en-US"/>
        </w:rPr>
        <w:t>因公出国（境）费支出0.00万元，开支内容包括本年单位无因公出国（境）费支出。单位全年安</w:t>
      </w:r>
      <w:r>
        <w:rPr>
          <w:rFonts w:hint="eastAsia" w:ascii="仿宋_GB2312" w:hAnsi="仿宋_GB2312" w:eastAsia="仿宋_GB2312"/>
          <w:kern w:val="0"/>
          <w:sz w:val="32"/>
          <w:szCs w:val="24"/>
          <w:lang w:val="en-US"/>
        </w:rPr>
        <w:t>排的因公出国（境）团组0个，因公出国（境）0人次。</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rPr>
        <w:t>公务用车购置及运行维护费5.00万元，其中：公务用车购置费0</w:t>
      </w:r>
      <w:r>
        <w:rPr>
          <w:rFonts w:hint="eastAsia" w:ascii="仿宋_GB2312" w:hAnsi="仿宋_GB2312" w:eastAsia="仿宋_GB2312"/>
          <w:kern w:val="0"/>
          <w:sz w:val="32"/>
          <w:szCs w:val="24"/>
          <w:highlight w:val="none"/>
          <w:lang w:val="en-US"/>
        </w:rPr>
        <w:t>.00万元，公务用车运行维护费5.00万元。公务用车运行维护费开支内容包括公务用车燃油费、车辆维修维护费、保险费、过路费等。公务用车购置数0辆，公务用车保有量22辆。</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公务接待费0.00万元，开支内容包括</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。单位全年安排的国内公务接待0批次，0人次。</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与</w:t>
      </w:r>
      <w:r>
        <w:rPr>
          <w:rFonts w:hint="eastAsia" w:ascii="仿宋_GB2312" w:hAnsi="仿宋_GB2312" w:eastAsia="仿宋_GB2312"/>
          <w:sz w:val="32"/>
          <w:szCs w:val="24"/>
          <w:highlight w:val="none"/>
          <w:lang w:val="en-US"/>
        </w:rPr>
        <w:t>全年</w:t>
      </w:r>
      <w:r>
        <w:rPr>
          <w:rFonts w:hint="eastAsia" w:ascii="仿宋_GB2312" w:hAnsi="仿宋_GB2312" w:eastAsia="仿宋_GB2312"/>
          <w:kern w:val="0"/>
          <w:sz w:val="32"/>
          <w:szCs w:val="24"/>
          <w:highlight w:val="none"/>
          <w:lang w:val="en-US"/>
        </w:rPr>
        <w:t>预算</w:t>
      </w:r>
      <w:r>
        <w:rPr>
          <w:rFonts w:hint="eastAsia" w:ascii="仿宋_GB2312" w:hAnsi="仿宋_GB2312" w:eastAsia="仿宋_GB2312"/>
          <w:kern w:val="0"/>
          <w:sz w:val="32"/>
          <w:szCs w:val="24"/>
          <w:highlight w:val="none"/>
          <w:lang w:val="zh-CN"/>
        </w:rPr>
        <w:t>数</w:t>
      </w:r>
      <w:r>
        <w:rPr>
          <w:rFonts w:hint="eastAsia" w:ascii="仿宋_GB2312" w:hAnsi="仿宋_GB2312" w:eastAsia="仿宋_GB2312"/>
          <w:kern w:val="0"/>
          <w:sz w:val="32"/>
          <w:szCs w:val="24"/>
          <w:highlight w:val="none"/>
          <w:lang w:val="en-US"/>
        </w:rPr>
        <w:t>相比情况</w:t>
      </w:r>
      <w:r>
        <w:rPr>
          <w:rFonts w:hint="eastAsia" w:ascii="仿宋_GB2312" w:hAnsi="仿宋_GB2312" w:eastAsia="仿宋_GB2312"/>
          <w:sz w:val="32"/>
          <w:szCs w:val="24"/>
          <w:highlight w:val="none"/>
          <w:lang w:val="en-US"/>
        </w:rPr>
        <w:t>：</w:t>
      </w:r>
      <w:r>
        <w:rPr>
          <w:rFonts w:hint="default" w:eastAsia="Times New Roman"/>
          <w:kern w:val="0"/>
          <w:sz w:val="32"/>
          <w:szCs w:val="24"/>
          <w:highlight w:val="none"/>
          <w:lang w:val="en-US"/>
        </w:rPr>
        <w:t>“</w:t>
      </w:r>
      <w:r>
        <w:rPr>
          <w:rFonts w:hint="eastAsia" w:ascii="仿宋_GB2312" w:hAnsi="仿宋_GB2312" w:eastAsia="仿宋_GB2312"/>
          <w:kern w:val="0"/>
          <w:sz w:val="32"/>
          <w:szCs w:val="24"/>
          <w:highlight w:val="none"/>
          <w:lang w:val="en-US"/>
        </w:rPr>
        <w:t>三公</w:t>
      </w:r>
      <w:r>
        <w:rPr>
          <w:rFonts w:hint="default" w:eastAsia="Times New Roman"/>
          <w:kern w:val="0"/>
          <w:sz w:val="32"/>
          <w:szCs w:val="24"/>
          <w:highlight w:val="none"/>
          <w:lang w:val="en-US"/>
        </w:rPr>
        <w:t>”</w:t>
      </w:r>
      <w:r>
        <w:rPr>
          <w:rFonts w:hint="eastAsia" w:ascii="仿宋_GB2312" w:hAnsi="仿宋_GB2312" w:eastAsia="仿宋_GB2312"/>
          <w:kern w:val="0"/>
          <w:sz w:val="32"/>
          <w:szCs w:val="24"/>
          <w:highlight w:val="none"/>
          <w:lang w:val="en-US"/>
        </w:rPr>
        <w:t>经费支出</w:t>
      </w:r>
      <w:r>
        <w:rPr>
          <w:rFonts w:hint="eastAsia" w:ascii="仿宋_GB2312" w:hAnsi="仿宋_GB2312" w:eastAsia="仿宋_GB2312"/>
          <w:sz w:val="32"/>
          <w:szCs w:val="24"/>
          <w:highlight w:val="none"/>
          <w:lang w:val="en-US"/>
        </w:rPr>
        <w:t>全年预算数</w:t>
      </w:r>
      <w:r>
        <w:rPr>
          <w:rFonts w:hint="eastAsia" w:ascii="仿宋_GB2312" w:hAnsi="仿宋_GB2312" w:eastAsia="仿宋_GB2312"/>
          <w:kern w:val="0"/>
          <w:sz w:val="32"/>
          <w:szCs w:val="24"/>
          <w:highlight w:val="none"/>
          <w:lang w:val="en-US"/>
        </w:rPr>
        <w:t>5.00万元，决算数5.00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公务用车运行费全年预算数5.00万元，决算数5.00万元，预决算差异率0.00%，主要原因是：单位严格执行“三公”经费支出标准，未超预算；公务接待费全年预算数0.00万元，决算数0.00万元，预决算差异率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lang w:val="en-US"/>
        </w:rPr>
        <w:t>2022年度乌鲁木齐市米东区地磅片区管理委员会单位机关运行经费支出1,790.04万元，比上年减少224.11万元，下降11.13%，</w:t>
      </w:r>
      <w:r>
        <w:rPr>
          <w:rFonts w:hint="eastAsia" w:ascii="仿宋_GB2312" w:hAnsi="仿宋_GB2312" w:eastAsia="仿宋_GB2312"/>
          <w:color w:val="auto"/>
          <w:kern w:val="0"/>
          <w:sz w:val="32"/>
          <w:szCs w:val="24"/>
          <w:highlight w:val="none"/>
          <w:lang w:val="en-US"/>
        </w:rPr>
        <w:t>主要原因是：</w:t>
      </w:r>
      <w:r>
        <w:rPr>
          <w:rFonts w:hint="eastAsia" w:ascii="仿宋_GB2312" w:hAnsi="仿宋_GB2312" w:eastAsia="仿宋_GB2312"/>
          <w:color w:val="auto"/>
          <w:kern w:val="0"/>
          <w:sz w:val="32"/>
          <w:szCs w:val="24"/>
          <w:highlight w:val="none"/>
          <w:lang w:val="en-US" w:eastAsia="zh-CN"/>
        </w:rPr>
        <w:t>因疫情影响</w:t>
      </w:r>
      <w:r>
        <w:rPr>
          <w:rFonts w:hint="eastAsia" w:ascii="仿宋_GB2312" w:hAnsi="仿宋_GB2312" w:eastAsia="仿宋_GB2312"/>
          <w:sz w:val="32"/>
          <w:szCs w:val="24"/>
          <w:highlight w:val="none"/>
          <w:lang w:val="en-US" w:eastAsia="zh-CN"/>
        </w:rPr>
        <w:t>管委会及7个社区运转经费减少，办公费减少；</w:t>
      </w:r>
      <w:bookmarkStart w:id="0" w:name="_GoBack"/>
      <w:bookmarkEnd w:id="0"/>
      <w:r>
        <w:rPr>
          <w:rFonts w:hint="eastAsia" w:ascii="仿宋_GB2312" w:hAnsi="仿宋_GB2312" w:eastAsia="仿宋_GB2312"/>
          <w:color w:val="auto"/>
          <w:kern w:val="0"/>
          <w:sz w:val="32"/>
          <w:szCs w:val="24"/>
          <w:highlight w:val="none"/>
          <w:lang w:val="en-US" w:eastAsia="zh-CN"/>
        </w:rPr>
        <w:t>东凯经伟天地11-12月劳务费未完全支付</w:t>
      </w:r>
      <w:r>
        <w:rPr>
          <w:rFonts w:hint="eastAsia" w:ascii="仿宋_GB2312" w:hAnsi="仿宋_GB2312" w:eastAsia="仿宋_GB2312"/>
          <w:color w:val="auto"/>
          <w:kern w:val="0"/>
          <w:sz w:val="32"/>
          <w:szCs w:val="24"/>
          <w:highlight w:val="none"/>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2022年度政府采购支出总额10.22万元，其中：政府采购货物支出0.91万元、政府采购工程支出0.00万元、政府采购服务支出9.31万元。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授予中小企业合同金额8.27万元，占政府采购支出总额的80.92%，其中：授予小微企业合同金额8.27万元，占政府采购支出总额的80.92%。</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1,625.39</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房屋4,806.30平方米，价值926.29万元。车辆22辆，价值126.27万元，其中：</w:t>
      </w:r>
      <w:r>
        <w:rPr>
          <w:rFonts w:hint="eastAsia" w:ascii="仿宋_GB2312" w:hAnsi="仿宋_GB2312" w:eastAsia="仿宋_GB2312"/>
          <w:color w:val="auto"/>
          <w:kern w:val="0"/>
          <w:sz w:val="32"/>
          <w:szCs w:val="24"/>
          <w:highlight w:val="none"/>
          <w:lang w:val="en-US"/>
        </w:rPr>
        <w:t>副部（省）级及以上领导用车0辆、主要领导干部用车0辆、机要通信用车0辆、应急保障用车0辆、执法执勤用车0辆、特种专业技术用车0辆、离退休干部用车0辆、其他用车22辆，其他用车主要是：</w:t>
      </w:r>
      <w:r>
        <w:rPr>
          <w:rFonts w:hint="eastAsia" w:ascii="仿宋_GB2312" w:hAnsi="仿宋_GB2312" w:eastAsia="仿宋_GB2312"/>
          <w:color w:val="auto"/>
          <w:kern w:val="0"/>
          <w:sz w:val="32"/>
          <w:szCs w:val="24"/>
          <w:highlight w:val="none"/>
          <w:lang w:val="en-US" w:eastAsia="zh-CN"/>
        </w:rPr>
        <w:t>单位业务用车</w:t>
      </w:r>
      <w:r>
        <w:rPr>
          <w:rFonts w:hint="eastAsia" w:ascii="仿宋_GB2312" w:hAnsi="仿宋_GB2312" w:eastAsia="仿宋_GB2312"/>
          <w:color w:val="auto"/>
          <w:kern w:val="0"/>
          <w:sz w:val="32"/>
          <w:szCs w:val="24"/>
          <w:highlight w:val="none"/>
          <w:lang w:val="en-US"/>
        </w:rPr>
        <w:t>；单价</w:t>
      </w:r>
      <w:r>
        <w:rPr>
          <w:rFonts w:hint="eastAsia" w:ascii="仿宋_GB2312" w:hAnsi="仿宋_GB2312" w:eastAsia="仿宋_GB2312"/>
          <w:color w:val="auto"/>
          <w:kern w:val="0"/>
          <w:sz w:val="32"/>
          <w:szCs w:val="24"/>
          <w:lang w:val="en-US"/>
        </w:rPr>
        <w:t>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lang w:val="en-US"/>
        </w:rPr>
        <w:t>根据预算绩效管理要求，我单位2022年度开展预算绩效评价项</w:t>
      </w:r>
      <w:r>
        <w:rPr>
          <w:rFonts w:hint="eastAsia" w:ascii="仿宋_GB2312" w:hAnsi="仿宋_GB2312" w:eastAsia="仿宋_GB2312"/>
          <w:color w:val="auto"/>
          <w:kern w:val="0"/>
          <w:sz w:val="32"/>
          <w:szCs w:val="24"/>
          <w:highlight w:val="none"/>
          <w:lang w:val="en-US"/>
        </w:rPr>
        <w:t>目</w:t>
      </w:r>
      <w:r>
        <w:rPr>
          <w:rFonts w:hint="eastAsia" w:ascii="仿宋_GB2312" w:hAnsi="仿宋_GB2312" w:eastAsia="仿宋_GB2312"/>
          <w:color w:val="auto"/>
          <w:kern w:val="0"/>
          <w:sz w:val="32"/>
          <w:szCs w:val="24"/>
          <w:highlight w:val="none"/>
          <w:lang w:val="en-US" w:eastAsia="zh-CN"/>
        </w:rPr>
        <w:t>1</w:t>
      </w:r>
      <w:r>
        <w:rPr>
          <w:rFonts w:hint="eastAsia" w:ascii="仿宋_GB2312" w:hAnsi="仿宋_GB2312" w:eastAsia="仿宋_GB2312"/>
          <w:color w:val="auto"/>
          <w:kern w:val="0"/>
          <w:sz w:val="32"/>
          <w:szCs w:val="24"/>
          <w:highlight w:val="none"/>
          <w:lang w:val="en-US"/>
        </w:rPr>
        <w:t>个，</w:t>
      </w:r>
      <w:r>
        <w:rPr>
          <w:rFonts w:hint="eastAsia" w:ascii="仿宋_GB2312" w:hAnsi="仿宋_GB2312" w:eastAsia="仿宋_GB2312"/>
          <w:color w:val="auto"/>
          <w:sz w:val="32"/>
          <w:szCs w:val="24"/>
          <w:highlight w:val="none"/>
          <w:lang w:val="en-US"/>
        </w:rPr>
        <w:t>全年预算数</w:t>
      </w:r>
      <w:r>
        <w:rPr>
          <w:rFonts w:hint="eastAsia" w:ascii="仿宋_GB2312" w:hAnsi="仿宋_GB2312" w:eastAsia="仿宋_GB2312"/>
          <w:color w:val="auto"/>
          <w:kern w:val="0"/>
          <w:sz w:val="32"/>
          <w:szCs w:val="24"/>
          <w:highlight w:val="none"/>
          <w:lang w:val="en-US" w:eastAsia="zh-CN"/>
        </w:rPr>
        <w:t>10.00</w:t>
      </w:r>
      <w:r>
        <w:rPr>
          <w:rFonts w:hint="eastAsia" w:ascii="仿宋_GB2312" w:hAnsi="仿宋_GB2312" w:eastAsia="仿宋_GB2312"/>
          <w:color w:val="auto"/>
          <w:sz w:val="32"/>
          <w:szCs w:val="24"/>
          <w:highlight w:val="none"/>
          <w:lang w:val="en-US"/>
        </w:rPr>
        <w:t>万元，全年执行数</w:t>
      </w:r>
      <w:r>
        <w:rPr>
          <w:rFonts w:hint="eastAsia" w:ascii="仿宋_GB2312" w:hAnsi="仿宋_GB2312" w:eastAsia="仿宋_GB2312"/>
          <w:color w:val="auto"/>
          <w:kern w:val="0"/>
          <w:sz w:val="32"/>
          <w:szCs w:val="24"/>
          <w:highlight w:val="none"/>
          <w:lang w:val="en-US" w:eastAsia="zh-CN"/>
        </w:rPr>
        <w:t>10.00</w:t>
      </w:r>
      <w:r>
        <w:rPr>
          <w:rFonts w:hint="eastAsia" w:ascii="仿宋_GB2312" w:hAnsi="仿宋_GB2312" w:eastAsia="仿宋_GB2312"/>
          <w:color w:val="auto"/>
          <w:sz w:val="32"/>
          <w:szCs w:val="24"/>
          <w:highlight w:val="none"/>
          <w:lang w:val="en-US"/>
        </w:rPr>
        <w:t>万元。</w:t>
      </w:r>
      <w:r>
        <w:rPr>
          <w:rFonts w:hint="eastAsia" w:ascii="仿宋_GB2312" w:hAnsi="仿宋_GB2312" w:eastAsia="仿宋_GB2312"/>
          <w:color w:val="auto"/>
          <w:kern w:val="0"/>
          <w:sz w:val="32"/>
          <w:szCs w:val="24"/>
          <w:lang w:val="en-US"/>
        </w:rPr>
        <w:t>预算绩效管理取得的成效：一是通过对项目设立的背景、意义、项目内容、项目现状及绩效目标、资金投入、资金管理、组织实施、数量指标、质量指标、时效指标、成本指标和效益指标等进行深入调研和分析，进一步了解项目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工作机制有待进一步完善，财政经费紧张，不能按期按时拨付各项经费，导致许多业务费，办公费无法正常支出；二是在部门整体支出的资金安排和使用上仍有不可预见性。下一</w:t>
      </w:r>
      <w:r>
        <w:rPr>
          <w:rFonts w:hint="eastAsia" w:ascii="仿宋_GB2312" w:hAnsi="仿宋_GB2312" w:eastAsia="仿宋_GB2312"/>
          <w:color w:val="auto"/>
          <w:kern w:val="0"/>
          <w:sz w:val="32"/>
          <w:szCs w:val="24"/>
          <w:highlight w:val="none"/>
          <w:lang w:val="en-US"/>
        </w:rPr>
        <w:t>步改进措施：一是将加强整体支出绩效监控工作，强化经费“谁使用、谁负责”的责任机制，严格执行国家有关法律规定，保证资金在使用过程中使用性质正确、不超支，严格按照预算规定的资金性质、分项标准执行；二是及时进行整体支出绩效监控工作资料汇总，分类别进行档案管理，不停查找问题，更加完善整体支出绩效监控工作。具体项目自评情况附项目支出绩效自评表。</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5"/>
        <w:gridCol w:w="699"/>
        <w:gridCol w:w="698"/>
        <w:gridCol w:w="843"/>
        <w:gridCol w:w="982"/>
        <w:gridCol w:w="551"/>
        <w:gridCol w:w="760"/>
        <w:gridCol w:w="584"/>
        <w:gridCol w:w="420"/>
        <w:gridCol w:w="491"/>
        <w:gridCol w:w="560"/>
        <w:gridCol w:w="404"/>
        <w:gridCol w:w="452"/>
        <w:gridCol w:w="7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78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11"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2022年受疫情影响生活困难人员救助金（第三批）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64"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米东区地磅街道办事处机关</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8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米东区地磅街道办事处机关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7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7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7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r>
              <w:rPr>
                <w:rFonts w:hint="eastAsia" w:ascii="宋体" w:hAnsi="宋体" w:cs="宋体"/>
                <w:i w:val="0"/>
                <w:iCs w:val="0"/>
                <w:color w:val="000000"/>
                <w:kern w:val="0"/>
                <w:sz w:val="18"/>
                <w:szCs w:val="18"/>
                <w:u w:val="none"/>
                <w:lang w:val="en-US" w:eastAsia="zh-CN" w:bidi="ar"/>
              </w:rPr>
              <w:t>.00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r>
              <w:rPr>
                <w:rFonts w:hint="eastAsia" w:ascii="宋体" w:hAnsi="宋体" w:cs="宋体"/>
                <w:i w:val="0"/>
                <w:iCs w:val="0"/>
                <w:color w:val="000000"/>
                <w:kern w:val="0"/>
                <w:sz w:val="18"/>
                <w:szCs w:val="18"/>
                <w:u w:val="none"/>
                <w:lang w:val="en-US" w:eastAsia="zh-CN" w:bidi="ar"/>
              </w:rPr>
              <w:t>.00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8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7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180" w:firstLineChars="10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5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4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5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本项目资金主要用于为333名受疫情影响人员发放补助，本项目的实施可有效解决受疫情影响人员的实际困难，推动疫情防控工作正常开展</w:t>
            </w:r>
            <w:r>
              <w:rPr>
                <w:rFonts w:hint="eastAsia" w:ascii="宋体" w:hAnsi="宋体" w:cs="宋体"/>
                <w:i w:val="0"/>
                <w:iCs w:val="0"/>
                <w:color w:val="000000"/>
                <w:kern w:val="0"/>
                <w:sz w:val="18"/>
                <w:szCs w:val="18"/>
                <w:u w:val="none"/>
                <w:lang w:val="en-US" w:eastAsia="zh-CN" w:bidi="ar"/>
              </w:rPr>
              <w:t>。</w:t>
            </w:r>
          </w:p>
        </w:tc>
        <w:tc>
          <w:tcPr>
            <w:tcW w:w="2046"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本项目资金已及时、足额发放到位，为受疫情影响人员有效解决了实际困难。推动了疫情防控工作正常开展，得到群众好评。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9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41"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1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4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5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41"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救助补助总人数</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=333人</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333人</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补助覆盖率</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补助发放及时率</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人均救助补助金额</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=300元</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300元</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保障外地特困人员正常生活</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维持社会安定稳定</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长期维持</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9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被救助群众满意度</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82"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6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line="360" w:lineRule="auto"/>
        <w:ind w:firstLine="640"/>
        <w:rPr>
          <w:rFonts w:hint="default" w:eastAsia="Times New Roman"/>
          <w:color w:val="auto"/>
          <w:kern w:val="0"/>
          <w:sz w:val="32"/>
          <w:szCs w:val="24"/>
          <w:lang w:val="en-US"/>
        </w:rPr>
      </w:pP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1CD538B"/>
    <w:rsid w:val="1E4332CF"/>
    <w:rsid w:val="23D76AD0"/>
    <w:rsid w:val="499D1418"/>
    <w:rsid w:val="69161CFC"/>
    <w:rsid w:val="6D114E96"/>
    <w:rsid w:val="78E51A91"/>
    <w:rsid w:val="797532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iPriority="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uiPriority w:val="0"/>
    <w:pPr>
      <w:spacing w:beforeLines="0" w:afterLines="0"/>
      <w:jc w:val="both"/>
    </w:pPr>
    <w:rPr>
      <w:rFonts w:hint="default" w:ascii="Times New Roman" w:hAnsi="Times New Roman" w:eastAsia="宋体" w:cs="Times New Roman"/>
      <w:kern w:val="2"/>
      <w:sz w:val="21"/>
      <w:szCs w:val="24"/>
    </w:rPr>
  </w:style>
  <w:style w:type="paragraph" w:styleId="2">
    <w:name w:val="heading 3"/>
    <w:basedOn w:val="1"/>
    <w:next w:val="1"/>
    <w:unhideWhenUsed/>
    <w:qFormat/>
    <w:uiPriority w:val="9"/>
    <w:pPr>
      <w:keepNext/>
      <w:keepLines/>
      <w:spacing w:before="260" w:after="260" w:line="416" w:lineRule="auto"/>
      <w:jc w:val="left"/>
      <w:outlineLvl w:val="2"/>
    </w:pPr>
    <w:rPr>
      <w:rFonts w:hint="default"/>
      <w:sz w:val="21"/>
      <w:szCs w:val="24"/>
    </w:rPr>
  </w:style>
  <w:style w:type="character" w:default="1" w:styleId="4">
    <w:name w:val="Default Paragraph Font"/>
    <w:unhideWhenUsed/>
    <w:uiPriority w:val="99"/>
    <w:rPr>
      <w:rFonts w:hint="default"/>
      <w:sz w:val="24"/>
      <w:szCs w:val="24"/>
    </w:rPr>
  </w:style>
  <w:style w:type="table" w:default="1" w:styleId="3">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6821</Words>
  <Characters>7646</Characters>
  <TotalTime>1</TotalTime>
  <ScaleCrop>false</ScaleCrop>
  <LinksUpToDate>false</LinksUpToDate>
  <CharactersWithSpaces>7659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2023-08-21T03:33:00Z</dcterms:created>
  <dc:creator>Administrator</dc:creator>
  <cp:lastModifiedBy>逐梦令</cp:lastModifiedBy>
  <dcterms:modified xsi:type="dcterms:W3CDTF">2023-08-31T09:01:18Z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074A9DFA5C2E400FAD768933F2D43CD1_13</vt:lpwstr>
  </property>
</Properties>
</file>