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乌鲁木齐市米东区妇女联合会</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1.团结动员妇女投身改革开放和社会主义现代化建设，促进经济发展和社会主义现代化建设，促进经济发展和社会全面进步。</w:t>
      </w:r>
    </w:p>
    <w:p>
      <w:pPr>
        <w:shd w:val="clear" w:color="auto" w:fill="FFFFFF"/>
        <w:spacing w:line="360" w:lineRule="auto"/>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2.教育、引导广大妇女，增强自尊、自信、自立、自强的精神，全面提高素质，促进妇女人才成长。</w:t>
      </w:r>
    </w:p>
    <w:p>
      <w:pPr>
        <w:shd w:val="clear" w:color="auto" w:fill="FFFFFF"/>
        <w:spacing w:line="360" w:lineRule="auto"/>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3.代表妇女参与国家和社会事务的民主管理、民主监督，参与有关妇女儿童法律、法规、规章的制定，维护妇女儿童合法权益。</w:t>
      </w:r>
    </w:p>
    <w:p>
      <w:pPr>
        <w:shd w:val="clear" w:color="auto" w:fill="FFFFFF"/>
        <w:spacing w:line="360" w:lineRule="auto"/>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4.为妇女儿童服务。加强与社会各界的联系、协调和推动社会各界为妇女儿童办实事、办好事。</w:t>
      </w:r>
    </w:p>
    <w:p>
      <w:pPr>
        <w:shd w:val="clear" w:color="auto" w:fill="FFFFFF"/>
        <w:spacing w:line="360" w:lineRule="auto"/>
        <w:ind w:firstLine="640"/>
        <w:rPr>
          <w:rFonts w:hint="default" w:ascii="仿宋_GB2312" w:hAnsi="仿宋_GB2312" w:eastAsia="仿宋_GB2312"/>
          <w:kern w:val="0"/>
          <w:sz w:val="32"/>
          <w:szCs w:val="24"/>
          <w:lang w:val="zh-CN"/>
        </w:rPr>
      </w:pPr>
      <w:r>
        <w:rPr>
          <w:rFonts w:hint="eastAsia" w:ascii="仿宋_GB2312" w:hAnsi="仿宋_GB2312" w:eastAsia="仿宋_GB2312"/>
          <w:kern w:val="0"/>
          <w:sz w:val="32"/>
          <w:szCs w:val="24"/>
          <w:lang w:val="en-US" w:eastAsia="zh-CN"/>
        </w:rPr>
        <w:t>5.负责妇女儿童来信来访工作。6.承办区委、区政府交办的其他工作。</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乌鲁木齐市米东区妇女联合会2022年度，实有人数3人，其中：在职人员3人，离休人员0人，退休人员0人。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从部门决算单位构成看，乌鲁木齐市米东区妇女联合会部门决算包括：乌鲁木齐市米东区妇女联合会</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1</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eastAsia="zh-CN"/>
        </w:rPr>
        <w:t>办公室</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81.57万元，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81.57</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与上年相比，增加81.57万元，增长100.00%，主要原因是：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81.57万元，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81.57</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与上年相比，增加81.57万元，增长100.00%，主要原因是：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81.57万元，其中：财政拨款收入77.57万元，占95.10%；上级补助收入0.00万元，占0.00%；事业收入0.00万元，占0.00%；经营收入0.00万元，占0.00%；附属单位上缴收入0.00万元，占0.00%；其他收入4.00万元，占4.90%。</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2022年度本年支出81.57万元，其中：基本支出81.57万元，占100.00%；项目支出0.00万元，占0.00%；上缴上级支出0.00万元，占0.00%；经营支出0.00万元，占0.00%；对附属单位补助支出0.00万元，占0.00%。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77.57万元，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77.57</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与上年相比，增加77.57万元，增长100.00%，主要原因是：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77.57万元，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77.57</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与上年相比，增加77.57万元，增长100.00%，主要原因是：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年初预算数67.79万元，决算数77.57万元，预决算差异率14.43%，主要原因是：</w:t>
      </w:r>
      <w:r>
        <w:rPr>
          <w:rFonts w:hint="eastAsia" w:ascii="仿宋_GB2312" w:hAnsi="仿宋_GB2312" w:eastAsia="仿宋_GB2312"/>
          <w:kern w:val="0"/>
          <w:sz w:val="32"/>
          <w:szCs w:val="24"/>
          <w:lang w:val="en-US" w:eastAsia="zh-CN"/>
        </w:rPr>
        <w:t>本年社保公积金基数上调，追加人员经费，导致预决算有差异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年初预算数67.79万元，决算数77.57万元，预决算差异率14.43%，主要原因是：本年社保公积金基数上调，追加人员经费，</w:t>
      </w:r>
      <w:r>
        <w:rPr>
          <w:rFonts w:hint="eastAsia" w:ascii="仿宋_GB2312" w:hAnsi="仿宋_GB2312" w:eastAsia="仿宋_GB2312"/>
          <w:kern w:val="0"/>
          <w:sz w:val="32"/>
          <w:szCs w:val="24"/>
          <w:lang w:val="en-US" w:eastAsia="zh-CN"/>
        </w:rPr>
        <w:t>导致预决算有差异</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77.57</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增加77.57万元，增长100.00%，主要原因是：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1.一般公共服务支出（类）73.07万元，占94.20%；</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2.社会保障和就业支出（类）4.50万元，占5.80%</w:t>
      </w:r>
      <w:r>
        <w:rPr>
          <w:rFonts w:hint="eastAsia" w:ascii="仿宋_GB2312" w:hAnsi="仿宋_GB2312" w:eastAsia="仿宋_GB2312"/>
          <w:kern w:val="0"/>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rPr>
        <w:t>1.一般公共服务支出（类）群众团体事务（款）行政运行（项）:支出决算数为73.07万元，比上年决算增加73.07万元，增长100.00%，主要原因是：</w:t>
      </w:r>
      <w:r>
        <w:rPr>
          <w:rFonts w:hint="eastAsia" w:ascii="仿宋_GB2312" w:hAnsi="仿宋_GB2312" w:eastAsia="仿宋_GB2312"/>
          <w:kern w:val="0"/>
          <w:sz w:val="32"/>
          <w:szCs w:val="24"/>
          <w:lang w:val="en-US" w:eastAsia="zh-CN"/>
        </w:rPr>
        <w:t>我单位为2022年新增单位；</w:t>
      </w:r>
    </w:p>
    <w:p>
      <w:pPr>
        <w:shd w:val="clear" w:color="auto" w:fill="FFFFFF"/>
        <w:spacing w:line="360" w:lineRule="auto"/>
        <w:ind w:firstLine="640"/>
        <w:rPr>
          <w:rFonts w:hint="default" w:ascii="仿宋_GB2312" w:hAnsi="仿宋_GB2312" w:eastAsia="仿宋_GB2312"/>
          <w:kern w:val="0"/>
          <w:sz w:val="32"/>
          <w:szCs w:val="24"/>
          <w:lang w:val="en-US"/>
        </w:rPr>
      </w:pPr>
      <w:r>
        <w:rPr>
          <w:rFonts w:hint="eastAsia" w:ascii="仿宋_GB2312" w:hAnsi="仿宋_GB2312" w:eastAsia="仿宋_GB2312"/>
          <w:kern w:val="0"/>
          <w:sz w:val="32"/>
          <w:szCs w:val="24"/>
          <w:lang w:val="en-US"/>
        </w:rPr>
        <w:t>2.社会保障和就业支出（类）行政事业单位养老支出（款）机关事业单位基本养老保险缴费支出（项）:支出决算数为4.50万元，比上年决算增加4.50万元，增长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2022年度一般公共预算财政拨款基本支出77.57万元，其中：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人员经费73.65万元，包括：基本工资、津贴补贴、机关事业单位基本养老保险缴费、职工基本医疗保险缴费、公务员医疗补助缴费、其他社会保障缴费、住房公积金、生活补助、奖励金。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公用经费3.92万元，包括：委托业务费、办公设备购置、专用设备购置。</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“三公”经费支出决算0.00万元，比上年增加0.00万元，增长0.00%，主要原因是：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公务用车购置及运行维护费0.00万元，其中：公务用车购置费0.00万元，公务用车运行维护费0.00万元。公务用车运行维护费开支内容包括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。公务用车购置数0辆，公务用车保有量0辆。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2022年度乌鲁木齐市米东区妇女联合会单位机关运行经费支出3.92万元，比上年增加3.92万元，增长100.00%，主要原因是：</w:t>
      </w:r>
      <w:r>
        <w:rPr>
          <w:rFonts w:hint="eastAsia" w:ascii="仿宋_GB2312" w:hAnsi="仿宋_GB2312" w:eastAsia="仿宋_GB2312"/>
          <w:color w:val="auto"/>
          <w:kern w:val="0"/>
          <w:sz w:val="32"/>
          <w:szCs w:val="24"/>
          <w:lang w:val="en-US" w:eastAsia="zh-CN"/>
        </w:rPr>
        <w:t>我单位为2022年新增单位</w:t>
      </w:r>
      <w:r>
        <w:rPr>
          <w:rFonts w:hint="eastAsia" w:ascii="仿宋_GB2312" w:hAnsi="仿宋_GB2312" w:eastAsia="仿宋_GB2312"/>
          <w:color w:val="auto"/>
          <w:kern w:val="0"/>
          <w:sz w:val="32"/>
          <w:szCs w:val="24"/>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32.24</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1辆，价值14.68万元，其中：副部（省）级及以上领导用车0辆、主要领导干部用车0辆、机要通信用车0辆、应急保障用车0辆、执法执勤用车0辆、特种专业技术用车0辆、离退休干部用车0辆、其他用车1辆，其他用车主要是：</w:t>
      </w:r>
      <w:r>
        <w:rPr>
          <w:rFonts w:hint="eastAsia" w:ascii="仿宋_GB2312" w:hAnsi="仿宋_GB2312" w:eastAsia="仿宋_GB2312"/>
          <w:color w:val="auto"/>
          <w:kern w:val="0"/>
          <w:sz w:val="32"/>
          <w:szCs w:val="24"/>
          <w:lang w:val="en-US" w:eastAsia="zh-CN"/>
        </w:rPr>
        <w:t>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24"/>
          <w:szCs w:val="24"/>
          <w:highlight w:val="white"/>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bookmarkStart w:id="0" w:name="_GoBack"/>
      <w:bookmarkEnd w:id="0"/>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预算绩效管理取得的成效：我单位无预算绩效管理的项目。发现的问题及原因：我单位无预算绩效管理的项目。下一步改进措施：我单位无预算绩效管理的项目。</w:t>
      </w: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line="360" w:lineRule="auto"/>
        <w:ind w:firstLine="640"/>
        <w:rPr>
          <w:rFonts w:hint="default" w:eastAsia="Times New Roman"/>
          <w:color w:val="auto"/>
          <w:kern w:val="0"/>
          <w:sz w:val="32"/>
          <w:szCs w:val="24"/>
          <w:lang w:val="en-US"/>
        </w:rPr>
      </w:pP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96C7957"/>
    <w:rsid w:val="75C066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4365</Words>
  <Characters>4890</Characters>
  <TotalTime>2</TotalTime>
  <ScaleCrop>false</ScaleCrop>
  <LinksUpToDate>false</LinksUpToDate>
  <CharactersWithSpaces>4901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2023-08-24T07:29:00Z</dcterms:created>
  <dc:creator>asus</dc:creator>
  <cp:lastModifiedBy>逐梦令</cp:lastModifiedBy>
  <dcterms:modified xsi:type="dcterms:W3CDTF">2023-09-01T09:32:52Z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FA0F7D96FA604E4F81AE2CED0F575FBE_13</vt:lpwstr>
  </property>
</Properties>
</file>