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outlineLvl w:val="0"/>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乌鲁木齐市米东区妇幼保健服务中心</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beforeLines="0" w:afterLines="0" w:line="540" w:lineRule="exact"/>
        <w:ind w:firstLine="640"/>
        <w:rPr>
          <w:rFonts w:hint="default" w:eastAsia="Times New Roman"/>
          <w:b/>
          <w:kern w:val="0"/>
          <w:sz w:val="28"/>
          <w:szCs w:val="24"/>
          <w:lang w:val="en-US"/>
        </w:rPr>
      </w:pPr>
    </w:p>
    <w:p>
      <w:pPr>
        <w:shd w:val="clear" w:color="auto" w:fill="FFFFFF"/>
        <w:spacing w:beforeLines="0" w:afterLines="0" w:line="360" w:lineRule="auto"/>
        <w:jc w:val="center"/>
        <w:rPr>
          <w:rFonts w:hint="default" w:eastAsia="Times New Roman"/>
          <w:kern w:val="0"/>
          <w:sz w:val="32"/>
          <w:szCs w:val="24"/>
          <w:lang w:val="en-US"/>
        </w:rPr>
      </w:pPr>
    </w:p>
    <w:p>
      <w:pPr>
        <w:shd w:val="clear" w:color="auto" w:fill="FFFFFF"/>
        <w:spacing w:beforeLines="0" w:afterLines="0" w:line="360" w:lineRule="auto"/>
        <w:jc w:val="center"/>
        <w:outlineLvl w:val="0"/>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（一）为本辖区内妇女儿童提供围产保健、妇女保健、儿童保健等妇幼保健服务和妇女儿童常见病防治、助产技术服务等。</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（二）承担计划生育宣传教育、技术服务、优生指导、避孕药具发放、信息咨询、随访服务、生殖保健、人员培训等任务。</w:t>
      </w:r>
    </w:p>
    <w:p>
      <w:pPr>
        <w:shd w:val="clear" w:color="auto" w:fill="FFFFFF"/>
        <w:spacing w:beforeLines="0" w:afterLines="0" w:line="360" w:lineRule="auto"/>
        <w:ind w:firstLine="640"/>
        <w:outlineLvl w:val="2"/>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（三）展孕前优生健康检查和出生缺陷综合防治服务等工作。</w:t>
      </w:r>
    </w:p>
    <w:p>
      <w:pPr>
        <w:shd w:val="clear" w:color="auto" w:fill="FFFFFF"/>
        <w:spacing w:beforeLines="0" w:afterLines="0" w:line="360" w:lineRule="auto"/>
        <w:ind w:firstLine="640"/>
        <w:rPr>
          <w:rFonts w:hint="default" w:eastAsia="Times New Roman"/>
          <w:sz w:val="32"/>
          <w:szCs w:val="24"/>
          <w:lang w:val="zh-CN"/>
        </w:rPr>
      </w:pPr>
      <w:r>
        <w:rPr>
          <w:rFonts w:hint="eastAsia" w:ascii="仿宋_GB2312" w:hAnsi="仿宋_GB2312" w:eastAsia="仿宋_GB2312" w:cs="Times New Roman"/>
          <w:kern w:val="0"/>
          <w:sz w:val="32"/>
          <w:szCs w:val="24"/>
          <w:lang w:val="zh-CN"/>
        </w:rPr>
        <w:t>（四）开受卫生计生行政部门委托承担本辖区妇幼保健业务管理、培训和技术支持工作。</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乌鲁木齐市米东区妇幼保健服务中心2022年度，实有人数20人，其中：在职人员16人，离休人员0人，退休人员4人。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从部门决算单位构成看，乌鲁木齐市米东区妇幼保健服务中心部门决算包括：乌鲁木齐市米东区妇幼保健服务中心</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8</w:t>
      </w:r>
      <w:r>
        <w:rPr>
          <w:rFonts w:hint="eastAsia" w:ascii="仿宋_GB2312" w:hAnsi="仿宋_GB2312" w:eastAsia="仿宋_GB2312"/>
          <w:kern w:val="0"/>
          <w:sz w:val="32"/>
          <w:szCs w:val="24"/>
          <w:lang w:val="zh-CN"/>
        </w:rPr>
        <w:t>个科室，分别是：</w:t>
      </w:r>
      <w:r>
        <w:rPr>
          <w:rFonts w:hint="eastAsia" w:ascii="仿宋_GB2312" w:hAnsi="仿宋_GB2312" w:eastAsia="仿宋_GB2312"/>
          <w:sz w:val="32"/>
          <w:szCs w:val="24"/>
        </w:rPr>
        <w:t>孕产保健科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儿童保健科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妇女保健科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计划生育科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避孕药具管理科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信息管理</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健康教育科</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综合办公室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outlineLvl w:val="0"/>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329.45万元，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309.25</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20.20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与上年相比，增加25.25万元，增长8.30%，主要原因是：</w:t>
      </w:r>
      <w:r>
        <w:rPr>
          <w:rFonts w:hint="eastAsia" w:ascii="仿宋_GB2312" w:hAnsi="仿宋_GB2312" w:eastAsia="仿宋_GB2312"/>
          <w:kern w:val="0"/>
          <w:sz w:val="32"/>
          <w:szCs w:val="24"/>
          <w:lang w:val="en-US" w:eastAsia="zh-CN"/>
        </w:rPr>
        <w:t>工资上调，人员经费增加，收入总计较上年增加</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329.45万元，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324.00</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5.45</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与上年相比，增加25.25万元，增长8.30%，主要原因是：</w:t>
      </w:r>
      <w:r>
        <w:rPr>
          <w:rFonts w:hint="eastAsia" w:ascii="仿宋_GB2312" w:hAnsi="仿宋_GB2312" w:eastAsia="仿宋_GB2312"/>
          <w:kern w:val="0"/>
          <w:sz w:val="32"/>
          <w:szCs w:val="24"/>
          <w:lang w:val="en-US" w:eastAsia="zh-CN"/>
        </w:rPr>
        <w:t>一是人员增加；二是国家孕前优生检查项目经费、增补叶酸预防神经管缺陷项目经费支出增加，本年支出数增加、支出比例增长。</w:t>
      </w:r>
    </w:p>
    <w:p>
      <w:pPr>
        <w:spacing w:beforeLines="0" w:afterLines="0"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309.25万元，其中：财政拨款收入290.32万元，占93.88%；上级补助收入0.00万元，占0.00%；事业收入0.00万元，占0.00%；经营收入0.00万元，占0.00%；附属单位上缴收入0.00万元，占0.00%；其他收入18.93万元，占6.12%。</w:t>
      </w:r>
    </w:p>
    <w:p>
      <w:pPr>
        <w:spacing w:beforeLines="0" w:afterLines="0"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2022年度本年支出324.00万元，其中：基本支出290.32万元，占89.60%；项目支出33.68万元，占10.40%；上缴上级支出0.00万元，占0.00%；经营支出0.00万元，占0.00%；对附属单位补助支出0.00万元，占0.00%。</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290.32万元，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290.32</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与上年相比，增加67.32万元，增长30.19%，主要原因是：</w:t>
      </w:r>
      <w:r>
        <w:rPr>
          <w:rFonts w:hint="eastAsia" w:ascii="仿宋_GB2312" w:hAnsi="仿宋_GB2312" w:eastAsia="仿宋_GB2312"/>
          <w:kern w:val="0"/>
          <w:sz w:val="32"/>
          <w:szCs w:val="24"/>
          <w:lang w:val="en-US" w:eastAsia="zh-CN"/>
        </w:rPr>
        <w:t>工资薪金及社保公积金基数上调，人员经费增加，收入较上年增加</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290.32万元，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290.32</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与上年相比，增加67.32万元，增长30.19%，主要原因是：</w:t>
      </w:r>
      <w:r>
        <w:rPr>
          <w:rFonts w:hint="eastAsia" w:ascii="仿宋_GB2312" w:hAnsi="仿宋_GB2312" w:eastAsia="仿宋_GB2312"/>
          <w:kern w:val="0"/>
          <w:sz w:val="32"/>
          <w:szCs w:val="24"/>
          <w:lang w:val="en-US" w:eastAsia="zh-CN"/>
        </w:rPr>
        <w:t>工资薪金及社保公积金基数上调，人员支出数增加、支出比例增长</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年初预算数273.65万元，决算数290.32万元，预决算差异率6.09%，主要原因是：</w:t>
      </w:r>
      <w:r>
        <w:rPr>
          <w:rFonts w:hint="eastAsia" w:ascii="仿宋_GB2312" w:hAnsi="仿宋_GB2312" w:eastAsia="仿宋_GB2312"/>
          <w:kern w:val="0"/>
          <w:sz w:val="32"/>
          <w:szCs w:val="24"/>
          <w:lang w:val="en-US" w:eastAsia="zh-CN"/>
        </w:rPr>
        <w:t>本年工资薪金及社保公积金基数上调，追加人员经费，导致预决算有差异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年初预算数273.65万元，决算数290.32万元，预决算差异率6.09%，主要原因是：</w:t>
      </w:r>
      <w:r>
        <w:rPr>
          <w:rFonts w:hint="eastAsia" w:ascii="仿宋_GB2312" w:hAnsi="仿宋_GB2312" w:eastAsia="仿宋_GB2312"/>
          <w:kern w:val="0"/>
          <w:sz w:val="32"/>
          <w:szCs w:val="24"/>
          <w:lang w:val="en-US" w:eastAsia="zh-CN"/>
        </w:rPr>
        <w:t>本年工资薪金及社保公积金基数上调，追加人员经费，支出增加，导致预决算有差异</w:t>
      </w:r>
      <w:r>
        <w:rPr>
          <w:rFonts w:hint="eastAsia" w:ascii="仿宋_GB2312" w:hAnsi="仿宋_GB2312" w:eastAsia="仿宋_GB2312"/>
          <w:kern w:val="0"/>
          <w:sz w:val="32"/>
          <w:szCs w:val="24"/>
          <w:lang w:val="en-US"/>
        </w:rPr>
        <w:t>。</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outlineLvl w:val="2"/>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beforeLines="0" w:afterLines="0"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290.32</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增加67.32万元，增长30.19%，主要原因是：</w:t>
      </w:r>
      <w:r>
        <w:rPr>
          <w:rFonts w:hint="eastAsia" w:ascii="仿宋_GB2312" w:hAnsi="仿宋_GB2312" w:eastAsia="仿宋_GB2312"/>
          <w:kern w:val="0"/>
          <w:sz w:val="32"/>
          <w:szCs w:val="24"/>
          <w:lang w:val="en-US" w:eastAsia="zh-CN"/>
        </w:rPr>
        <w:t>本年工资薪金及社保公积金基数上调，本年支出数、支出比例增长</w:t>
      </w:r>
      <w:r>
        <w:rPr>
          <w:rFonts w:hint="eastAsia" w:ascii="仿宋_GB2312" w:hAnsi="仿宋_GB2312" w:eastAsia="仿宋_GB2312"/>
          <w:kern w:val="0"/>
          <w:sz w:val="32"/>
          <w:szCs w:val="24"/>
          <w:lang w:val="en-US"/>
        </w:rPr>
        <w:t>。</w:t>
      </w:r>
    </w:p>
    <w:p>
      <w:pPr>
        <w:spacing w:beforeLines="0" w:afterLines="0"/>
        <w:ind w:firstLine="640"/>
        <w:outlineLvl w:val="2"/>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beforeLines="0" w:afterLines="0"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1.社会保障和就业支出（类）22.92万元，占7.89%；</w:t>
      </w:r>
    </w:p>
    <w:p>
      <w:pPr>
        <w:spacing w:beforeLines="0" w:afterLines="0" w:line="600" w:lineRule="exact"/>
        <w:ind w:firstLine="640"/>
        <w:rPr>
          <w:rFonts w:hint="eastAsia" w:eastAsia="仿宋_GB2312"/>
          <w:kern w:val="0"/>
          <w:sz w:val="32"/>
          <w:szCs w:val="24"/>
          <w:lang w:val="en-US" w:eastAsia="zh-CN"/>
        </w:rPr>
      </w:pPr>
      <w:r>
        <w:rPr>
          <w:rFonts w:hint="eastAsia" w:ascii="仿宋_GB2312" w:hAnsi="仿宋_GB2312" w:eastAsia="仿宋_GB2312"/>
          <w:sz w:val="32"/>
          <w:szCs w:val="24"/>
          <w:lang w:val="en-US" w:eastAsia="zh-CN"/>
        </w:rPr>
        <w:t>2.</w:t>
      </w:r>
      <w:r>
        <w:rPr>
          <w:rFonts w:hint="eastAsia" w:ascii="仿宋_GB2312" w:hAnsi="仿宋_GB2312" w:eastAsia="仿宋_GB2312"/>
          <w:sz w:val="32"/>
          <w:szCs w:val="24"/>
          <w:lang w:val="en-US"/>
        </w:rPr>
        <w:t>卫生健康支出（类）267.40万元，占92.11%</w:t>
      </w:r>
      <w:r>
        <w:rPr>
          <w:rFonts w:hint="eastAsia" w:ascii="仿宋_GB2312" w:hAnsi="仿宋_GB2312" w:eastAsia="仿宋_GB2312"/>
          <w:sz w:val="32"/>
          <w:szCs w:val="24"/>
          <w:lang w:val="en-US" w:eastAsia="zh-CN"/>
        </w:rPr>
        <w:t>。</w:t>
      </w:r>
    </w:p>
    <w:p>
      <w:pPr>
        <w:spacing w:beforeLines="0" w:afterLines="0"/>
        <w:ind w:firstLine="640"/>
        <w:outlineLvl w:val="2"/>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beforeLines="0" w:afterLines="0" w:line="600" w:lineRule="exact"/>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1.社会保障和就业支出（类）行政事业单位养老支出（款）机关事业单位基本养老保险缴费支出（项）:支出决算数为22.92万元，比上年决算增加17.72万元，增长340.77%，主要原因是：</w:t>
      </w:r>
      <w:r>
        <w:rPr>
          <w:rFonts w:hint="eastAsia" w:ascii="仿宋_GB2312" w:hAnsi="仿宋_GB2312" w:eastAsia="仿宋_GB2312"/>
          <w:kern w:val="0"/>
          <w:sz w:val="32"/>
          <w:szCs w:val="24"/>
          <w:lang w:val="en-US" w:eastAsia="zh-CN"/>
        </w:rPr>
        <w:t>决算财政拨款支出较上年决算有人员类经费追加，</w:t>
      </w:r>
      <w:r>
        <w:rPr>
          <w:rFonts w:hint="eastAsia" w:ascii="仿宋_GB2312" w:hAnsi="仿宋_GB2312" w:eastAsia="仿宋_GB2312"/>
          <w:kern w:val="0"/>
          <w:sz w:val="32"/>
          <w:szCs w:val="24"/>
          <w:lang w:val="en-US"/>
        </w:rPr>
        <w:t>单位基本养老保险缴费支出</w:t>
      </w:r>
      <w:r>
        <w:rPr>
          <w:rFonts w:hint="eastAsia" w:ascii="仿宋_GB2312" w:hAnsi="仿宋_GB2312" w:eastAsia="仿宋_GB2312"/>
          <w:kern w:val="0"/>
          <w:sz w:val="32"/>
          <w:szCs w:val="24"/>
          <w:lang w:val="en-US" w:eastAsia="zh-CN"/>
        </w:rPr>
        <w:t>款项较上年增加；</w:t>
      </w:r>
    </w:p>
    <w:p>
      <w:pPr>
        <w:spacing w:beforeLines="0" w:afterLines="0" w:line="600" w:lineRule="exact"/>
        <w:ind w:firstLine="640"/>
        <w:rPr>
          <w:rFonts w:hint="default" w:eastAsia="Times New Roman"/>
          <w:sz w:val="32"/>
          <w:szCs w:val="24"/>
          <w:lang w:val="en-US"/>
        </w:rPr>
      </w:pPr>
      <w:r>
        <w:rPr>
          <w:rFonts w:hint="eastAsia" w:ascii="仿宋_GB2312" w:hAnsi="仿宋_GB2312" w:eastAsia="仿宋_GB2312"/>
          <w:kern w:val="0"/>
          <w:sz w:val="32"/>
          <w:szCs w:val="24"/>
          <w:lang w:val="en-US"/>
        </w:rPr>
        <w:t>2.卫生健康支出（类）计划生育事务（款）其他计划生育事务支出（项）:支出决算数为267.40万元，比上年决算增加49.60万元，增长22.77%，主要原因是：</w:t>
      </w:r>
      <w:r>
        <w:rPr>
          <w:rFonts w:hint="eastAsia" w:ascii="仿宋_GB2312" w:hAnsi="仿宋_GB2312" w:eastAsia="仿宋_GB2312"/>
          <w:kern w:val="0"/>
          <w:sz w:val="32"/>
          <w:szCs w:val="24"/>
          <w:lang w:val="en-US" w:eastAsia="zh-CN"/>
        </w:rPr>
        <w:t>本年工资薪金及社保公积金基数上调，追加人员经费，人员类经费追加</w:t>
      </w:r>
      <w:r>
        <w:rPr>
          <w:rFonts w:hint="eastAsia" w:ascii="仿宋_GB2312" w:hAnsi="仿宋_GB2312" w:eastAsia="仿宋_GB2312"/>
          <w:kern w:val="0"/>
          <w:sz w:val="32"/>
          <w:szCs w:val="24"/>
          <w:lang w:val="en-US"/>
        </w:rPr>
        <w:t>。</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2022年度一般公共预算财政拨款基本支出290.32万元，其中：</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人员经费272.23万元，包括：基本工资、津贴补贴、绩效工资、机关事业单位基本养老保险缴费、职工基本医疗保险缴费、公务员医疗补助缴费、其他社会保障缴费、住房公积金、奖励金。</w:t>
      </w:r>
    </w:p>
    <w:p>
      <w:pPr>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公用经费18.09万元，包括：办公费、印刷费、水费、电费、邮电费、取暖费、维修（护）费、专用材料费、工会经费、福利费、公务用车运行维护费。</w:t>
      </w:r>
    </w:p>
    <w:p>
      <w:pPr>
        <w:spacing w:beforeLines="0" w:afterLines="0" w:line="360" w:lineRule="auto"/>
        <w:ind w:firstLine="640"/>
        <w:outlineLvl w:val="1"/>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“三公”经费支出决算4.83万元，比上年减少0.17万元，下降3.40%，主要原因是：</w:t>
      </w:r>
      <w:r>
        <w:rPr>
          <w:rFonts w:hint="eastAsia" w:ascii="仿宋_GB2312" w:hAnsi="仿宋_GB2312" w:eastAsia="仿宋_GB2312"/>
          <w:kern w:val="0"/>
          <w:sz w:val="32"/>
          <w:szCs w:val="24"/>
          <w:lang w:val="en-US" w:eastAsia="zh-CN"/>
        </w:rPr>
        <w:t>本年单位车辆燃油费、维修维护费减少</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4.83万元，占100.00%，比上年减少0.17万元，下降3.40%，主要原因是：</w:t>
      </w:r>
      <w:r>
        <w:rPr>
          <w:rFonts w:hint="eastAsia" w:ascii="仿宋_GB2312" w:hAnsi="仿宋_GB2312" w:eastAsia="仿宋_GB2312"/>
          <w:kern w:val="0"/>
          <w:sz w:val="32"/>
          <w:szCs w:val="24"/>
          <w:lang w:val="en-US" w:eastAsia="zh-CN"/>
        </w:rPr>
        <w:t>本年单位车辆燃油费、维修维护费减少</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公务接待费支出。具体情况如下：</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公务用车购置及运行维护费4.83万元，其中：公务用车购置费0.00万元，公务用车运行维护费4.83万元。公务用车运行维护费开支内容包括公务用车燃油费、</w:t>
      </w:r>
      <w:r>
        <w:rPr>
          <w:rFonts w:hint="eastAsia" w:ascii="仿宋_GB2312" w:hAnsi="仿宋_GB2312" w:eastAsia="仿宋_GB2312"/>
          <w:kern w:val="0"/>
          <w:sz w:val="32"/>
          <w:szCs w:val="24"/>
          <w:lang w:val="en-US" w:eastAsia="zh-CN"/>
        </w:rPr>
        <w:t>车辆维修维护费、</w:t>
      </w:r>
      <w:r>
        <w:rPr>
          <w:rFonts w:hint="eastAsia" w:ascii="仿宋_GB2312" w:hAnsi="仿宋_GB2312" w:eastAsia="仿宋_GB2312"/>
          <w:kern w:val="0"/>
          <w:sz w:val="32"/>
          <w:szCs w:val="24"/>
          <w:lang w:val="en-US"/>
        </w:rPr>
        <w:t>保险费、过路费等。公务用车购置数0辆，公务用车保有量2辆。</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公务接待费。单位全年安排的国内公务接待0批次，0人次。</w:t>
      </w:r>
    </w:p>
    <w:p>
      <w:pPr>
        <w:shd w:val="clear" w:color="auto" w:fill="FFFFFF"/>
        <w:spacing w:beforeLines="0" w:afterLines="0"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4.83万元，决算数4.83万元，预决算差异率0.00%，主要原因是：</w:t>
      </w:r>
      <w:r>
        <w:rPr>
          <w:rFonts w:hint="eastAsia" w:ascii="仿宋_GB2312" w:hAnsi="仿宋_GB2312" w:eastAsia="仿宋_GB2312"/>
          <w:kern w:val="0"/>
          <w:sz w:val="32"/>
          <w:szCs w:val="24"/>
          <w:lang w:val="en-US" w:eastAsia="zh-CN"/>
        </w:rPr>
        <w:t>本年单位严格按照年初预算数执行</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公务用车购置；公务用车运行费全年预算数4.83万元，决算数4.83万元，预决算差异率0.00%，主要原因是：</w:t>
      </w:r>
      <w:r>
        <w:rPr>
          <w:rFonts w:hint="eastAsia" w:ascii="仿宋_GB2312" w:hAnsi="仿宋_GB2312" w:eastAsia="仿宋_GB2312"/>
          <w:kern w:val="0"/>
          <w:sz w:val="32"/>
          <w:szCs w:val="24"/>
          <w:lang w:val="en-US" w:eastAsia="zh-CN"/>
        </w:rPr>
        <w:t>本年单位严格按照年初预算数执行</w:t>
      </w:r>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w:t>
      </w:r>
      <w:r>
        <w:rPr>
          <w:rFonts w:hint="eastAsia" w:ascii="仿宋_GB2312" w:hAnsi="仿宋_GB2312" w:eastAsia="仿宋_GB2312"/>
          <w:kern w:val="0"/>
          <w:sz w:val="32"/>
          <w:szCs w:val="24"/>
          <w:lang w:val="en-US"/>
        </w:rPr>
        <w:t>公务接待费。</w:t>
      </w:r>
    </w:p>
    <w:p>
      <w:pPr>
        <w:spacing w:beforeLines="0" w:afterLines="0" w:line="360" w:lineRule="auto"/>
        <w:ind w:firstLine="640"/>
        <w:outlineLvl w:val="1"/>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beforeLines="0" w:afterLines="0"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beforeLines="0" w:afterLines="0"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beforeLines="0" w:afterLines="0" w:line="360" w:lineRule="auto"/>
        <w:ind w:firstLine="640"/>
        <w:outlineLvl w:val="2"/>
        <w:rPr>
          <w:rFonts w:hint="default" w:eastAsia="Times New Roman"/>
          <w:color w:val="auto"/>
          <w:sz w:val="32"/>
          <w:szCs w:val="24"/>
          <w:lang w:val="zh-CN"/>
        </w:rPr>
      </w:pPr>
      <w:r>
        <w:rPr>
          <w:rFonts w:hint="eastAsia" w:ascii="黑体" w:hAnsi="黑体" w:eastAsia="黑体"/>
          <w:color w:val="auto"/>
          <w:sz w:val="32"/>
          <w:szCs w:val="24"/>
          <w:lang w:val="zh-CN"/>
        </w:rPr>
        <w:t>（一）机关运行经费支出情况</w:t>
      </w:r>
    </w:p>
    <w:p>
      <w:pPr>
        <w:spacing w:beforeLines="0" w:afterLines="0" w:line="360" w:lineRule="auto"/>
        <w:ind w:firstLine="640"/>
        <w:rPr>
          <w:rFonts w:hint="default" w:eastAsia="Times New Roman"/>
          <w:color w:val="auto"/>
          <w:kern w:val="0"/>
          <w:sz w:val="32"/>
          <w:szCs w:val="24"/>
          <w:highlight w:val="yellow"/>
          <w:lang w:val="en-US"/>
        </w:rPr>
      </w:pPr>
      <w:r>
        <w:rPr>
          <w:rFonts w:hint="eastAsia" w:ascii="仿宋_GB2312" w:hAnsi="仿宋_GB2312" w:eastAsia="仿宋_GB2312"/>
          <w:color w:val="auto"/>
          <w:kern w:val="0"/>
          <w:sz w:val="32"/>
          <w:szCs w:val="24"/>
          <w:lang w:val="en-US"/>
        </w:rPr>
        <w:t>2022年度乌鲁木齐市米东区妇幼保健服务中心单位公用经费18.09万元，比上年增加0.16万元，增长0.89%，主要原因是：</w:t>
      </w:r>
      <w:bookmarkStart w:id="0" w:name="_GoBack"/>
      <w:r>
        <w:rPr>
          <w:rFonts w:hint="eastAsia" w:ascii="仿宋_GB2312" w:hAnsi="仿宋_GB2312" w:eastAsia="仿宋_GB2312"/>
          <w:color w:val="auto"/>
          <w:kern w:val="0"/>
          <w:sz w:val="32"/>
          <w:szCs w:val="24"/>
          <w:lang w:val="en-US" w:eastAsia="zh-CN"/>
        </w:rPr>
        <w:t>本年工会经费、印刷费支出较上年增加</w:t>
      </w:r>
      <w:bookmarkEnd w:id="0"/>
      <w:r>
        <w:rPr>
          <w:rFonts w:hint="eastAsia" w:ascii="仿宋_GB2312" w:hAnsi="仿宋_GB2312" w:eastAsia="仿宋_GB2312"/>
          <w:color w:val="auto"/>
          <w:kern w:val="0"/>
          <w:sz w:val="32"/>
          <w:szCs w:val="24"/>
          <w:lang w:val="en-US"/>
        </w:rPr>
        <w:t>。</w:t>
      </w:r>
    </w:p>
    <w:p>
      <w:pPr>
        <w:spacing w:beforeLines="0" w:afterLines="0" w:line="360" w:lineRule="auto"/>
        <w:ind w:firstLine="640"/>
        <w:outlineLvl w:val="2"/>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beforeLines="0" w:afterLines="0" w:line="360" w:lineRule="auto"/>
        <w:ind w:firstLine="640"/>
        <w:outlineLvl w:val="2"/>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284.63</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2辆，价值35.46万元，其中：副部（省）级及以上领导用车0辆、主要领导干部用车0辆、机要通信用车0辆、应急保障用车0辆、执法执勤用车0辆、特种专业技术用车0辆、离退休干部用车0辆、其他用车2辆，其他用车主要是：</w:t>
      </w:r>
      <w:r>
        <w:rPr>
          <w:rFonts w:hint="eastAsia" w:ascii="仿宋_GB2312" w:hAnsi="仿宋_GB2312" w:eastAsia="仿宋_GB2312"/>
          <w:color w:val="auto"/>
          <w:kern w:val="0"/>
          <w:sz w:val="32"/>
          <w:szCs w:val="24"/>
          <w:lang w:val="en-US" w:eastAsia="zh-CN"/>
        </w:rPr>
        <w:t>2辆均为单位业务用车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beforeLines="0" w:afterLines="0" w:line="360" w:lineRule="auto"/>
        <w:ind w:firstLine="640"/>
        <w:outlineLvl w:val="1"/>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。发现的问题及原因：</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。下一步改进措施：</w:t>
      </w:r>
      <w:r>
        <w:rPr>
          <w:rFonts w:hint="default" w:ascii="仿宋_GB2312" w:eastAsia="仿宋_GB2312"/>
          <w:sz w:val="32"/>
          <w:szCs w:val="24"/>
        </w:rPr>
        <w:t>我单位2022年度无预算绩效项目</w:t>
      </w:r>
      <w:r>
        <w:rPr>
          <w:rFonts w:hint="eastAsia" w:ascii="仿宋_GB2312" w:hAnsi="仿宋_GB2312" w:eastAsia="仿宋_GB2312"/>
          <w:color w:val="auto"/>
          <w:kern w:val="0"/>
          <w:sz w:val="32"/>
          <w:szCs w:val="24"/>
          <w:lang w:val="en-US"/>
        </w:rPr>
        <w:t>。</w:t>
      </w:r>
    </w:p>
    <w:p>
      <w:pPr>
        <w:shd w:val="clear" w:color="auto" w:fill="FFFFFF"/>
        <w:spacing w:before="100" w:beforeLines="0" w:after="240" w:afterLines="0"/>
        <w:jc w:val="center"/>
        <w:outlineLvl w:val="0"/>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beforeLines="0" w:afterLines="0"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color w:val="auto"/>
          <w:kern w:val="0"/>
          <w:sz w:val="32"/>
          <w:szCs w:val="24"/>
          <w:lang w:val="en-US"/>
        </w:rPr>
      </w:pPr>
    </w:p>
    <w:p>
      <w:pPr>
        <w:shd w:val="clear" w:color="auto" w:fill="FFFFFF"/>
        <w:spacing w:before="100" w:beforeLines="0" w:after="240" w:afterLines="0"/>
        <w:jc w:val="center"/>
        <w:outlineLvl w:val="0"/>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F420B3C"/>
    <w:rsid w:val="143221F4"/>
    <w:rsid w:val="6B2316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spacing w:beforeLines="0" w:afterLines="0"/>
      <w:jc w:val="both"/>
    </w:pPr>
    <w:rPr>
      <w:rFonts w:hint="default" w:ascii="Times New Roman" w:hAnsi="Times New Roman" w:eastAsia="宋体" w:cs="Times New Roman"/>
      <w:kern w:val="2"/>
      <w:sz w:val="21"/>
      <w:szCs w:val="24"/>
    </w:rPr>
  </w:style>
  <w:style w:type="character" w:default="1" w:styleId="4">
    <w:name w:val="Default Paragraph Font"/>
    <w:unhideWhenUsed/>
    <w:qFormat/>
    <w:uiPriority w:val="99"/>
    <w:rPr>
      <w:rFonts w:hint="default"/>
      <w:sz w:val="24"/>
      <w:szCs w:val="24"/>
    </w:rPr>
  </w:style>
  <w:style w:type="table" w:default="1" w:styleId="3">
    <w:name w:val="Normal Table"/>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beforeLines="0" w:afterLines="0"/>
      <w:jc w:val="center"/>
    </w:pPr>
    <w:rPr>
      <w:rFonts w:hint="eastAsia" w:eastAsia="仿宋_GB2312"/>
      <w:color w:val="000000"/>
      <w:sz w:val="36"/>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4620</Words>
  <Characters>5152</Characters>
  <TotalTime>4</TotalTime>
  <ScaleCrop>false</ScaleCrop>
  <LinksUpToDate>false</LinksUpToDate>
  <CharactersWithSpaces>5162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2023-08-28T08:29:00Z</dcterms:created>
  <dc:creator>asus</dc:creator>
  <cp:lastModifiedBy>逐梦令</cp:lastModifiedBy>
  <dcterms:modified xsi:type="dcterms:W3CDTF">2023-09-01T10:00:49Z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EC45A918041A45299372DDEA59D4A228_13</vt:lpwstr>
  </property>
</Properties>
</file>