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乌鲁木齐市米东区工商业联合会（商会）</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(一)依据《中国工商业联合会章程》贯彻执行米东区工商联</w:t>
      </w:r>
      <w:r>
        <w:rPr>
          <w:rFonts w:hint="eastAsia" w:ascii="仿宋_GB2312" w:hAnsi="仿宋_GB2312" w:eastAsia="仿宋_GB2312"/>
          <w:kern w:val="0"/>
          <w:sz w:val="32"/>
          <w:szCs w:val="24"/>
          <w:lang w:val="en-US" w:eastAsia="zh-CN"/>
        </w:rPr>
        <w:t>支</w:t>
      </w:r>
      <w:r>
        <w:rPr>
          <w:rFonts w:hint="eastAsia" w:ascii="仿宋_GB2312" w:hAnsi="仿宋_GB2312" w:eastAsia="仿宋_GB2312"/>
          <w:kern w:val="0"/>
          <w:sz w:val="32"/>
          <w:szCs w:val="24"/>
          <w:lang w:val="zh-CN"/>
        </w:rPr>
        <w:t>委会、常委会决议。</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(二)做好米东区工商联履行政治协商、参政议政、民主监督职能的有关工作。</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(三)开展非公有制经济人士思想政治工作，做好非公经济人士的日常联系、考察、培训工作，协商做好政治安排推荐工作。</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(四)负责米东区商会具体工作,加强政府部门及有关经济组织的联系，为会员企业开展经济活动提供服务。</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(五)依照法律和《中国工商业联合会章程》维护会员的合法权利；反映会员的意见、建议,为会员提供服务。</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(六)加强对外联系,促进经济、技术和贸易合作,协作引进资金、技术、人才。</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(七)办好商会办的服务事业和经济实体。</w:t>
      </w:r>
    </w:p>
    <w:p>
      <w:pPr>
        <w:shd w:val="clear" w:color="auto" w:fill="FFFFFF"/>
        <w:spacing w:line="360" w:lineRule="auto"/>
        <w:ind w:firstLine="640"/>
        <w:rPr>
          <w:rFonts w:hint="eastAsia" w:ascii="仿宋_GB2312" w:hAnsi="仿宋_GB2312" w:eastAsia="仿宋_GB2312"/>
          <w:kern w:val="0"/>
          <w:sz w:val="32"/>
          <w:szCs w:val="24"/>
          <w:lang w:val="zh-CN"/>
        </w:rPr>
      </w:pPr>
      <w:r>
        <w:rPr>
          <w:rFonts w:hint="eastAsia" w:ascii="仿宋_GB2312" w:hAnsi="仿宋_GB2312" w:eastAsia="仿宋_GB2312"/>
          <w:kern w:val="0"/>
          <w:sz w:val="32"/>
          <w:szCs w:val="24"/>
          <w:lang w:val="zh-CN"/>
        </w:rPr>
        <w:t>(八)引导会员弘扬中华民族传统美德，热心社会公益事业,积极参与光彩事业，“致富思源、富而思进”，扶危济困、共同富裕，义利兼顾、德行并重，发展企业、回馈社会。</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乌鲁木齐市米东区工商业联合会（商会）2022年度，实有人数11人，其中：在职人员3人，离休人员0人，退休人员8人。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从部门决算单位构成看，乌鲁木齐市米东区工商业联合会（商会）部门决算包括：乌鲁木齐市米东区工商业联合会（商会）</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rPr>
        <w:t>工商联党组书记办公室、工商联秘书长办公室、工商联办公室</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71.98万元，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69.48</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2.50</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与上年相比，增加71.98万元，增长100.00%，主要原因是：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71.98万元，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68.92</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3.06</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与上年相比，增加71.98万元，增长100.00%，主要原因是：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69.48万元，其中：财政拨款收入69.48万元，占100.00%；上级补助收入0.00万元，占0.00%；事业收入0.00万元，占0.00%；经营收入0.00万元，占0.00%；附属单位上缴收入0.00万元，占0.00%；其他收入0.00万元，占0.00%。</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2022年度本年支出68.92万元，其中：基本支出68.92万元，占100.00%；项目支出0.00万元，占0.00%；上缴上级支出0.00万元，占0.00%；经营支出0.00万元，占0.00%；对附属单位补助支出0.00万元，占0.00%。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71.98万元，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2.50</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69.48</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与上年相比，增加71.98万元，增长100.00%，主要原因是：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71.98万元，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3.06</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68.92</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与上年相比，增加71.98万元，增长100.00%，主要原因是：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年初预算数68.91万元，决算数71.98万元，预决算差异率4.46%，主要原因是：</w:t>
      </w:r>
      <w:r>
        <w:rPr>
          <w:rFonts w:hint="eastAsia" w:ascii="仿宋_GB2312" w:hAnsi="仿宋_GB2312" w:eastAsia="仿宋_GB2312"/>
          <w:kern w:val="0"/>
          <w:sz w:val="32"/>
          <w:szCs w:val="24"/>
          <w:lang w:val="en-US" w:eastAsia="zh-CN"/>
        </w:rPr>
        <w:t>在编人员增资及社保、公积金基数上调，追加人员经费，导致预决算有差异</w:t>
      </w: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年初预算数68.91万元，决算数71.98万元，预决算差异率4.46%，主要原因是：</w:t>
      </w:r>
      <w:r>
        <w:rPr>
          <w:rFonts w:hint="eastAsia" w:ascii="仿宋_GB2312" w:hAnsi="仿宋_GB2312" w:eastAsia="仿宋_GB2312"/>
          <w:kern w:val="0"/>
          <w:sz w:val="32"/>
          <w:szCs w:val="24"/>
          <w:lang w:val="en-US" w:eastAsia="zh-CN"/>
        </w:rPr>
        <w:t>在编人员增资及社保、公积金基数上调，追加人员经费，支出增加，导致预决算有差异</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68.92</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增加68.92万元，增长100.00%，主要原因是：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1.一般公共服务支出（类）62.80万元，占91.12%；</w:t>
      </w:r>
    </w:p>
    <w:p>
      <w:pPr>
        <w:spacing w:line="600" w:lineRule="exact"/>
        <w:ind w:firstLine="640"/>
        <w:rPr>
          <w:rFonts w:hint="eastAsia" w:eastAsia="仿宋_GB2312"/>
          <w:kern w:val="0"/>
          <w:sz w:val="32"/>
          <w:szCs w:val="24"/>
          <w:lang w:val="en-US" w:eastAsia="zh-CN"/>
        </w:rPr>
      </w:pPr>
      <w:r>
        <w:rPr>
          <w:rFonts w:hint="eastAsia" w:ascii="仿宋_GB2312" w:hAnsi="仿宋_GB2312" w:eastAsia="仿宋_GB2312"/>
          <w:kern w:val="0"/>
          <w:sz w:val="32"/>
          <w:szCs w:val="24"/>
          <w:lang w:val="en-US"/>
        </w:rPr>
        <w:t>2.社会保障和就业支出（类）6.12万元，占8.88%</w:t>
      </w:r>
      <w:r>
        <w:rPr>
          <w:rFonts w:hint="eastAsia" w:ascii="仿宋_GB2312" w:hAnsi="仿宋_GB2312" w:eastAsia="仿宋_GB2312"/>
          <w:kern w:val="0"/>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1.一般公共服务支出（类）民主党派及工商联事务（款）行政运行（项）:支出决算数为62.80万元，比上年决算增加62.80万元，增长100.00%，主要原因是：</w:t>
      </w:r>
      <w:r>
        <w:rPr>
          <w:rFonts w:hint="eastAsia" w:ascii="仿宋_GB2312" w:hAnsi="仿宋_GB2312" w:eastAsia="仿宋_GB2312"/>
          <w:kern w:val="0"/>
          <w:sz w:val="32"/>
          <w:szCs w:val="24"/>
          <w:lang w:val="en-US" w:eastAsia="zh-CN"/>
        </w:rPr>
        <w:t>我单位为2022年新增单位；</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2.社会保障和就业支出（类）行政事业单位养老支出（款）机关事业单位基本养老保险缴费支出（项）:支出决算数为6.12万元，比上年决算增加6.12万元，增长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default" w:eastAsia="Times New Roman"/>
          <w:kern w:val="0"/>
          <w:sz w:val="32"/>
          <w:szCs w:val="24"/>
          <w:highlight w:val="yellow"/>
          <w:lang w:val="en-US"/>
        </w:rPr>
      </w:pPr>
      <w:r>
        <w:rPr>
          <w:rFonts w:hint="eastAsia" w:ascii="仿宋_GB2312" w:hAnsi="仿宋_GB2312" w:eastAsia="仿宋_GB2312"/>
          <w:kern w:val="0"/>
          <w:sz w:val="32"/>
          <w:szCs w:val="24"/>
          <w:lang w:val="en-US"/>
        </w:rPr>
        <w:t>2022年度一般公共预算财政拨款基本支出68.92万元，其中：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人员经费67.55万元，包括：基本工资、津贴补贴、机关事业单位基本养老保险缴费、职工基本医疗保险缴费、公务员医疗补助缴费、其他社会保障缴费、住房公积金、奖励金。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公用经费1.37万元，包括：办公费、工会经费、公务用车运行维护费。</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“三公”经费支出决算1.08万元，比上年增加1.08万元，增长100.00%，主要原因是：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1.08万元，占100.00%，比上年增加1.08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1.08万元，其中：公务用车购置费0.00万元，公务用车运行维护费1.08万元。公务用车运行维护费开支内容包括公务用车燃油费、车辆维修维护费、保险费、过路费等。公务用车购置数0辆，公务用车保有量1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1.08万元，决算数1.08万元，预决算差异率0.00%，主要原因是：单位严格执行“三公”经费支出标准，未超预算。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；公务用车运行费全年预算数1.08万元，决算数1.08万元，预决算差异率0.00%，主要原因是：</w:t>
      </w:r>
      <w:bookmarkStart w:id="0" w:name="_Hlk110848692"/>
      <w:r>
        <w:rPr>
          <w:rFonts w:hint="eastAsia" w:ascii="仿宋_GB2312" w:eastAsia="仿宋_GB2312" w:cs="仿宋_GB2312"/>
          <w:kern w:val="0"/>
          <w:sz w:val="32"/>
          <w:szCs w:val="32"/>
        </w:rPr>
        <w:t>单位严格执行“三公”经费支出标准，未超预算</w:t>
      </w:r>
      <w:bookmarkEnd w:id="0"/>
      <w:r>
        <w:rPr>
          <w:rFonts w:hint="eastAsia" w:ascii="仿宋_GB2312" w:hAnsi="仿宋_GB2312" w:eastAsia="仿宋_GB2312"/>
          <w:kern w:val="0"/>
          <w:sz w:val="32"/>
          <w:szCs w:val="24"/>
          <w:lang w:val="en-US"/>
        </w:rPr>
        <w:t>；公务接待费全年预算数0.00万元，决算数0.00万元，预决算差异率0.00%，主要原因是：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2022年度乌鲁木齐市米东区工商业联合会（商会）单位机关运行经费支出1.37万元，比上年增加1.37万元，增长100.00%，主要原因是：</w:t>
      </w:r>
      <w:r>
        <w:rPr>
          <w:rFonts w:hint="eastAsia" w:ascii="仿宋_GB2312" w:hAnsi="仿宋_GB2312" w:eastAsia="仿宋_GB2312"/>
          <w:color w:val="auto"/>
          <w:kern w:val="0"/>
          <w:sz w:val="32"/>
          <w:szCs w:val="24"/>
          <w:lang w:val="en-US" w:eastAsia="zh-CN"/>
        </w:rPr>
        <w:t>我单位为2022年新增单位</w:t>
      </w:r>
      <w:r>
        <w:rPr>
          <w:rFonts w:hint="eastAsia" w:ascii="仿宋_GB2312" w:hAnsi="仿宋_GB2312" w:eastAsia="仿宋_GB2312"/>
          <w:color w:val="auto"/>
          <w:kern w:val="0"/>
          <w:sz w:val="32"/>
          <w:szCs w:val="24"/>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2022年度政府采购支出总额0.30万元，其中：政府采购货物支出0.00万元、政府采购工程支出0.00万元、政府采购服务支出0.30万元。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授予中小企业合同金额0.30万元，占政府采购支出总额的100.00%，其中：授予小微企业合同金额0.30万元，占政府采购支出总额的100.00%。</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26.55</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1辆，价值9.80万元，其中：副部（省）级及以上领导用车0辆、主要领导干部用车0辆、机要通信用车0辆、应急保障用车0辆、执法执勤用车0辆、特种专业技术用车0辆、离退休干部用车0辆、其他用车1辆，其他用车主要是：</w:t>
      </w:r>
      <w:r>
        <w:rPr>
          <w:rFonts w:hint="eastAsia" w:ascii="仿宋_GB2312" w:hAnsi="仿宋_GB2312" w:eastAsia="仿宋_GB2312"/>
          <w:color w:val="auto"/>
          <w:kern w:val="0"/>
          <w:sz w:val="32"/>
          <w:szCs w:val="24"/>
          <w:lang w:val="en-US" w:eastAsia="zh-CN"/>
        </w:rPr>
        <w:t>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autoSpaceDE w:val="0"/>
        <w:autoSpaceDN w:val="0"/>
        <w:adjustRightInd w:val="0"/>
        <w:spacing w:line="360" w:lineRule="auto"/>
        <w:ind w:firstLine="640"/>
        <w:rPr>
          <w:rFonts w:hint="default" w:eastAsia="仿宋_GB2312"/>
          <w:kern w:val="0"/>
          <w:sz w:val="24"/>
          <w:szCs w:val="24"/>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0.00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w:t>
      </w:r>
      <w:r>
        <w:rPr>
          <w:rFonts w:hint="eastAsia" w:ascii="仿宋_GB2312" w:eastAsia="仿宋_GB2312" w:cs="仿宋_GB2312"/>
          <w:kern w:val="0"/>
          <w:sz w:val="32"/>
          <w:szCs w:val="32"/>
        </w:rPr>
        <w:t>我单位无预算绩效管理的项目。</w:t>
      </w:r>
      <w:r>
        <w:rPr>
          <w:rFonts w:hint="eastAsia" w:ascii="仿宋_GB2312" w:hAnsi="仿宋_GB2312" w:eastAsia="仿宋_GB2312"/>
          <w:color w:val="auto"/>
          <w:kern w:val="0"/>
          <w:sz w:val="32"/>
          <w:szCs w:val="24"/>
          <w:lang w:val="en-US"/>
        </w:rPr>
        <w:t>发现的问题及原因：</w:t>
      </w:r>
      <w:r>
        <w:rPr>
          <w:rFonts w:hint="eastAsia" w:ascii="仿宋_GB2312" w:eastAsia="仿宋_GB2312" w:cs="仿宋_GB2312"/>
          <w:kern w:val="0"/>
          <w:sz w:val="32"/>
          <w:szCs w:val="32"/>
        </w:rPr>
        <w:t>我单位无预算绩效管理的项目。</w:t>
      </w:r>
      <w:r>
        <w:rPr>
          <w:rFonts w:hint="eastAsia" w:ascii="仿宋_GB2312" w:hAnsi="仿宋_GB2312" w:eastAsia="仿宋_GB2312"/>
          <w:color w:val="auto"/>
          <w:kern w:val="0"/>
          <w:sz w:val="32"/>
          <w:szCs w:val="24"/>
          <w:lang w:val="en-US"/>
        </w:rPr>
        <w:t>下一步改进措施：</w:t>
      </w:r>
      <w:r>
        <w:rPr>
          <w:rFonts w:hint="eastAsia" w:ascii="仿宋_GB2312" w:eastAsia="仿宋_GB2312" w:cs="仿宋_GB2312"/>
          <w:kern w:val="0"/>
          <w:sz w:val="32"/>
          <w:szCs w:val="32"/>
        </w:rPr>
        <w:t>我单位无预算绩效管理的项目。</w:t>
      </w: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before="100" w:after="240"/>
        <w:jc w:val="center"/>
        <w:rPr>
          <w:rFonts w:hint="default" w:eastAsia="Times New Roman"/>
          <w:color w:val="auto"/>
          <w:kern w:val="0"/>
          <w:sz w:val="32"/>
          <w:szCs w:val="24"/>
          <w:lang w:val="en-US"/>
        </w:rPr>
      </w:pPr>
      <w:bookmarkStart w:id="1" w:name="_GoBack"/>
      <w:bookmarkEnd w:id="1"/>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212D4DF0"/>
    <w:rsid w:val="32C0771E"/>
    <w:rsid w:val="66A369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4598</Words>
  <Characters>5132</Characters>
  <TotalTime>1</TotalTime>
  <ScaleCrop>false</ScaleCrop>
  <LinksUpToDate>false</LinksUpToDate>
  <CharactersWithSpaces>5143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2023-08-24T07:30:00Z</dcterms:created>
  <dc:creator>asus</dc:creator>
  <cp:lastModifiedBy>逐梦令</cp:lastModifiedBy>
  <dcterms:modified xsi:type="dcterms:W3CDTF">2023-09-01T10:03:18Z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E43325D901FD463593B3212DA683D82C_13</vt:lpwstr>
  </property>
</Properties>
</file>