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2021年居民小区物业管理全覆盖补贴资金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乌鲁木齐市米东区建设局（交通局、人民防空办公室）</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乌鲁木齐市米东区建设局（交通局、人民防空办公室）</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姚江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鲁木齐居民小区物业管理全覆盖工作实施方案》，2019年市委、市政府将居民小区物业服务管理全覆盖列入民生建设十大实事，明确提出全市所有居民小区必须实现物业服务管理全覆盖。按照“覆盖工程”工作要求，以专业化物业管理为主、业主自管、单位自管、准物业管理为辅的多种管理模式，落实居民小区物业管理的全覆盖。同时积极引导服务能力强、服务水平高的物业服务企业采取以大带小、以强带弱、辐射周边等方式，对老旧小区实施专业化物业管理工作。计划在“十四五”期间，逐步实现专业化物业服务全覆盖。</w:t>
        <w:br/>
        <w:t>根据《关于拨付2021年居民小区物业管理全覆盖补贴资金的通知》乌财建【2022】87号，2021年居民小区物业管理全覆盖补贴资金项目根据市房产局相关请示及市政府批示，现拨付782.71万元，专项用于2021年居民小区物业管理全覆盖补贴。经乌财建【2022】87号文件批准，项目系2022年市级资金，共安排预算262.02万元，于2022年年中追加预算批复项目，资金到位262.02万元，实际支付261.85万元，年中对资金没有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该项目绩效目标设置横跨项目期一年，为总体绩效目标，预计在一年建设期间，计划完成13家物业公司补贴发放工作。此项目的实施可改善加强小区宜居环境，增强居民获得感、幸福感和安全感。</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（1）绩效评价的对象：2021年居民小区物业管理全覆盖补贴资金项目 </w:t>
        <w:br/>
        <w:t>（2）绩效评价范围：</w:t>
        <w:br/>
        <w:t>1.项目范围：2021年居民小区物业管理全覆盖补贴资金项目资金已落实到位，资金投入总额为261.85万元，项目实施后产生可有力落实政府辅助物业企业，改善加强124个小区宜居环境，增强居民获得感、幸福感和安全感。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2021年居民小区物业管理全覆盖补贴资金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2021年居民小区物业管理全覆盖补贴资金项目进行客观评价，最终评分结果为：总分为100分，绩效评级为“优”。</w:t>
        <w:br/>
        <w:t>项目各部分权重和绩效分值如附表所示：</w:t>
        <w:br/>
        <w:t>该项目资金区财政及时拨付，单位在此次评价期间内，有序完成设定目标的工作任务，资金投入总额为261.85万元，项目实施后可有力落实政府辅助物业企业，改善加强124个小区宜居环境，并配备有相应的设施，增强居民获得感、幸福感和安全感。</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项目决算指标由3个二级指标和6个三级指标构成，权重为20分，实际得分20分。1.项目立项</w:t>
        <w:br/>
        <w:t>立项依据充分性：项目立项符合《乌鲁木齐市居民小区物业管理全覆盖工作实施方案》以及《2022年乌鲁木齐市政府工作报告》。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2021年居民小区物业管理全覆盖补贴资金项目实施后可有力落实政府辅助物业企业，改善加强124个小区宜居环境，并配备有相应的设施，增强居民获得感、幸福感和安全感。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预算编制科学性：本项目预算编制依据为《关于拨付2021年居民小区物业管理全覆盖补贴资金的通知》乌财建【2022】87号文件。故本项目预算编制具有合理科学的文件支持。故预算编制科学性指标得分3分。</w:t>
        <w:br/>
        <w:t></w:t>
        <w:br/>
        <w:t xml:space="preserve"> </w:t>
        <w:br/>
        <w:t>资金分配合理性：本项目资金分配依据为《关于拨付2021年居民小区物业管理全覆盖补贴资金的通知》乌财建【2022】87号文件。</w:t>
        <w:br/>
        <w:t>故本项目资金分配具有合理科学的文件支持。故资金分配合理性指标得分3分。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 本项目资金到位数为262.02万元，资金到位时间为2022年12月。资金到位率为100%，故资金到位率指标得分5分。</w:t>
        <w:br/>
        <w:t></w:t>
        <w:br/>
        <w:t></w:t>
        <w:br/>
        <w:t></w:t>
        <w:br/>
        <w:t xml:space="preserve"> </w:t>
        <w:br/>
        <w:t>预算执行率：我单位按照乌财建【2022】87号文，于2022年12月一批次支付我区13家物业公司261.85万元，覆盖124个小区。预算执行率为100%，故预算执行率得分为5分。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管理制度健全性：乌鲁木齐市米东区建设局已制定相应的财务和业务管理制度，且制度合法、合规、完整，为项目顺利实施提供重要保障。故管理制度健全性得分为3分。</w:t>
        <w:br/>
        <w:t>制度执行有效性：根据现场调研和资料抽查情况，乌鲁木齐市米东区建设局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数量指标“企业扶持补贴发放数”的目标值是13个，依据本项目涉及的财政补贴项目资金申请审批明细表及国库支付凭证，2022年度我单位实际完成13个。指标完成率100%。故指标得分为10分。</w:t>
        <w:br/>
        <w:t>2.产出质量</w:t>
        <w:br/>
        <w:t>补贴发放完成率：目标值=100%，依据本项目涉及的财政补贴项目资金申请审批明细表及国库支付凭证，该指标实际完成值100%，指标完成率100%。故指标得分为10分。</w:t>
        <w:br/>
        <w:t>3.产出时效</w:t>
        <w:br/>
        <w:t>补贴资金及时率：根据本项目涉及的国库支付凭证，于2022年12月全部落实到位。该指标实际完成值100%，指标完成率100%。故指标得分为10分。</w:t>
        <w:br/>
        <w:t></w:t>
        <w:br/>
        <w:t>4.产出成本</w:t>
        <w:br/>
        <w:t>项目预算控制率：目标值为≤100%。市级拨付资金为262.02万元，实际支付资金为261.85万元，本项目预算控制率为99.9%。指标完成率为100%，故得分为10分。</w:t>
        <w:br/>
        <w:t>综上，该指标满分40分，得分40分。</w:t>
        <w:br/>
        <w:t>（四）项目效益情况</w:t>
        <w:br/>
        <w:t xml:space="preserve">项目效益指标由1个二级指标和2个三级指标构成，权重为20分，实际得分20分。 </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（1）实施效益</w:t>
        <w:br/>
        <w:t>经济效益指标：不适用。 </w:t>
        <w:br/>
        <w:t>社会效益指标：评价指标“改善小区宜居环境”，指标值：有效改善，实际完成值：完全达到预期效果。本项目的实施有力扶持了物业企业，改善加强小区宜居环境。指标完成率100%，。指标得分10分</w:t>
        <w:br/>
        <w:t>生态效益指标：不适用。</w:t>
        <w:br/>
        <w:t>可持续影响指标：评价指标“增强居民幸福感”，指标值：有效增强，实际完成值：完全达到预期效果。本项目的实施提升物业服务质量，增强居民获得感、幸福感和安全感。指标完成率100%，。指标得分5分</w:t>
        <w:br/>
        <w:t>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满意度指标完成情况分析</w:t>
        <w:br/>
        <w:t>（1）满意度指标</w:t>
        <w:br/>
        <w:t>居民满意度：评价指标“居民满意度”，指标值：≥90%，实际完成值：≥90%。通过设置问卷调查的方式进行考评评价，共计调查样本总量为20个样本，有效调查问卷20份。其中，统计“居民满意度”的平均值为90%。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在管理模式上，老旧小区物业覆盖工作通过因地制宜、整合资源、统筹优化、分类实施、综合管理等措施，实施老旧小区规模化、集约化、专业化创新管理模式。</w:t>
        <w:br/>
        <w:t>在充分考虑业主承受能力并确保物业管理企业可持续经营的基础上，遵循合理、公开、质价相符的原则。老旧小区的物业服务标准参照目前市场物业服务标准，包括秩序维护、保洁清洁、绿化养护等。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反映项目执行偏差情况和原因分析,形成纠偏的计划。项目取得的效果和效益情况,将项目取得的实际效果和效益状况与绩效目标对比,考察一致性和可持续性。项目组织实施和项目绩效的实际情况与目标的差异分析,分析项目原定绩效目标的可能性。</w:t>
        <w:br/>
        <w:t>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</w:t>
        <w:br/>
        <w:t>七、其他需要说明的问题</w:t>
        <w:br/>
        <w:t>1.项目支出政策和路径设计科学，符合实际需要；</w:t>
        <w:br/>
        <w:t>2.项目安排准确，未发现背离项目立项初衷的情况；</w:t>
        <w:br/>
        <w:t>3.项目的申报、审核机制完善；</w:t>
        <w:br/>
        <w:t>4.未发现虚假行为和骗取财政资金的问题。</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有关建议</w:t>
        <w:br/>
        <w:t>绩效评价报告应有针对性地对项目存在的不足提出改进措施和建议。建议或对会应和问题原因相对应,理由充分,要有切实可行的改进措施及责任主体,并且明确时间要求。相关建议和对策应当具有较强的可行性,前瞻性及科学性,有利于促进项日实施机构、财政部门及其他政府监督部门提高绩效管理水平。</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评价报告应有针对性地对项目存在的不足提出改进措施和建议。建议或对会应和问题原因相对应,理由充分,要有切实可行的改进措施及责任主体,并且明确时间要求。相关建议和对策应当具有较强的可行性,前瞻性及科学性,有利于促进项日实施机构、财政部门及其他政府监督部门提高绩效管理水平。</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