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lang w:val="zh-CN"/>
        </w:rPr>
      </w:pPr>
    </w:p>
    <w:p>
      <w:pPr>
        <w:shd w:val="clear" w:color="auto" w:fill="FFFFFF"/>
        <w:spacing w:before="240" w:after="240"/>
        <w:jc w:val="center"/>
        <w:rPr>
          <w:rFonts w:hint="default" w:eastAsia="Times New Roman"/>
          <w:kern w:val="36"/>
          <w:sz w:val="40"/>
          <w:szCs w:val="24"/>
          <w:lang w:val="zh-CN"/>
        </w:rPr>
      </w:pPr>
    </w:p>
    <w:p>
      <w:pPr>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乌鲁木齐市米东区归国华侨联合会</w:t>
      </w:r>
    </w:p>
    <w:p>
      <w:pPr>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default" w:eastAsia="Times New Roman"/>
          <w:kern w:val="36"/>
          <w:sz w:val="40"/>
          <w:szCs w:val="24"/>
          <w:lang w:val="zh-CN"/>
        </w:rPr>
      </w:pPr>
    </w:p>
    <w:p>
      <w:pPr>
        <w:spacing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default" w:eastAsia="Times New Roman"/>
          <w:b/>
          <w:kern w:val="0"/>
          <w:sz w:val="28"/>
          <w:szCs w:val="24"/>
          <w:lang w:val="en-US"/>
        </w:rPr>
      </w:pPr>
    </w:p>
    <w:p>
      <w:pPr>
        <w:shd w:val="clear" w:color="auto" w:fill="FFFFFF"/>
        <w:spacing w:line="360" w:lineRule="auto"/>
        <w:jc w:val="center"/>
        <w:rPr>
          <w:rFonts w:hint="default" w:eastAsia="Times New Roman"/>
          <w:kern w:val="0"/>
          <w:sz w:val="32"/>
          <w:szCs w:val="24"/>
          <w:lang w:val="en-US"/>
        </w:rPr>
      </w:pPr>
    </w:p>
    <w:p>
      <w:pPr>
        <w:shd w:val="clear" w:color="auto" w:fill="FFFFFF"/>
        <w:spacing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line="360" w:lineRule="auto"/>
        <w:ind w:firstLine="640"/>
        <w:rPr>
          <w:rFonts w:hint="default"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1.宣传贯彻党和国家关于侨务工作的方针、政策和法律、法规；研究拟订区侨联工作计划、发展规划；组织实施全区归侨侨眷代表大会、委员会、常务委员会的决议、决定。</w:t>
      </w:r>
    </w:p>
    <w:p>
      <w:pPr>
        <w:shd w:val="clear" w:color="auto" w:fill="FFFFFF"/>
        <w:spacing w:line="360" w:lineRule="auto"/>
        <w:ind w:firstLine="640"/>
        <w:rPr>
          <w:rFonts w:hint="default"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2.加强对归侨侨眷和海外侨胞的思想政治引领；团结动员我区归侨侨眷和海外侨胞积极参与和支持祖籍国经济建设，服务国家、自治区“一带一路”建设，服务我区改革发展稳定大局。</w:t>
      </w:r>
    </w:p>
    <w:p>
      <w:pPr>
        <w:shd w:val="clear" w:color="auto" w:fill="FFFFFF"/>
        <w:spacing w:line="360" w:lineRule="auto"/>
        <w:ind w:firstLine="640"/>
        <w:rPr>
          <w:rFonts w:hint="default"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3.做好海外引才引智工作，为侨胞来我区创新创业搭建平台，促进侨胞与我区进行经济合作和科技交流；为侨胞回国工作生活提供服务。</w:t>
      </w:r>
    </w:p>
    <w:p>
      <w:pPr>
        <w:shd w:val="clear" w:color="auto" w:fill="FFFFFF"/>
        <w:spacing w:line="360" w:lineRule="auto"/>
        <w:ind w:firstLine="640"/>
        <w:rPr>
          <w:rFonts w:hint="default"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4.配合有关主管部门做好推荐区人大、区政协中的归侨侨眷代表、委员的人事安排工作，为他们履行参政议政和民主监督职能提供服务；组织归侨侨眷积极参与城乡社区治理；为归侨侨眷和海外侨胞参与各类公益慈善事业提供服务。</w:t>
      </w:r>
    </w:p>
    <w:p>
      <w:pPr>
        <w:shd w:val="clear" w:color="auto" w:fill="FFFFFF"/>
        <w:spacing w:line="360" w:lineRule="auto"/>
        <w:ind w:firstLine="640"/>
        <w:rPr>
          <w:rFonts w:hint="default"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5.负责指导、开展对华人华侨及其社团的联谊和服务工作，推动海内外民间交流与合作，增进相互了解和友谊；深入开展涉侨文化品牌项目建设。</w:t>
      </w:r>
    </w:p>
    <w:p>
      <w:pPr>
        <w:shd w:val="clear" w:color="auto" w:fill="FFFFFF"/>
        <w:spacing w:line="360" w:lineRule="auto"/>
        <w:ind w:firstLine="640"/>
        <w:rPr>
          <w:rFonts w:hint="default"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6.依法维护归侨侨眷的合法权益和海外侨胞在国内的正当权益，协调配合有关部门处理好损害归侨侨眷和海外侨胞国内权益的突出问题；建立健全涉侨矛盾多元化解机制和困难归侨侨眷帮扶机制；监督、协助有关部门贯彻落实有关法律法规草案；为全区各级侨联组织归侨侨眷和海外侨胞提供法律咨询和服务。</w:t>
      </w:r>
    </w:p>
    <w:p>
      <w:pPr>
        <w:shd w:val="clear" w:color="auto" w:fill="FFFFFF"/>
        <w:spacing w:line="360" w:lineRule="auto"/>
        <w:ind w:firstLine="640"/>
        <w:rPr>
          <w:rFonts w:hint="default"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7.加强侨联自身建设；参与归侨侨眷干部的培养和推荐选拔工作。</w:t>
      </w:r>
    </w:p>
    <w:p>
      <w:pPr>
        <w:shd w:val="clear" w:color="auto" w:fill="FFFFFF"/>
        <w:spacing w:line="360" w:lineRule="auto"/>
        <w:ind w:firstLine="640"/>
        <w:rPr>
          <w:rFonts w:hint="default"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8.承办区委、区人民政府交办的其他事项。</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乌鲁木齐市米东区归国华侨联合会2022年度，实有人数2人，其中：在职人员2人，离休人员0人，退休人员0人。</w:t>
      </w:r>
    </w:p>
    <w:p>
      <w:pPr>
        <w:shd w:val="clear" w:color="auto" w:fill="FFFFFF"/>
        <w:spacing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lang w:val="en-US"/>
        </w:rPr>
        <w:t>从部门决算单位构成看，乌鲁木齐市米东区归国华侨联合会部门决算包括：乌鲁木齐市米东区归国华侨联合会</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1</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lang w:val="en-US" w:eastAsia="zh-CN"/>
        </w:rPr>
        <w:t>办公室</w:t>
      </w:r>
      <w:r>
        <w:rPr>
          <w:rFonts w:hint="eastAsia" w:ascii="仿宋_GB2312" w:hAnsi="仿宋_GB2312" w:eastAsia="仿宋_GB2312"/>
          <w:kern w:val="0"/>
          <w:sz w:val="32"/>
          <w:szCs w:val="24"/>
          <w:lang w:val="zh-CN"/>
        </w:rPr>
        <w:t>。</w:t>
      </w:r>
    </w:p>
    <w:p>
      <w:pPr>
        <w:shd w:val="clear" w:color="auto" w:fill="FFFFFF"/>
        <w:spacing w:before="100" w:after="24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35.38万元，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35.38</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与上年相比，增加35.38万元，增长100.00%，主要原因是：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35.38万元，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34.67</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0.71</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与上年相比，增加35.38万元，增长100.00%，主要原因是：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35.38万元，其中：财政拨款收入35.38万元，占100.00%；上级补助收入0.00万元，占0.00%；事业收入0.00万元，占0.00%；经营收入0.00万元，占0.00%；附属单位上缴收入0.00万元，占0.00%；其他收入0.00万元，占0.00%。</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2022年度本年支出34.67万元，其中：基本支出34.67万元，占100.00%；项目支出0.00万元，占0.00%；上缴上级支出0.00万元，占0.00%；经营支出0.00万元，占0.00%；对附属单位补助支出0.00万元，占0.00%。</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35.38万元，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35.38</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与上年相比，增加35.38万元，增长100.00%，主要原因是：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35.38万元，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0.71</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34.67</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与上年相比，增加35.38万元，增长100.00%，主要原因是：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年初预算数35.82万元，决算数35.38万元，预决算差异率-1.23%，主要原因是：</w:t>
      </w:r>
      <w:r>
        <w:rPr>
          <w:rFonts w:hint="eastAsia" w:ascii="仿宋_GB2312" w:hAnsi="仿宋_GB2312" w:eastAsia="仿宋_GB2312"/>
          <w:kern w:val="0"/>
          <w:sz w:val="32"/>
          <w:szCs w:val="24"/>
          <w:lang w:val="en-US" w:eastAsia="zh-CN"/>
        </w:rPr>
        <w:t>本年年中调减单位办公经费，与预算相比导致差异</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年初预算数35.82万元，决算数35.38万元，预决算差异率-1.23%，主要原因是：本年年中调减单位办公经费，</w:t>
      </w:r>
      <w:r>
        <w:rPr>
          <w:rFonts w:hint="eastAsia" w:ascii="仿宋_GB2312" w:hAnsi="仿宋_GB2312" w:eastAsia="仿宋_GB2312"/>
          <w:kern w:val="0"/>
          <w:sz w:val="32"/>
          <w:szCs w:val="24"/>
          <w:lang w:val="en-US" w:eastAsia="zh-CN"/>
        </w:rPr>
        <w:t>支出减少，</w:t>
      </w:r>
      <w:r>
        <w:rPr>
          <w:rFonts w:hint="eastAsia" w:ascii="仿宋_GB2312" w:hAnsi="仿宋_GB2312" w:eastAsia="仿宋_GB2312"/>
          <w:kern w:val="0"/>
          <w:sz w:val="32"/>
          <w:szCs w:val="24"/>
          <w:lang w:val="en-US"/>
        </w:rPr>
        <w:t>与预算相比导致差异。</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34.67</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增加34.67万元，增长100.00%，主要原因是：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sz w:val="32"/>
          <w:szCs w:val="24"/>
          <w:lang w:val="en-US"/>
        </w:rPr>
        <w:t>1.一般公共服务支出（类）31.69万元，占91.40%；</w:t>
      </w:r>
    </w:p>
    <w:p>
      <w:pPr>
        <w:spacing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rPr>
        <w:t>2.社会保障和就业支出（类）2.98万元，占8.60%</w:t>
      </w:r>
      <w:r>
        <w:rPr>
          <w:rFonts w:hint="eastAsia" w:ascii="仿宋_GB2312" w:hAnsi="仿宋_GB2312" w:eastAsia="仿宋_GB2312"/>
          <w:kern w:val="0"/>
          <w:sz w:val="32"/>
          <w:szCs w:val="24"/>
          <w:lang w:val="en-US" w:eastAsia="zh-CN"/>
        </w:rPr>
        <w:t>。</w:t>
      </w:r>
    </w:p>
    <w:p>
      <w:pPr>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eastAsia" w:eastAsia="仿宋_GB2312"/>
          <w:kern w:val="0"/>
          <w:sz w:val="32"/>
          <w:szCs w:val="24"/>
          <w:lang w:val="en-US" w:eastAsia="zh-CN"/>
        </w:rPr>
      </w:pPr>
      <w:r>
        <w:rPr>
          <w:rFonts w:hint="eastAsia" w:ascii="仿宋_GB2312" w:hAnsi="仿宋_GB2312" w:eastAsia="仿宋_GB2312"/>
          <w:kern w:val="0"/>
          <w:sz w:val="32"/>
          <w:szCs w:val="24"/>
          <w:lang w:val="en-US"/>
        </w:rPr>
        <w:t>1.一般公共服务支出（类）统战事务（款）华侨事务（项）:支出决算数为31.69万元，比上年决算增加31.69万元，增长</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%，主要原因是：我单位为2022年新增单位</w:t>
      </w:r>
      <w:r>
        <w:rPr>
          <w:rFonts w:hint="eastAsia" w:ascii="仿宋_GB2312" w:hAnsi="仿宋_GB2312" w:eastAsia="仿宋_GB2312"/>
          <w:kern w:val="0"/>
          <w:sz w:val="32"/>
          <w:szCs w:val="24"/>
          <w:lang w:val="en-US" w:eastAsia="zh-CN"/>
        </w:rPr>
        <w:t>；</w:t>
      </w:r>
    </w:p>
    <w:p>
      <w:pPr>
        <w:spacing w:line="600" w:lineRule="exact"/>
        <w:ind w:firstLine="640"/>
        <w:rPr>
          <w:rFonts w:hint="default" w:eastAsia="Times New Roman"/>
          <w:sz w:val="32"/>
          <w:szCs w:val="24"/>
          <w:lang w:val="en-US"/>
        </w:rPr>
      </w:pPr>
      <w:r>
        <w:rPr>
          <w:rFonts w:hint="eastAsia" w:ascii="仿宋_GB2312" w:hAnsi="仿宋_GB2312" w:eastAsia="仿宋_GB2312"/>
          <w:kern w:val="0"/>
          <w:sz w:val="32"/>
          <w:szCs w:val="24"/>
          <w:lang w:val="en-US"/>
        </w:rPr>
        <w:t>2.社会保障和就业支出（类）行政事业单位养老支出（款）机关事业单位基本养老保险缴费支出（项）:支出决算数为2.98万元，比上年决算增加2.98万元，增长100.00%，主要原因是：我单位为2022年新增单位。</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2022年度一般公共预算财政拨款基本支出34.67万元，其中：</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人员经费34.41万元，包括：基本工资、津贴补贴、机关事业单位基本养老保险缴费、职工基本医疗保险缴费、公务员医疗补助缴费、其他社会保障缴费、住房公积金、奖励金。</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公用经费0.26万元，包括：办公费、邮电费、工会经费、其他交通费用。</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“三公”经费支出决算0.00万元，比上年增加0.00万元，增长0.00%，主要原因是：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；公务接待费支出0.00万元，占0.00%，比上年增加0.00万元，增长0.00%，主要原因是：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。具体情况如下：</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公务用车购置及运行维护费0.00万元，其中：公务用车购置费0.00万元，公务用车运行维护费0.00万元。公务用车运行维护费开支内容包括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。公务用车购置数0辆，公务用车保有量0辆。</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；公务用车运行费全年预算数0.00万元，决算数0.00万元，预决算差异率0.00%，主要原因是：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；公务接待费全年预算数0.00万元，决算数0.00万元，预决算差异率0.00%，主要原因是：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2022年度乌鲁木齐市米东区归国华侨联合会单位机关运行经费支出0.26万元，比上年增加0.26万元，增长100.00%，主要原因是：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color w:val="auto"/>
          <w:kern w:val="0"/>
          <w:sz w:val="32"/>
          <w:szCs w:val="24"/>
          <w:lang w:val="en-US"/>
        </w:rPr>
        <w:t>。</w:t>
      </w:r>
    </w:p>
    <w:p>
      <w:pPr>
        <w:spacing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2022年度政府采购支出总额0.00万元，其中：政府采购货物支出0.00万元、政府采购工程支出0.00万元、政府采购服务支出0.00万元。</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授予中小企业合同金额0.00万元，占政府采购支出总额的0.00%，其中：授予小微企业合同金额0.00万元，占政府采购支出总额的0.00%。</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4.25</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w:t>
      </w:r>
      <w:r>
        <w:rPr>
          <w:rFonts w:hint="eastAsia" w:ascii="仿宋_GB2312" w:hAnsi="仿宋_GB2312" w:eastAsia="仿宋_GB2312"/>
          <w:color w:val="auto"/>
          <w:kern w:val="0"/>
          <w:sz w:val="32"/>
          <w:szCs w:val="24"/>
          <w:lang w:val="en-US" w:eastAsia="zh-CN"/>
        </w:rPr>
        <w:t>我单位无其他用车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预算绩效管理取得的成效：我单位无预算绩效管理的项目。发现的问题及原因：我单位无预算绩效管理的项目。下一步改进措施：我单位无预算绩效管理的项目。</w:t>
      </w:r>
    </w:p>
    <w:p>
      <w:pPr>
        <w:shd w:val="clear" w:color="auto" w:fill="FFFFFF"/>
        <w:spacing w:before="100" w:after="240"/>
        <w:jc w:val="center"/>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eastAsia" w:ascii="仿宋_GB2312" w:hAnsi="仿宋_GB2312" w:eastAsia="仿宋_GB2312"/>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rPr>
          <w:rFonts w:hint="eastAsia" w:ascii="仿宋_GB2312" w:hAnsi="仿宋_GB2312" w:eastAsia="仿宋_GB2312"/>
          <w:color w:val="auto"/>
          <w:sz w:val="32"/>
          <w:szCs w:val="24"/>
          <w:lang w:val="en-US"/>
        </w:rPr>
      </w:pPr>
      <w:r>
        <w:rPr>
          <w:rFonts w:hint="eastAsia" w:ascii="仿宋_GB2312" w:hAnsi="仿宋_GB2312" w:eastAsia="仿宋_GB2312"/>
          <w:color w:val="auto"/>
          <w:sz w:val="32"/>
          <w:szCs w:val="24"/>
          <w:lang w:val="en-US"/>
        </w:rPr>
        <w:br w:type="page"/>
      </w:r>
    </w:p>
    <w:p>
      <w:pPr>
        <w:spacing w:line="360" w:lineRule="auto"/>
        <w:ind w:firstLine="640"/>
        <w:rPr>
          <w:rFonts w:hint="default" w:ascii="仿宋_GB2312" w:hAnsi="仿宋_GB2312" w:eastAsia="仿宋_GB2312"/>
          <w:color w:val="auto"/>
          <w:sz w:val="32"/>
          <w:szCs w:val="24"/>
          <w:lang w:val="en-US"/>
        </w:rPr>
      </w:pPr>
      <w:bookmarkStart w:id="0" w:name="_GoBack"/>
      <w:bookmarkEnd w:id="0"/>
    </w:p>
    <w:p>
      <w:pPr>
        <w:shd w:val="clear" w:color="auto" w:fill="FFFFFF"/>
        <w:spacing w:before="100" w:after="240"/>
        <w:jc w:val="center"/>
        <w:rPr>
          <w:rFonts w:hint="default" w:eastAsia="Times New Roman"/>
          <w:color w:val="auto"/>
          <w:kern w:val="0"/>
          <w:sz w:val="32"/>
          <w:szCs w:val="24"/>
          <w:lang w:val="en-US"/>
        </w:rPr>
      </w:pPr>
      <w:r>
        <w:rPr>
          <w:rFonts w:hint="eastAsia" w:ascii="黑体" w:hAnsi="黑体" w:eastAsia="黑体"/>
          <w:color w:val="auto"/>
          <w:kern w:val="0"/>
          <w:sz w:val="32"/>
          <w:szCs w:val="24"/>
          <w:lang w:val="en-US"/>
        </w:rPr>
        <w:t>第四部分 部门决算报表（见附表）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4CA3BD3"/>
    <w:rsid w:val="44F524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default" w:ascii="Times New Roman" w:hAnsi="Times New Roman" w:eastAsia="宋体" w:cs="Times New Roman"/>
      <w:kern w:val="2"/>
      <w:sz w:val="21"/>
      <w:szCs w:val="24"/>
    </w:rPr>
  </w:style>
  <w:style w:type="character" w:default="1" w:styleId="3">
    <w:name w:val="Default Paragraph Font"/>
    <w:unhideWhenUsed/>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4700</Words>
  <Characters>5226</Characters>
  <TotalTime>2</TotalTime>
  <ScaleCrop>false</ScaleCrop>
  <LinksUpToDate>false</LinksUpToDate>
  <CharactersWithSpaces>5237</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2023-08-24T07:36:00Z</dcterms:created>
  <dc:creator>asus</dc:creator>
  <cp:lastModifiedBy>逐梦令</cp:lastModifiedBy>
  <dcterms:modified xsi:type="dcterms:W3CDTF">2023-09-01T11:58:16Z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69FD57FC84004868B4958B7160D86761_13</vt:lpwstr>
  </property>
</Properties>
</file>