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eastAsia="Times New Roman"/>
          <w:kern w:val="36"/>
          <w:sz w:val="40"/>
          <w:lang w:val="zh-CN"/>
        </w:rPr>
      </w:pPr>
    </w:p>
    <w:p>
      <w:pPr>
        <w:shd w:val="clear" w:color="auto" w:fill="FFFFFF"/>
        <w:spacing w:before="240" w:after="240"/>
        <w:jc w:val="center"/>
        <w:rPr>
          <w:rFonts w:eastAsia="Times New Roman"/>
          <w:kern w:val="36"/>
          <w:sz w:val="40"/>
          <w:lang w:val="zh-CN"/>
        </w:rPr>
      </w:pPr>
    </w:p>
    <w:p>
      <w:pPr>
        <w:jc w:val="center"/>
        <w:rPr>
          <w:rFonts w:ascii="方正小标宋_GBK" w:hAnsi="方正小标宋_GBK" w:eastAsia="方正小标宋_GBK"/>
          <w:sz w:val="44"/>
        </w:rPr>
      </w:pPr>
      <w:r>
        <w:rPr>
          <w:rFonts w:hint="eastAsia" w:ascii="方正小标宋_GBK" w:hAnsi="方正小标宋_GBK" w:eastAsia="方正小标宋_GBK"/>
          <w:sz w:val="44"/>
        </w:rPr>
        <w:t>乌鲁木齐市米东区房屋征收与补偿管理</w:t>
      </w:r>
    </w:p>
    <w:p>
      <w:pPr>
        <w:jc w:val="center"/>
        <w:rPr>
          <w:rFonts w:hint="eastAsia" w:ascii="方正小标宋_GBK" w:hAnsi="方正小标宋_GBK" w:eastAsia="方正小标宋_GBK"/>
          <w:sz w:val="44"/>
        </w:rPr>
      </w:pPr>
      <w:r>
        <w:rPr>
          <w:rFonts w:hint="eastAsia" w:ascii="方正小标宋_GBK" w:hAnsi="方正小标宋_GBK" w:eastAsia="方正小标宋_GBK"/>
          <w:sz w:val="44"/>
        </w:rPr>
        <w:t>办公室</w:t>
      </w:r>
    </w:p>
    <w:p>
      <w:pPr>
        <w:jc w:val="center"/>
        <w:rPr>
          <w:rFonts w:eastAsia="Times New Roman"/>
          <w:kern w:val="36"/>
          <w:sz w:val="40"/>
          <w:lang w:val="zh-CN"/>
        </w:rPr>
      </w:pPr>
      <w:r>
        <w:rPr>
          <w:rFonts w:hint="eastAsia" w:ascii="方正小标宋_GBK" w:hAnsi="方正小标宋_GBK" w:eastAsia="方正小标宋_GBK"/>
          <w:sz w:val="44"/>
        </w:rPr>
        <w:t>2022年度部门决算公开说明</w:t>
      </w:r>
    </w:p>
    <w:p>
      <w:pPr>
        <w:shd w:val="clear" w:color="auto" w:fill="FFFFFF"/>
        <w:spacing w:before="240" w:after="240"/>
        <w:jc w:val="center"/>
        <w:rPr>
          <w:rFonts w:eastAsia="Times New Roman"/>
          <w:b/>
          <w:kern w:val="36"/>
          <w:sz w:val="24"/>
          <w:lang w:val="ar-SA"/>
        </w:rPr>
      </w:pPr>
    </w:p>
    <w:p>
      <w:pPr>
        <w:shd w:val="clear" w:color="auto" w:fill="FFFFFF"/>
        <w:spacing w:before="240" w:after="240"/>
        <w:jc w:val="center"/>
        <w:rPr>
          <w:rFonts w:eastAsia="Times New Roman"/>
          <w:kern w:val="36"/>
          <w:sz w:val="40"/>
          <w:lang w:val="zh-CN"/>
        </w:rPr>
      </w:pPr>
    </w:p>
    <w:p>
      <w:pPr>
        <w:spacing w:line="540" w:lineRule="exact"/>
        <w:jc w:val="center"/>
        <w:rPr>
          <w:rFonts w:eastAsia="Times New Roman"/>
          <w:b/>
          <w:kern w:val="0"/>
          <w:sz w:val="24"/>
        </w:rPr>
      </w:pPr>
      <w:r>
        <w:rPr>
          <w:rFonts w:eastAsia="Times New Roman"/>
          <w:b/>
          <w:kern w:val="36"/>
          <w:sz w:val="36"/>
        </w:rPr>
        <w:br w:type="page"/>
      </w:r>
      <w:r>
        <w:rPr>
          <w:rFonts w:hint="eastAsia" w:ascii="仿宋_GB2312" w:hAnsi="仿宋_GB2312" w:eastAsia="仿宋_GB2312"/>
          <w:b/>
          <w:kern w:val="0"/>
          <w:sz w:val="36"/>
        </w:rPr>
        <w:t>目  录</w:t>
      </w:r>
    </w:p>
    <w:p>
      <w:pPr>
        <w:spacing w:line="360" w:lineRule="auto"/>
        <w:rPr>
          <w:rFonts w:eastAsia="Times New Roman"/>
          <w:kern w:val="0"/>
          <w:sz w:val="32"/>
        </w:rPr>
      </w:pPr>
      <w:r>
        <w:rPr>
          <w:rFonts w:hint="eastAsia" w:ascii="仿宋_GB2312" w:hAnsi="仿宋_GB2312" w:eastAsia="仿宋_GB2312"/>
          <w:b/>
          <w:kern w:val="0"/>
          <w:sz w:val="32"/>
        </w:rPr>
        <w:t>第一部分 单位概况</w:t>
      </w:r>
    </w:p>
    <w:p>
      <w:pPr>
        <w:spacing w:line="360" w:lineRule="auto"/>
        <w:rPr>
          <w:rFonts w:eastAsia="Times New Roman"/>
          <w:kern w:val="0"/>
          <w:sz w:val="32"/>
        </w:rPr>
      </w:pPr>
      <w:r>
        <w:rPr>
          <w:rFonts w:hint="eastAsia" w:ascii="仿宋_GB2312" w:hAnsi="仿宋_GB2312" w:eastAsia="仿宋_GB2312"/>
          <w:kern w:val="0"/>
          <w:sz w:val="32"/>
        </w:rPr>
        <w:t>一、主要职能</w:t>
      </w:r>
    </w:p>
    <w:p>
      <w:pPr>
        <w:spacing w:line="360" w:lineRule="auto"/>
        <w:rPr>
          <w:rFonts w:eastAsia="Times New Roman"/>
          <w:kern w:val="0"/>
          <w:sz w:val="32"/>
        </w:rPr>
      </w:pPr>
      <w:r>
        <w:rPr>
          <w:rFonts w:hint="eastAsia" w:ascii="仿宋_GB2312" w:hAnsi="仿宋_GB2312" w:eastAsia="仿宋_GB2312"/>
          <w:kern w:val="0"/>
          <w:sz w:val="32"/>
        </w:rPr>
        <w:t>二、</w:t>
      </w:r>
      <w:r>
        <w:rPr>
          <w:rFonts w:hint="eastAsia" w:ascii="仿宋_GB2312" w:hAnsi="仿宋_GB2312" w:eastAsia="仿宋_GB2312"/>
          <w:sz w:val="32"/>
        </w:rPr>
        <w:t>机构设置及人员情况</w:t>
      </w:r>
    </w:p>
    <w:p>
      <w:pPr>
        <w:spacing w:line="360" w:lineRule="auto"/>
        <w:rPr>
          <w:rFonts w:eastAsia="Times New Roman"/>
          <w:kern w:val="0"/>
          <w:sz w:val="32"/>
        </w:rPr>
      </w:pPr>
      <w:r>
        <w:rPr>
          <w:rFonts w:hint="eastAsia" w:ascii="仿宋_GB2312" w:hAnsi="仿宋_GB2312" w:eastAsia="仿宋_GB2312"/>
          <w:b/>
          <w:kern w:val="0"/>
          <w:sz w:val="32"/>
        </w:rPr>
        <w:t>第二部分 部门决算情况说明</w:t>
      </w:r>
    </w:p>
    <w:p>
      <w:pPr>
        <w:spacing w:line="360" w:lineRule="auto"/>
        <w:rPr>
          <w:rFonts w:eastAsia="Times New Roman"/>
          <w:sz w:val="32"/>
        </w:rPr>
      </w:pPr>
      <w:r>
        <w:rPr>
          <w:rFonts w:hint="eastAsia" w:ascii="仿宋_GB2312" w:hAnsi="仿宋_GB2312" w:eastAsia="仿宋_GB2312"/>
          <w:sz w:val="32"/>
        </w:rPr>
        <w:t>一、收入支出决算总体情况说明</w:t>
      </w:r>
    </w:p>
    <w:p>
      <w:pPr>
        <w:spacing w:line="360" w:lineRule="auto"/>
        <w:rPr>
          <w:rFonts w:eastAsia="Times New Roman"/>
          <w:sz w:val="32"/>
        </w:rPr>
      </w:pPr>
      <w:r>
        <w:rPr>
          <w:rFonts w:hint="eastAsia" w:ascii="仿宋_GB2312" w:hAnsi="仿宋_GB2312" w:eastAsia="仿宋_GB2312"/>
          <w:sz w:val="32"/>
        </w:rPr>
        <w:t>二、收入决算情况说明</w:t>
      </w:r>
    </w:p>
    <w:p>
      <w:pPr>
        <w:spacing w:line="360" w:lineRule="auto"/>
        <w:rPr>
          <w:rFonts w:eastAsia="Times New Roman"/>
          <w:sz w:val="32"/>
        </w:rPr>
      </w:pPr>
      <w:r>
        <w:rPr>
          <w:rFonts w:hint="eastAsia" w:ascii="仿宋_GB2312" w:hAnsi="仿宋_GB2312" w:eastAsia="仿宋_GB2312"/>
          <w:sz w:val="32"/>
        </w:rPr>
        <w:t>三、支出决算情况说明</w:t>
      </w:r>
    </w:p>
    <w:p>
      <w:pPr>
        <w:spacing w:line="360" w:lineRule="auto"/>
        <w:rPr>
          <w:rFonts w:eastAsia="Times New Roman"/>
          <w:sz w:val="32"/>
        </w:rPr>
      </w:pPr>
      <w:r>
        <w:rPr>
          <w:rFonts w:hint="eastAsia" w:ascii="仿宋_GB2312" w:hAnsi="仿宋_GB2312" w:eastAsia="仿宋_GB2312"/>
          <w:sz w:val="32"/>
        </w:rPr>
        <w:t>四、财政拨款收入支出决算总体情况说明</w:t>
      </w:r>
    </w:p>
    <w:p>
      <w:pPr>
        <w:spacing w:line="360" w:lineRule="auto"/>
        <w:rPr>
          <w:rFonts w:eastAsia="Times New Roman"/>
          <w:sz w:val="32"/>
        </w:rPr>
      </w:pPr>
      <w:r>
        <w:rPr>
          <w:rFonts w:hint="eastAsia" w:ascii="仿宋_GB2312" w:hAnsi="仿宋_GB2312" w:eastAsia="仿宋_GB2312"/>
          <w:sz w:val="32"/>
        </w:rPr>
        <w:t>五、一般公共预算财政拨款支出决算情况说明</w:t>
      </w:r>
    </w:p>
    <w:p>
      <w:pPr>
        <w:spacing w:line="360" w:lineRule="auto"/>
        <w:rPr>
          <w:rFonts w:eastAsia="Times New Roman"/>
          <w:sz w:val="32"/>
        </w:rPr>
      </w:pPr>
      <w:r>
        <w:rPr>
          <w:rFonts w:hint="eastAsia" w:ascii="仿宋_GB2312" w:hAnsi="仿宋_GB2312" w:eastAsia="仿宋_GB2312"/>
          <w:sz w:val="32"/>
        </w:rPr>
        <w:t>六、一般公共预算财政拨款基本支出决算情况说明</w:t>
      </w:r>
    </w:p>
    <w:p>
      <w:pPr>
        <w:spacing w:line="360" w:lineRule="auto"/>
        <w:rPr>
          <w:rFonts w:eastAsia="Times New Roman"/>
          <w:sz w:val="32"/>
        </w:rPr>
      </w:pPr>
      <w:r>
        <w:rPr>
          <w:rFonts w:hint="eastAsia" w:ascii="仿宋_GB2312" w:hAnsi="仿宋_GB2312" w:eastAsia="仿宋_GB2312"/>
          <w:sz w:val="32"/>
        </w:rPr>
        <w:t>七、财政拨款“三公”经费支出决算情况说明</w:t>
      </w:r>
    </w:p>
    <w:p>
      <w:pPr>
        <w:spacing w:line="360" w:lineRule="auto"/>
        <w:rPr>
          <w:rFonts w:eastAsia="Times New Roman"/>
          <w:sz w:val="32"/>
        </w:rPr>
      </w:pPr>
      <w:r>
        <w:rPr>
          <w:rFonts w:hint="eastAsia" w:ascii="仿宋_GB2312" w:hAnsi="仿宋_GB2312" w:eastAsia="仿宋_GB2312"/>
          <w:sz w:val="32"/>
        </w:rPr>
        <w:t>八、政府性基金预算</w:t>
      </w:r>
      <w:r>
        <w:rPr>
          <w:rFonts w:hint="eastAsia" w:ascii="仿宋_GB2312" w:hAnsi="仿宋_GB2312" w:eastAsia="仿宋_GB2312"/>
          <w:sz w:val="32"/>
          <w:lang w:val="zh-CN"/>
        </w:rPr>
        <w:t>财政拨款</w:t>
      </w:r>
      <w:r>
        <w:rPr>
          <w:rFonts w:hint="eastAsia" w:ascii="仿宋_GB2312" w:hAnsi="仿宋_GB2312" w:eastAsia="仿宋_GB2312"/>
          <w:sz w:val="32"/>
        </w:rPr>
        <w:t>收入支出决算情况说明</w:t>
      </w:r>
    </w:p>
    <w:p>
      <w:pPr>
        <w:spacing w:line="360" w:lineRule="auto"/>
        <w:rPr>
          <w:rFonts w:eastAsia="Times New Roman"/>
          <w:sz w:val="32"/>
        </w:rPr>
      </w:pPr>
      <w:r>
        <w:rPr>
          <w:rFonts w:hint="eastAsia" w:ascii="仿宋_GB2312" w:hAnsi="仿宋_GB2312" w:eastAsia="仿宋_GB2312"/>
          <w:sz w:val="32"/>
        </w:rPr>
        <w:t>九、国有资本经营预算财政拨款收入支出决算情况说明</w:t>
      </w:r>
    </w:p>
    <w:p>
      <w:pPr>
        <w:spacing w:line="360" w:lineRule="auto"/>
        <w:rPr>
          <w:rFonts w:eastAsia="Times New Roman"/>
          <w:sz w:val="32"/>
        </w:rPr>
      </w:pPr>
      <w:r>
        <w:rPr>
          <w:rFonts w:hint="eastAsia" w:ascii="仿宋_GB2312" w:hAnsi="仿宋_GB2312" w:eastAsia="仿宋_GB2312"/>
          <w:sz w:val="32"/>
        </w:rPr>
        <w:t>十、其他重要事项的情况说明</w:t>
      </w:r>
    </w:p>
    <w:p>
      <w:pPr>
        <w:spacing w:line="360" w:lineRule="auto"/>
        <w:rPr>
          <w:rFonts w:eastAsia="Times New Roman"/>
          <w:sz w:val="32"/>
        </w:rPr>
      </w:pPr>
      <w:r>
        <w:rPr>
          <w:rFonts w:hint="eastAsia" w:ascii="仿宋_GB2312" w:hAnsi="仿宋_GB2312" w:eastAsia="仿宋_GB2312"/>
          <w:sz w:val="32"/>
        </w:rPr>
        <w:t>（一）机关运行经费支出情况</w:t>
      </w:r>
    </w:p>
    <w:p>
      <w:pPr>
        <w:spacing w:line="360" w:lineRule="auto"/>
        <w:rPr>
          <w:rFonts w:eastAsia="Times New Roman"/>
          <w:sz w:val="32"/>
        </w:rPr>
      </w:pPr>
      <w:r>
        <w:rPr>
          <w:rFonts w:hint="eastAsia" w:ascii="仿宋_GB2312" w:hAnsi="仿宋_GB2312" w:eastAsia="仿宋_GB2312"/>
          <w:sz w:val="32"/>
        </w:rPr>
        <w:t>（二）政府采购情况</w:t>
      </w:r>
    </w:p>
    <w:p>
      <w:pPr>
        <w:spacing w:line="360" w:lineRule="auto"/>
        <w:rPr>
          <w:rFonts w:eastAsia="Times New Roman"/>
          <w:sz w:val="32"/>
        </w:rPr>
      </w:pPr>
      <w:r>
        <w:rPr>
          <w:rFonts w:hint="eastAsia" w:ascii="仿宋_GB2312" w:hAnsi="仿宋_GB2312" w:eastAsia="仿宋_GB2312"/>
          <w:sz w:val="32"/>
        </w:rPr>
        <w:t>（三）国有资产占用情况说明</w:t>
      </w:r>
    </w:p>
    <w:p>
      <w:pPr>
        <w:spacing w:line="360" w:lineRule="auto"/>
        <w:rPr>
          <w:rFonts w:eastAsia="Times New Roman"/>
          <w:sz w:val="32"/>
        </w:rPr>
      </w:pPr>
      <w:r>
        <w:rPr>
          <w:rFonts w:hint="eastAsia" w:ascii="仿宋_GB2312" w:hAnsi="仿宋_GB2312" w:eastAsia="仿宋_GB2312"/>
          <w:sz w:val="32"/>
        </w:rPr>
        <w:t>十</w:t>
      </w:r>
      <w:r>
        <w:rPr>
          <w:rFonts w:hint="eastAsia" w:ascii="仿宋_GB2312" w:hAnsi="仿宋_GB2312" w:eastAsia="仿宋_GB2312"/>
          <w:sz w:val="32"/>
          <w:lang w:val="zh-CN"/>
        </w:rPr>
        <w:t>一</w:t>
      </w:r>
      <w:r>
        <w:rPr>
          <w:rFonts w:hint="eastAsia" w:ascii="仿宋_GB2312" w:hAnsi="仿宋_GB2312" w:eastAsia="仿宋_GB2312"/>
          <w:sz w:val="32"/>
        </w:rPr>
        <w:t>、预算绩效的情况说明</w:t>
      </w:r>
    </w:p>
    <w:p>
      <w:pPr>
        <w:spacing w:line="360" w:lineRule="auto"/>
        <w:rPr>
          <w:rFonts w:eastAsia="Times New Roman"/>
          <w:b/>
          <w:kern w:val="0"/>
          <w:sz w:val="32"/>
        </w:rPr>
      </w:pPr>
      <w:r>
        <w:rPr>
          <w:rFonts w:hint="eastAsia" w:ascii="仿宋_GB2312" w:hAnsi="仿宋_GB2312" w:eastAsia="仿宋_GB2312"/>
          <w:b/>
          <w:kern w:val="0"/>
          <w:sz w:val="32"/>
        </w:rPr>
        <w:t>第三部分 专业名词解释</w:t>
      </w:r>
    </w:p>
    <w:p>
      <w:pPr>
        <w:spacing w:line="360" w:lineRule="auto"/>
        <w:rPr>
          <w:rFonts w:eastAsia="Times New Roman"/>
          <w:b/>
          <w:kern w:val="0"/>
          <w:sz w:val="32"/>
        </w:rPr>
      </w:pPr>
      <w:r>
        <w:rPr>
          <w:rFonts w:hint="eastAsia" w:ascii="仿宋_GB2312" w:hAnsi="仿宋_GB2312" w:eastAsia="仿宋_GB2312"/>
          <w:b/>
          <w:kern w:val="0"/>
          <w:sz w:val="32"/>
        </w:rPr>
        <w:t>第四部分 部</w:t>
      </w:r>
      <w:r>
        <w:rPr>
          <w:rFonts w:hint="eastAsia" w:ascii="仿宋_GB2312" w:hAnsi="仿宋_GB2312" w:eastAsia="仿宋_GB2312"/>
          <w:b/>
          <w:sz w:val="32"/>
        </w:rPr>
        <w:t>门决算报表（见附表）</w:t>
      </w:r>
    </w:p>
    <w:p>
      <w:pPr>
        <w:spacing w:line="360" w:lineRule="auto"/>
        <w:rPr>
          <w:rFonts w:eastAsia="Times New Roman"/>
          <w:sz w:val="32"/>
        </w:rPr>
      </w:pPr>
      <w:r>
        <w:rPr>
          <w:rFonts w:hint="eastAsia" w:ascii="仿宋_GB2312" w:hAnsi="仿宋_GB2312" w:eastAsia="仿宋_GB2312"/>
          <w:sz w:val="32"/>
        </w:rPr>
        <w:t>一、《收入支出决算总表》</w:t>
      </w:r>
    </w:p>
    <w:p>
      <w:pPr>
        <w:spacing w:line="360" w:lineRule="auto"/>
        <w:rPr>
          <w:rFonts w:eastAsia="Times New Roman"/>
          <w:sz w:val="32"/>
        </w:rPr>
      </w:pPr>
      <w:r>
        <w:rPr>
          <w:rFonts w:hint="eastAsia" w:ascii="仿宋_GB2312" w:hAnsi="仿宋_GB2312" w:eastAsia="仿宋_GB2312"/>
          <w:sz w:val="32"/>
        </w:rPr>
        <w:t>二、《收入决算表》</w:t>
      </w:r>
    </w:p>
    <w:p>
      <w:pPr>
        <w:spacing w:line="360" w:lineRule="auto"/>
        <w:rPr>
          <w:rFonts w:eastAsia="Times New Roman"/>
          <w:sz w:val="32"/>
        </w:rPr>
      </w:pPr>
      <w:r>
        <w:rPr>
          <w:rFonts w:hint="eastAsia" w:ascii="仿宋_GB2312" w:hAnsi="仿宋_GB2312" w:eastAsia="仿宋_GB2312"/>
          <w:sz w:val="32"/>
        </w:rPr>
        <w:t>三、《支出决算表》</w:t>
      </w:r>
    </w:p>
    <w:p>
      <w:pPr>
        <w:spacing w:line="360" w:lineRule="auto"/>
        <w:rPr>
          <w:rFonts w:eastAsia="Times New Roman"/>
          <w:sz w:val="32"/>
        </w:rPr>
      </w:pPr>
      <w:r>
        <w:rPr>
          <w:rFonts w:hint="eastAsia" w:ascii="仿宋_GB2312" w:hAnsi="仿宋_GB2312" w:eastAsia="仿宋_GB2312"/>
          <w:sz w:val="32"/>
        </w:rPr>
        <w:t>四、《财政拨款收入支出决算总表》</w:t>
      </w:r>
    </w:p>
    <w:p>
      <w:pPr>
        <w:spacing w:line="360" w:lineRule="auto"/>
        <w:rPr>
          <w:rFonts w:eastAsia="Times New Roman"/>
          <w:sz w:val="32"/>
        </w:rPr>
      </w:pPr>
      <w:r>
        <w:rPr>
          <w:rFonts w:hint="eastAsia" w:ascii="仿宋_GB2312" w:hAnsi="仿宋_GB2312" w:eastAsia="仿宋_GB2312"/>
          <w:sz w:val="32"/>
        </w:rPr>
        <w:t>五、《一般公共预算财政拨款支出决算表》</w:t>
      </w:r>
    </w:p>
    <w:p>
      <w:pPr>
        <w:spacing w:line="360" w:lineRule="auto"/>
        <w:rPr>
          <w:rFonts w:eastAsia="Times New Roman"/>
          <w:sz w:val="32"/>
        </w:rPr>
      </w:pPr>
      <w:r>
        <w:rPr>
          <w:rFonts w:hint="eastAsia" w:ascii="仿宋_GB2312" w:hAnsi="仿宋_GB2312" w:eastAsia="仿宋_GB2312"/>
          <w:sz w:val="32"/>
        </w:rPr>
        <w:t>六、《一般公共预算财政拨款基本支出决算表》</w:t>
      </w:r>
    </w:p>
    <w:p>
      <w:pPr>
        <w:spacing w:line="360" w:lineRule="auto"/>
        <w:rPr>
          <w:rFonts w:eastAsia="Times New Roman"/>
          <w:sz w:val="32"/>
        </w:rPr>
      </w:pPr>
      <w:r>
        <w:rPr>
          <w:rFonts w:hint="eastAsia" w:ascii="仿宋_GB2312" w:hAnsi="仿宋_GB2312" w:eastAsia="仿宋_GB2312"/>
          <w:sz w:val="32"/>
        </w:rPr>
        <w:t>七、《财政拨款“三公”经费支出决算表》</w:t>
      </w:r>
    </w:p>
    <w:p>
      <w:pPr>
        <w:spacing w:line="360" w:lineRule="auto"/>
        <w:rPr>
          <w:rFonts w:eastAsia="Times New Roman"/>
          <w:sz w:val="32"/>
        </w:rPr>
      </w:pPr>
      <w:r>
        <w:rPr>
          <w:rFonts w:hint="eastAsia" w:ascii="仿宋_GB2312" w:hAnsi="仿宋_GB2312" w:eastAsia="仿宋_GB2312"/>
          <w:sz w:val="32"/>
        </w:rPr>
        <w:t>八、《政府性基金预算财政拨款收入支出决算表》</w:t>
      </w:r>
    </w:p>
    <w:p>
      <w:pPr>
        <w:spacing w:line="360" w:lineRule="auto"/>
        <w:rPr>
          <w:rFonts w:eastAsia="Times New Roman"/>
          <w:sz w:val="32"/>
        </w:rPr>
      </w:pPr>
      <w:r>
        <w:rPr>
          <w:rFonts w:hint="eastAsia" w:ascii="仿宋_GB2312" w:hAnsi="仿宋_GB2312" w:eastAsia="仿宋_GB2312"/>
          <w:sz w:val="32"/>
        </w:rPr>
        <w:t>九、《国有资本经营预算财政拨款收入支出决算表》</w:t>
      </w:r>
    </w:p>
    <w:p>
      <w:pPr>
        <w:spacing w:line="360" w:lineRule="auto"/>
        <w:ind w:firstLine="640"/>
        <w:rPr>
          <w:rFonts w:eastAsia="Times New Roman"/>
          <w:b/>
          <w:kern w:val="0"/>
          <w:sz w:val="28"/>
        </w:rPr>
      </w:pPr>
    </w:p>
    <w:p>
      <w:pPr>
        <w:shd w:val="clear" w:color="auto" w:fill="FFFFFF"/>
        <w:spacing w:line="360" w:lineRule="auto"/>
        <w:jc w:val="center"/>
        <w:rPr>
          <w:rFonts w:eastAsia="Times New Roman"/>
          <w:kern w:val="0"/>
          <w:sz w:val="32"/>
        </w:rPr>
      </w:pPr>
    </w:p>
    <w:p>
      <w:pPr>
        <w:shd w:val="clear" w:color="auto" w:fill="FFFFFF"/>
        <w:spacing w:line="360" w:lineRule="auto"/>
        <w:jc w:val="center"/>
        <w:rPr>
          <w:rFonts w:hint="eastAsia" w:ascii="黑体" w:hAnsi="黑体" w:eastAsia="黑体"/>
          <w:kern w:val="0"/>
          <w:sz w:val="32"/>
          <w:lang w:val="ar-SA"/>
        </w:rPr>
      </w:pPr>
      <w:r>
        <w:rPr>
          <w:rFonts w:eastAsia="Times New Roman"/>
          <w:kern w:val="0"/>
          <w:sz w:val="32"/>
        </w:rPr>
        <w:br w:type="page"/>
      </w:r>
      <w:r>
        <w:rPr>
          <w:rFonts w:hint="eastAsia" w:ascii="黑体" w:hAnsi="黑体" w:eastAsia="黑体"/>
          <w:kern w:val="0"/>
          <w:sz w:val="32"/>
        </w:rPr>
        <w:t>第一部分 单位概况</w:t>
      </w:r>
    </w:p>
    <w:p>
      <w:pPr>
        <w:spacing w:line="360" w:lineRule="auto"/>
        <w:ind w:firstLine="640"/>
        <w:rPr>
          <w:rFonts w:eastAsia="Times New Roman"/>
          <w:sz w:val="32"/>
          <w:lang w:val="zh-CN"/>
        </w:rPr>
      </w:pPr>
      <w:r>
        <w:rPr>
          <w:rFonts w:hint="eastAsia" w:ascii="黑体" w:hAnsi="黑体" w:eastAsia="黑体"/>
          <w:sz w:val="32"/>
          <w:lang w:val="zh-CN"/>
        </w:rPr>
        <w:t>一、主要职能</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2011年7月，米东区房屋征收与补偿管理办公室正式成立，依法实施米东区范围内房屋征收与补偿及土地征收管理工作。宣传和贯彻执行国家关于土地征收、房屋征收与补偿方面的政策和法律、法规，依据《国有土地上房屋征收与补偿条列》组织实施行政区域内的房屋征收与补偿工作，负责行政区域内储备土地的征收管理工作。</w:t>
      </w:r>
    </w:p>
    <w:p>
      <w:pPr>
        <w:spacing w:line="360" w:lineRule="auto"/>
        <w:ind w:firstLine="640"/>
        <w:rPr>
          <w:rFonts w:eastAsia="Times New Roman"/>
          <w:sz w:val="32"/>
          <w:lang w:val="zh-CN"/>
        </w:rPr>
      </w:pPr>
      <w:r>
        <w:rPr>
          <w:rFonts w:hint="eastAsia" w:ascii="黑体" w:hAnsi="黑体" w:eastAsia="黑体"/>
          <w:sz w:val="32"/>
          <w:lang w:val="zh-CN"/>
        </w:rPr>
        <w:t>二、机构设置及人员情况</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乌鲁木齐市米东区房屋征收与补偿管理办公室2022年度，实有人数47人，其中：在职人员44人，离休人员0人，退休人员3人。</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从部门决算单位构成看，乌鲁木齐市米东区房屋征收与补偿管理办公室部门决算包括：乌鲁木齐市米东区房屋征收与补偿管理办公室决算。单位无下属预算单位，下设7个科室，分别是：征收科、财务科、审计科、法规科、综合科、信访科、拆除科。</w:t>
      </w:r>
    </w:p>
    <w:p>
      <w:pPr>
        <w:shd w:val="clear" w:color="auto" w:fill="FFFFFF"/>
        <w:spacing w:before="100" w:after="240"/>
        <w:jc w:val="center"/>
        <w:rPr>
          <w:rFonts w:eastAsia="Times New Roman"/>
          <w:kern w:val="0"/>
          <w:sz w:val="28"/>
          <w:lang w:val="ar-SA"/>
        </w:rPr>
      </w:pPr>
      <w:r>
        <w:rPr>
          <w:rFonts w:hint="eastAsia" w:ascii="黑体" w:hAnsi="黑体" w:eastAsia="黑体"/>
          <w:kern w:val="0"/>
          <w:sz w:val="32"/>
        </w:rPr>
        <w:t>第二部分 部门决算情况说明</w:t>
      </w:r>
    </w:p>
    <w:p>
      <w:pPr>
        <w:spacing w:line="360" w:lineRule="auto"/>
        <w:ind w:firstLine="640"/>
        <w:rPr>
          <w:rFonts w:eastAsia="Times New Roman"/>
          <w:sz w:val="32"/>
          <w:lang w:val="zh-CN"/>
        </w:rPr>
      </w:pPr>
      <w:r>
        <w:rPr>
          <w:rFonts w:hint="eastAsia" w:ascii="黑体" w:hAnsi="黑体" w:eastAsia="黑体"/>
          <w:sz w:val="32"/>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2022年度收入</w:t>
      </w:r>
      <w:r>
        <w:rPr>
          <w:rFonts w:hint="eastAsia" w:ascii="仿宋_GB2312" w:hAnsi="仿宋_GB2312" w:eastAsia="仿宋_GB2312"/>
          <w:sz w:val="32"/>
        </w:rPr>
        <w:t>总计</w:t>
      </w:r>
      <w:r>
        <w:rPr>
          <w:rFonts w:hint="eastAsia" w:ascii="仿宋_GB2312" w:hAnsi="仿宋_GB2312" w:eastAsia="仿宋_GB2312"/>
          <w:kern w:val="0"/>
          <w:sz w:val="32"/>
        </w:rPr>
        <w:t>73,404.52万元，</w:t>
      </w:r>
      <w:r>
        <w:rPr>
          <w:rFonts w:hint="eastAsia" w:ascii="仿宋_GB2312" w:hAnsi="仿宋_GB2312" w:eastAsia="仿宋_GB2312"/>
          <w:sz w:val="32"/>
        </w:rPr>
        <w:t>其中：本年收入合计</w:t>
      </w:r>
      <w:r>
        <w:rPr>
          <w:rFonts w:hint="eastAsia" w:ascii="仿宋_GB2312" w:hAnsi="仿宋_GB2312" w:eastAsia="仿宋_GB2312"/>
          <w:kern w:val="0"/>
          <w:sz w:val="32"/>
        </w:rPr>
        <w:t>52,776.33</w:t>
      </w:r>
      <w:r>
        <w:rPr>
          <w:rFonts w:hint="eastAsia" w:ascii="仿宋_GB2312" w:hAnsi="仿宋_GB2312" w:eastAsia="仿宋_GB2312"/>
          <w:sz w:val="32"/>
        </w:rPr>
        <w:t>万元，使用非财政拨款结余</w:t>
      </w:r>
      <w:r>
        <w:rPr>
          <w:rFonts w:hint="eastAsia" w:ascii="仿宋_GB2312" w:hAnsi="仿宋_GB2312" w:eastAsia="仿宋_GB2312"/>
          <w:kern w:val="0"/>
          <w:sz w:val="32"/>
        </w:rPr>
        <w:t>0.00</w:t>
      </w:r>
      <w:r>
        <w:rPr>
          <w:rFonts w:hint="eastAsia" w:ascii="仿宋_GB2312" w:hAnsi="仿宋_GB2312" w:eastAsia="仿宋_GB2312"/>
          <w:sz w:val="32"/>
        </w:rPr>
        <w:t>万元，年初结转和结余</w:t>
      </w:r>
      <w:r>
        <w:rPr>
          <w:rFonts w:hint="eastAsia" w:ascii="仿宋_GB2312" w:hAnsi="仿宋_GB2312" w:eastAsia="仿宋_GB2312"/>
          <w:kern w:val="0"/>
          <w:sz w:val="32"/>
        </w:rPr>
        <w:t>20,628.19</w:t>
      </w:r>
      <w:r>
        <w:rPr>
          <w:rFonts w:hint="eastAsia" w:ascii="仿宋_GB2312" w:hAnsi="仿宋_GB2312" w:eastAsia="仿宋_GB2312"/>
          <w:sz w:val="32"/>
        </w:rPr>
        <w:t>万元。收入总计</w:t>
      </w:r>
      <w:r>
        <w:rPr>
          <w:rFonts w:hint="eastAsia" w:ascii="仿宋_GB2312" w:hAnsi="仿宋_GB2312" w:eastAsia="仿宋_GB2312"/>
          <w:kern w:val="0"/>
          <w:sz w:val="32"/>
        </w:rPr>
        <w:t>与上年相比，减少63,543.02万元，下降46.40%，主要原因是：本年度我单位无卡子湾片区企业关停项目搬迁补偿、老龙河和黑沟河征收项目征收、恒大项目征收、会展大道北延西巷项目征收补偿等项目收入，征收资金数额降低。</w:t>
      </w:r>
    </w:p>
    <w:p>
      <w:pPr>
        <w:shd w:val="clear" w:color="auto" w:fill="FFFFFF"/>
        <w:spacing w:line="360" w:lineRule="auto"/>
        <w:ind w:firstLine="640"/>
        <w:rPr>
          <w:rFonts w:eastAsia="Times New Roman"/>
          <w:kern w:val="0"/>
          <w:sz w:val="32"/>
        </w:rPr>
      </w:pPr>
      <w:r>
        <w:rPr>
          <w:rFonts w:hint="eastAsia" w:ascii="仿宋_GB2312" w:hAnsi="仿宋_GB2312" w:eastAsia="仿宋_GB2312"/>
          <w:sz w:val="32"/>
        </w:rPr>
        <w:t>本年支出总计</w:t>
      </w:r>
      <w:r>
        <w:rPr>
          <w:rFonts w:hint="eastAsia" w:ascii="仿宋_GB2312" w:hAnsi="仿宋_GB2312" w:eastAsia="仿宋_GB2312"/>
          <w:kern w:val="0"/>
          <w:sz w:val="32"/>
        </w:rPr>
        <w:t>73,404.52万元，</w:t>
      </w:r>
      <w:r>
        <w:rPr>
          <w:rFonts w:hint="eastAsia" w:ascii="仿宋_GB2312" w:hAnsi="仿宋_GB2312" w:eastAsia="仿宋_GB2312"/>
          <w:sz w:val="32"/>
        </w:rPr>
        <w:t>其中：本年支出合计</w:t>
      </w:r>
      <w:r>
        <w:rPr>
          <w:rFonts w:hint="eastAsia" w:ascii="仿宋_GB2312" w:hAnsi="仿宋_GB2312" w:eastAsia="仿宋_GB2312"/>
          <w:kern w:val="0"/>
          <w:sz w:val="32"/>
        </w:rPr>
        <w:t>52,683.76</w:t>
      </w:r>
      <w:r>
        <w:rPr>
          <w:rFonts w:hint="eastAsia" w:ascii="仿宋_GB2312" w:hAnsi="仿宋_GB2312" w:eastAsia="仿宋_GB2312"/>
          <w:sz w:val="32"/>
        </w:rPr>
        <w:t>万元，结余分配</w:t>
      </w:r>
      <w:r>
        <w:rPr>
          <w:rFonts w:hint="eastAsia" w:ascii="仿宋_GB2312" w:hAnsi="仿宋_GB2312" w:eastAsia="仿宋_GB2312"/>
          <w:kern w:val="0"/>
          <w:sz w:val="32"/>
        </w:rPr>
        <w:t>0.00</w:t>
      </w:r>
      <w:r>
        <w:rPr>
          <w:rFonts w:hint="eastAsia" w:ascii="仿宋_GB2312" w:hAnsi="仿宋_GB2312" w:eastAsia="仿宋_GB2312"/>
          <w:sz w:val="32"/>
        </w:rPr>
        <w:t>万元，年末结转和结余</w:t>
      </w:r>
      <w:r>
        <w:rPr>
          <w:rFonts w:hint="eastAsia" w:ascii="仿宋_GB2312" w:hAnsi="仿宋_GB2312" w:eastAsia="仿宋_GB2312"/>
          <w:kern w:val="0"/>
          <w:sz w:val="32"/>
        </w:rPr>
        <w:t>20,720.76</w:t>
      </w:r>
      <w:r>
        <w:rPr>
          <w:rFonts w:hint="eastAsia" w:ascii="仿宋_GB2312" w:hAnsi="仿宋_GB2312" w:eastAsia="仿宋_GB2312"/>
          <w:sz w:val="32"/>
        </w:rPr>
        <w:t>万元。支出总计</w:t>
      </w:r>
      <w:r>
        <w:rPr>
          <w:rFonts w:hint="eastAsia" w:ascii="仿宋_GB2312" w:hAnsi="仿宋_GB2312" w:eastAsia="仿宋_GB2312"/>
          <w:kern w:val="0"/>
          <w:sz w:val="32"/>
        </w:rPr>
        <w:t>与上年相比，减少63,543.02万元，下降46.40%，主要原因是：本年度我单位无卡子湾片区企业关停项目搬迁补偿、老龙河和黑沟河征收项目征收、恒大项目征收、会展大道北延西巷项目征收补偿等项目支出，征收资金数额降低</w:t>
      </w:r>
      <w:r>
        <w:rPr>
          <w:rFonts w:hint="eastAsia" w:ascii="仿宋_GB2312" w:hAnsi="仿宋_GB2312" w:eastAsia="仿宋_GB2312"/>
          <w:kern w:val="0"/>
          <w:sz w:val="32"/>
          <w:lang w:eastAsia="zh-CN"/>
        </w:rPr>
        <w:t>，</w:t>
      </w:r>
      <w:r>
        <w:rPr>
          <w:rFonts w:hint="eastAsia" w:ascii="仿宋_GB2312" w:hAnsi="仿宋_GB2312" w:eastAsia="仿宋_GB2312"/>
          <w:kern w:val="0"/>
          <w:sz w:val="32"/>
          <w:lang w:val="en-US" w:eastAsia="zh-CN"/>
        </w:rPr>
        <w:t>支出减少</w:t>
      </w:r>
      <w:r>
        <w:rPr>
          <w:rFonts w:hint="eastAsia" w:ascii="仿宋_GB2312" w:hAnsi="仿宋_GB2312" w:eastAsia="仿宋_GB2312"/>
          <w:kern w:val="0"/>
          <w:sz w:val="32"/>
        </w:rPr>
        <w:t>。</w:t>
      </w:r>
    </w:p>
    <w:p>
      <w:pPr>
        <w:spacing w:line="360" w:lineRule="auto"/>
        <w:ind w:firstLine="640"/>
        <w:rPr>
          <w:rFonts w:eastAsia="Times New Roman"/>
          <w:sz w:val="32"/>
        </w:rPr>
      </w:pPr>
      <w:r>
        <w:rPr>
          <w:rFonts w:hint="eastAsia" w:ascii="黑体" w:hAnsi="黑体" w:eastAsia="黑体"/>
          <w:sz w:val="32"/>
          <w:lang w:val="zh-CN"/>
        </w:rPr>
        <w:t>二、收入决算情况说明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收入52,776.33万元，其中：财政拨款收入52,682.64万元，占99.82%；上级补助收入0.00万元，占0.00%；事业收入0.00万元，占0.00%；经营收入0.00万元，占0.00%；附属单位上缴收入0.00万元，占0.00%；其他收入93.69万元，占0.18%。</w:t>
      </w:r>
    </w:p>
    <w:p>
      <w:pPr>
        <w:spacing w:line="360" w:lineRule="auto"/>
        <w:ind w:firstLine="640"/>
        <w:rPr>
          <w:rFonts w:eastAsia="Times New Roman"/>
          <w:sz w:val="32"/>
        </w:rPr>
      </w:pPr>
      <w:r>
        <w:rPr>
          <w:rFonts w:hint="eastAsia" w:ascii="黑体" w:hAnsi="黑体" w:eastAsia="黑体"/>
          <w:sz w:val="32"/>
          <w:lang w:val="zh-CN"/>
        </w:rPr>
        <w:t>三、支出决算情况说明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2022年度本年支出52,683.76万元，其中：基本支出710.81万元，占1.35%；项目支出51,972.95万元，占98.65%；上缴上级支出0.00万元，占0.00%；经营支出0.00万元，占0.00%；对附属单位补助支出0.00万元，占0.00%。</w:t>
      </w:r>
    </w:p>
    <w:p>
      <w:pPr>
        <w:spacing w:line="360" w:lineRule="auto"/>
        <w:ind w:firstLine="640"/>
        <w:rPr>
          <w:rFonts w:eastAsia="Times New Roman"/>
          <w:sz w:val="32"/>
          <w:lang w:val="zh-CN"/>
        </w:rPr>
      </w:pPr>
      <w:r>
        <w:rPr>
          <w:rFonts w:hint="eastAsia" w:ascii="黑体" w:hAnsi="黑体" w:eastAsia="黑体"/>
          <w:sz w:val="32"/>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2022年度财政拨款收入</w:t>
      </w:r>
      <w:r>
        <w:rPr>
          <w:rFonts w:hint="eastAsia" w:ascii="仿宋_GB2312" w:hAnsi="仿宋_GB2312" w:eastAsia="仿宋_GB2312"/>
          <w:sz w:val="32"/>
        </w:rPr>
        <w:t>总计</w:t>
      </w:r>
      <w:r>
        <w:rPr>
          <w:rFonts w:hint="eastAsia" w:ascii="仿宋_GB2312" w:hAnsi="仿宋_GB2312" w:eastAsia="仿宋_GB2312"/>
          <w:kern w:val="0"/>
          <w:sz w:val="32"/>
        </w:rPr>
        <w:t>72,742.65万元，</w:t>
      </w:r>
      <w:r>
        <w:rPr>
          <w:rFonts w:hint="eastAsia" w:ascii="仿宋_GB2312" w:hAnsi="仿宋_GB2312" w:eastAsia="仿宋_GB2312"/>
          <w:sz w:val="32"/>
        </w:rPr>
        <w:t>其中：年初财政拨款结转和结余</w:t>
      </w:r>
      <w:r>
        <w:rPr>
          <w:rFonts w:hint="eastAsia" w:ascii="仿宋_GB2312" w:hAnsi="仿宋_GB2312" w:eastAsia="仿宋_GB2312"/>
          <w:kern w:val="0"/>
          <w:sz w:val="32"/>
        </w:rPr>
        <w:t>20,060.01</w:t>
      </w:r>
      <w:r>
        <w:rPr>
          <w:rFonts w:hint="eastAsia" w:ascii="仿宋_GB2312" w:hAnsi="仿宋_GB2312" w:eastAsia="仿宋_GB2312"/>
          <w:sz w:val="32"/>
        </w:rPr>
        <w:t>万元，财政拨款本年收入</w:t>
      </w:r>
      <w:r>
        <w:rPr>
          <w:rFonts w:hint="eastAsia" w:ascii="仿宋_GB2312" w:hAnsi="仿宋_GB2312" w:eastAsia="仿宋_GB2312"/>
          <w:kern w:val="0"/>
          <w:sz w:val="32"/>
        </w:rPr>
        <w:t>52,682.64</w:t>
      </w:r>
      <w:r>
        <w:rPr>
          <w:rFonts w:hint="eastAsia" w:ascii="仿宋_GB2312" w:hAnsi="仿宋_GB2312" w:eastAsia="仿宋_GB2312"/>
          <w:sz w:val="32"/>
        </w:rPr>
        <w:t>万元。财政拨款收入总计</w:t>
      </w:r>
      <w:r>
        <w:rPr>
          <w:rFonts w:hint="eastAsia" w:ascii="仿宋_GB2312" w:hAnsi="仿宋_GB2312" w:eastAsia="仿宋_GB2312"/>
          <w:kern w:val="0"/>
          <w:sz w:val="32"/>
        </w:rPr>
        <w:t>与上年相比，减少63,516.03万元，下降46.61%，主要原因是：本年度我单位无卡子湾片区企业关停项目搬迁补偿、老龙河和黑沟河征收项目征收、恒大项目征收、会展大道北延西巷项目征收补偿等项目收入。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财政拨款支出</w:t>
      </w:r>
      <w:r>
        <w:rPr>
          <w:rFonts w:hint="eastAsia" w:ascii="仿宋_GB2312" w:hAnsi="仿宋_GB2312" w:eastAsia="仿宋_GB2312"/>
          <w:sz w:val="32"/>
        </w:rPr>
        <w:t>总计</w:t>
      </w:r>
      <w:r>
        <w:rPr>
          <w:rFonts w:hint="eastAsia" w:ascii="仿宋_GB2312" w:hAnsi="仿宋_GB2312" w:eastAsia="仿宋_GB2312"/>
          <w:kern w:val="0"/>
          <w:sz w:val="32"/>
        </w:rPr>
        <w:t>72,742.65万元，</w:t>
      </w:r>
      <w:r>
        <w:rPr>
          <w:rFonts w:hint="eastAsia" w:ascii="仿宋_GB2312" w:hAnsi="仿宋_GB2312" w:eastAsia="仿宋_GB2312"/>
          <w:sz w:val="32"/>
        </w:rPr>
        <w:t>其中：年末财政拨款结转和结余</w:t>
      </w:r>
      <w:r>
        <w:rPr>
          <w:rFonts w:hint="eastAsia" w:ascii="仿宋_GB2312" w:hAnsi="仿宋_GB2312" w:eastAsia="仿宋_GB2312"/>
          <w:kern w:val="0"/>
          <w:sz w:val="32"/>
        </w:rPr>
        <w:t>20,058.91</w:t>
      </w:r>
      <w:r>
        <w:rPr>
          <w:rFonts w:hint="eastAsia" w:ascii="仿宋_GB2312" w:hAnsi="仿宋_GB2312" w:eastAsia="仿宋_GB2312"/>
          <w:sz w:val="32"/>
        </w:rPr>
        <w:t>万元，财政拨款本年支出</w:t>
      </w:r>
      <w:r>
        <w:rPr>
          <w:rFonts w:hint="eastAsia" w:ascii="仿宋_GB2312" w:hAnsi="仿宋_GB2312" w:eastAsia="仿宋_GB2312"/>
          <w:kern w:val="0"/>
          <w:sz w:val="32"/>
        </w:rPr>
        <w:t>52,683.74</w:t>
      </w:r>
      <w:r>
        <w:rPr>
          <w:rFonts w:hint="eastAsia" w:ascii="仿宋_GB2312" w:hAnsi="仿宋_GB2312" w:eastAsia="仿宋_GB2312"/>
          <w:sz w:val="32"/>
        </w:rPr>
        <w:t>万元。财政拨款支出总计</w:t>
      </w:r>
      <w:r>
        <w:rPr>
          <w:rFonts w:hint="eastAsia" w:ascii="仿宋_GB2312" w:hAnsi="仿宋_GB2312" w:eastAsia="仿宋_GB2312"/>
          <w:kern w:val="0"/>
          <w:sz w:val="32"/>
        </w:rPr>
        <w:t>与上年相比，减少63,516.03万元，下降46.61%，主要原因是：本年度我单位无卡子湾片区企业关停项目搬迁补偿、老龙河和黑沟河征收项目征收、恒大项目征收、会展大道北延西巷项目征收补偿等项目支出。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与年初预算数相比情况：财政拨款收入</w:t>
      </w:r>
      <w:r>
        <w:rPr>
          <w:rFonts w:hint="eastAsia" w:ascii="仿宋_GB2312" w:hAnsi="仿宋_GB2312" w:eastAsia="仿宋_GB2312"/>
          <w:sz w:val="32"/>
        </w:rPr>
        <w:t>总计</w:t>
      </w:r>
      <w:r>
        <w:rPr>
          <w:rFonts w:hint="eastAsia" w:ascii="仿宋_GB2312" w:hAnsi="仿宋_GB2312" w:eastAsia="仿宋_GB2312"/>
          <w:kern w:val="0"/>
          <w:sz w:val="32"/>
        </w:rPr>
        <w:t>年初预算数69,363.59万元，决算数72,742.65万元，预决算差异率4.87%，主要原因是：本年度</w:t>
      </w:r>
      <w:r>
        <w:rPr>
          <w:rFonts w:hint="eastAsia" w:ascii="仿宋_GB2312" w:hAnsi="仿宋_GB2312" w:eastAsia="仿宋_GB2312"/>
          <w:kern w:val="0"/>
          <w:sz w:val="32"/>
          <w:lang w:val="en-US" w:eastAsia="zh-CN"/>
        </w:rPr>
        <w:t>追加</w:t>
      </w:r>
      <w:r>
        <w:rPr>
          <w:rFonts w:hint="eastAsia" w:ascii="仿宋_GB2312" w:hAnsi="仿宋_GB2312" w:eastAsia="仿宋_GB2312"/>
          <w:kern w:val="0"/>
          <w:sz w:val="32"/>
        </w:rPr>
        <w:t>盛天隆农行</w:t>
      </w:r>
      <w:r>
        <w:rPr>
          <w:rFonts w:hint="eastAsia" w:ascii="仿宋_GB2312" w:hAnsi="仿宋_GB2312" w:eastAsia="仿宋_GB2312"/>
          <w:kern w:val="0"/>
          <w:sz w:val="32"/>
          <w:lang w:val="en-US" w:eastAsia="zh-CN"/>
        </w:rPr>
        <w:t>项目资金、</w:t>
      </w:r>
      <w:r>
        <w:rPr>
          <w:rFonts w:hint="eastAsia" w:ascii="仿宋_GB2312" w:hAnsi="仿宋_GB2312" w:eastAsia="仿宋_GB2312"/>
          <w:kern w:val="0"/>
          <w:sz w:val="32"/>
        </w:rPr>
        <w:t>盛天隆工行</w:t>
      </w:r>
      <w:r>
        <w:rPr>
          <w:rFonts w:hint="eastAsia" w:ascii="仿宋_GB2312" w:hAnsi="仿宋_GB2312" w:eastAsia="仿宋_GB2312"/>
          <w:kern w:val="0"/>
          <w:sz w:val="32"/>
          <w:lang w:val="en-US" w:eastAsia="zh-CN"/>
        </w:rPr>
        <w:t>项目资金</w:t>
      </w:r>
      <w:r>
        <w:rPr>
          <w:rFonts w:hint="eastAsia" w:ascii="仿宋_GB2312" w:hAnsi="仿宋_GB2312" w:eastAsia="仿宋_GB2312"/>
          <w:kern w:val="0"/>
          <w:sz w:val="32"/>
        </w:rPr>
        <w:t>，导致预决算产生差异。财政拨款支出</w:t>
      </w:r>
      <w:r>
        <w:rPr>
          <w:rFonts w:hint="eastAsia" w:ascii="仿宋_GB2312" w:hAnsi="仿宋_GB2312" w:eastAsia="仿宋_GB2312"/>
          <w:sz w:val="32"/>
        </w:rPr>
        <w:t>总计</w:t>
      </w:r>
      <w:r>
        <w:rPr>
          <w:rFonts w:hint="eastAsia" w:ascii="仿宋_GB2312" w:hAnsi="仿宋_GB2312" w:eastAsia="仿宋_GB2312"/>
          <w:kern w:val="0"/>
          <w:sz w:val="32"/>
        </w:rPr>
        <w:t>年初预算数69,363.59万元，决算数72,742.65万元，预决算差异率4.87%，主要原因是：本年度追加盛天隆农行项目资金、盛天隆工行项目资金，导致预决算产生差异。</w:t>
      </w:r>
    </w:p>
    <w:p>
      <w:pPr>
        <w:spacing w:line="360" w:lineRule="auto"/>
        <w:ind w:firstLine="640"/>
        <w:rPr>
          <w:rFonts w:eastAsia="Times New Roman"/>
          <w:sz w:val="32"/>
          <w:lang w:val="zh-CN"/>
        </w:rPr>
      </w:pPr>
      <w:r>
        <w:rPr>
          <w:rFonts w:hint="eastAsia" w:ascii="黑体" w:hAnsi="黑体" w:eastAsia="黑体"/>
          <w:sz w:val="32"/>
          <w:lang w:val="zh-CN"/>
        </w:rPr>
        <w:t>五、一般公共预算财政拨款支出决算情况说明</w:t>
      </w:r>
    </w:p>
    <w:p>
      <w:pPr>
        <w:ind w:firstLine="640"/>
        <w:rPr>
          <w:rFonts w:eastAsia="Times New Roman"/>
          <w:sz w:val="32"/>
        </w:rPr>
      </w:pPr>
      <w:r>
        <w:rPr>
          <w:rFonts w:hint="eastAsia" w:ascii="黑体" w:hAnsi="黑体" w:eastAsia="黑体"/>
          <w:sz w:val="32"/>
        </w:rPr>
        <w:t>（一）一般公共预算财政拨款支出决算总体情况</w:t>
      </w:r>
    </w:p>
    <w:p>
      <w:pPr>
        <w:spacing w:line="600" w:lineRule="exact"/>
        <w:ind w:firstLine="640"/>
        <w:rPr>
          <w:rFonts w:hint="eastAsia" w:ascii="仿宋_GB2312" w:hAnsi="仿宋_GB2312" w:eastAsia="仿宋_GB2312"/>
          <w:kern w:val="0"/>
          <w:sz w:val="32"/>
        </w:rPr>
      </w:pPr>
      <w:r>
        <w:rPr>
          <w:rFonts w:hint="eastAsia" w:ascii="仿宋_GB2312" w:hAnsi="仿宋_GB2312" w:eastAsia="仿宋_GB2312"/>
          <w:sz w:val="32"/>
        </w:rPr>
        <w:t>2022年度一般公共预算财政拨款支出</w:t>
      </w:r>
      <w:r>
        <w:rPr>
          <w:rFonts w:hint="eastAsia" w:ascii="仿宋_GB2312" w:hAnsi="仿宋_GB2312" w:eastAsia="仿宋_GB2312"/>
          <w:kern w:val="0"/>
          <w:sz w:val="32"/>
        </w:rPr>
        <w:t>52,683.74</w:t>
      </w:r>
      <w:r>
        <w:rPr>
          <w:rFonts w:hint="eastAsia" w:ascii="仿宋_GB2312" w:hAnsi="仿宋_GB2312" w:eastAsia="仿宋_GB2312"/>
          <w:sz w:val="32"/>
        </w:rPr>
        <w:t>万元，占本年支出合计的</w:t>
      </w:r>
      <w:r>
        <w:rPr>
          <w:rFonts w:hint="eastAsia" w:ascii="仿宋_GB2312" w:hAnsi="仿宋_GB2312" w:eastAsia="仿宋_GB2312"/>
          <w:kern w:val="0"/>
          <w:sz w:val="32"/>
        </w:rPr>
        <w:t>100.00%</w:t>
      </w:r>
      <w:r>
        <w:rPr>
          <w:rFonts w:hint="eastAsia" w:ascii="仿宋_GB2312" w:hAnsi="仿宋_GB2312" w:eastAsia="仿宋_GB2312"/>
          <w:sz w:val="32"/>
        </w:rPr>
        <w:t>，与上年相比，</w:t>
      </w:r>
      <w:r>
        <w:rPr>
          <w:rFonts w:hint="eastAsia" w:ascii="仿宋_GB2312" w:hAnsi="仿宋_GB2312" w:eastAsia="仿宋_GB2312"/>
          <w:kern w:val="0"/>
          <w:sz w:val="32"/>
        </w:rPr>
        <w:t>增加50,902.84万元，增长2,858.26%，主要原因是：本年度新增盛天隆农行项目资金、盛天隆工行项目资金支出。</w:t>
      </w:r>
    </w:p>
    <w:p>
      <w:pPr>
        <w:ind w:firstLine="640"/>
        <w:rPr>
          <w:rFonts w:eastAsia="Times New Roman"/>
          <w:sz w:val="32"/>
        </w:rPr>
      </w:pPr>
      <w:r>
        <w:rPr>
          <w:rFonts w:hint="eastAsia" w:ascii="黑体" w:hAnsi="黑体" w:eastAsia="黑体"/>
          <w:sz w:val="32"/>
        </w:rPr>
        <w:t>（二）一般公共预算财政拨款支出决算结构情况</w:t>
      </w:r>
    </w:p>
    <w:p>
      <w:pPr>
        <w:spacing w:line="600" w:lineRule="exact"/>
        <w:ind w:firstLine="640"/>
        <w:rPr>
          <w:rFonts w:hint="eastAsia" w:ascii="仿宋_GB2312" w:hAnsi="仿宋_GB2312" w:eastAsia="仿宋_GB2312"/>
          <w:sz w:val="32"/>
        </w:rPr>
      </w:pPr>
      <w:r>
        <w:rPr>
          <w:rFonts w:hint="eastAsia" w:ascii="仿宋_GB2312" w:hAnsi="仿宋_GB2312" w:eastAsia="仿宋_GB2312"/>
          <w:sz w:val="32"/>
        </w:rPr>
        <w:t>1.社会保障和就业支出（类）60.49万元，占0.11%；</w:t>
      </w:r>
    </w:p>
    <w:p>
      <w:pPr>
        <w:spacing w:line="600" w:lineRule="exact"/>
        <w:ind w:firstLine="640"/>
        <w:rPr>
          <w:rFonts w:hint="eastAsia" w:eastAsia="仿宋_GB2312"/>
          <w:kern w:val="0"/>
          <w:sz w:val="32"/>
        </w:rPr>
      </w:pPr>
      <w:r>
        <w:rPr>
          <w:rFonts w:hint="eastAsia" w:ascii="仿宋_GB2312" w:hAnsi="仿宋_GB2312" w:eastAsia="仿宋_GB2312"/>
          <w:kern w:val="0"/>
          <w:sz w:val="32"/>
        </w:rPr>
        <w:t>2.城乡社区支出（类）52,623.25万元，占99.89%。</w:t>
      </w:r>
    </w:p>
    <w:p>
      <w:pPr>
        <w:ind w:firstLine="640"/>
        <w:rPr>
          <w:rFonts w:eastAsia="Times New Roman"/>
          <w:sz w:val="32"/>
        </w:rPr>
      </w:pPr>
      <w:r>
        <w:rPr>
          <w:rFonts w:hint="eastAsia" w:ascii="黑体" w:hAnsi="黑体" w:eastAsia="黑体"/>
          <w:sz w:val="32"/>
        </w:rPr>
        <w:t>（三）一般公共预算财政拨款支出决算具体情况</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1.教育支出（类）普通教育（款）初中教育（项）:支出决算数为0.00万元，比上年决算减少746.49万元，下降100.00%，主要原因是：本年</w:t>
      </w:r>
      <w:r>
        <w:rPr>
          <w:rFonts w:hint="eastAsia" w:ascii="仿宋_GB2312" w:hAnsi="仿宋_GB2312" w:eastAsia="仿宋_GB2312"/>
          <w:kern w:val="0"/>
          <w:sz w:val="32"/>
          <w:lang w:val="en-US" w:eastAsia="zh-CN"/>
        </w:rPr>
        <w:t>减少恒大项目征收资金，</w:t>
      </w:r>
      <w:r>
        <w:rPr>
          <w:rFonts w:hint="eastAsia" w:ascii="仿宋_GB2312" w:hAnsi="仿宋_GB2312" w:eastAsia="仿宋_GB2312"/>
          <w:kern w:val="0"/>
          <w:sz w:val="32"/>
        </w:rPr>
        <w:t>此功能科目未支出</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2.社会保障和就业支出（类）民政管理事务（款）基层政权建设和社区治理（项）:支出决算数为0.00万元，比上年决算减少10.48万元，下降100.00%，主要原因是：本年此功能科目未支出</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val="en-US" w:eastAsia="zh-CN"/>
        </w:rPr>
      </w:pPr>
      <w:r>
        <w:rPr>
          <w:rFonts w:hint="eastAsia" w:ascii="仿宋_GB2312" w:hAnsi="仿宋_GB2312" w:eastAsia="仿宋_GB2312"/>
          <w:kern w:val="0"/>
          <w:sz w:val="32"/>
        </w:rPr>
        <w:t>3.社会保障和就业支出（类）行政事业单位养老支出（款）机关事业单位基本养老保险缴费支出（项）:支出决算数为60.49万元，比上年决算增加7.13万元，增长13.36%，主要原因是：本年在职人员增加，机关事业单位基本养老保险缴费支出增加</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4.城乡社区支出（类）城乡社区管理事务（款）机关服务（项）:支出决算数为650.30万元，比上年决算减少259.84万元，下降28.55%，主要原因是：本年项目拆迁补偿支出</w:t>
      </w:r>
      <w:r>
        <w:rPr>
          <w:rFonts w:hint="eastAsia" w:ascii="仿宋_GB2312" w:hAnsi="仿宋_GB2312" w:eastAsia="仿宋_GB2312"/>
          <w:kern w:val="0"/>
          <w:sz w:val="32"/>
          <w:lang w:val="en-US" w:eastAsia="zh-CN"/>
        </w:rPr>
        <w:t>较上年</w:t>
      </w:r>
      <w:r>
        <w:rPr>
          <w:rFonts w:hint="eastAsia" w:ascii="仿宋_GB2312" w:hAnsi="仿宋_GB2312" w:eastAsia="仿宋_GB2312"/>
          <w:kern w:val="0"/>
          <w:sz w:val="32"/>
        </w:rPr>
        <w:t>减少</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5.城乡社区支出（类）城乡社区管理事务（款）其他城乡社区管理事务支出（项）:支出决算数为51,972.95万元，比上年决算增加51,972.95万元，增长100.00%，主要原因是：本年</w:t>
      </w:r>
      <w:r>
        <w:rPr>
          <w:rFonts w:hint="eastAsia" w:ascii="仿宋_GB2312" w:hAnsi="仿宋_GB2312" w:eastAsia="仿宋_GB2312"/>
          <w:kern w:val="0"/>
          <w:sz w:val="32"/>
          <w:lang w:val="en-US" w:eastAsia="zh-CN"/>
        </w:rPr>
        <w:t>增加</w:t>
      </w:r>
      <w:r>
        <w:rPr>
          <w:rFonts w:hint="eastAsia" w:ascii="仿宋_GB2312" w:hAnsi="仿宋_GB2312" w:eastAsia="仿宋_GB2312"/>
          <w:kern w:val="0"/>
          <w:sz w:val="32"/>
        </w:rPr>
        <w:t>盛天隆农行</w:t>
      </w:r>
      <w:r>
        <w:rPr>
          <w:rFonts w:hint="eastAsia" w:ascii="仿宋_GB2312" w:hAnsi="仿宋_GB2312" w:eastAsia="仿宋_GB2312"/>
          <w:kern w:val="0"/>
          <w:sz w:val="32"/>
          <w:lang w:val="en-US" w:eastAsia="zh-CN"/>
        </w:rPr>
        <w:t>项目经费</w:t>
      </w:r>
      <w:r>
        <w:rPr>
          <w:rFonts w:hint="eastAsia" w:ascii="仿宋_GB2312" w:hAnsi="仿宋_GB2312" w:eastAsia="仿宋_GB2312"/>
          <w:kern w:val="0"/>
          <w:sz w:val="32"/>
          <w:lang w:eastAsia="zh-CN"/>
        </w:rPr>
        <w:t>、</w:t>
      </w:r>
      <w:r>
        <w:rPr>
          <w:rFonts w:hint="eastAsia" w:ascii="仿宋_GB2312" w:hAnsi="仿宋_GB2312" w:eastAsia="仿宋_GB2312"/>
          <w:kern w:val="0"/>
          <w:sz w:val="32"/>
        </w:rPr>
        <w:t>盛天隆工行</w:t>
      </w:r>
      <w:r>
        <w:rPr>
          <w:rFonts w:hint="eastAsia" w:ascii="仿宋_GB2312" w:hAnsi="仿宋_GB2312" w:eastAsia="仿宋_GB2312"/>
          <w:kern w:val="0"/>
          <w:sz w:val="32"/>
          <w:lang w:val="en-US" w:eastAsia="zh-CN"/>
        </w:rPr>
        <w:t>项目经费</w:t>
      </w:r>
      <w:r>
        <w:rPr>
          <w:rFonts w:hint="eastAsia" w:ascii="仿宋_GB2312" w:hAnsi="仿宋_GB2312" w:eastAsia="仿宋_GB2312"/>
          <w:kern w:val="0"/>
          <w:sz w:val="32"/>
          <w:lang w:eastAsia="zh-CN"/>
        </w:rPr>
        <w:t>、</w:t>
      </w:r>
      <w:r>
        <w:rPr>
          <w:rFonts w:hint="eastAsia" w:ascii="仿宋_GB2312" w:hAnsi="仿宋_GB2312" w:eastAsia="仿宋_GB2312"/>
          <w:kern w:val="0"/>
          <w:sz w:val="32"/>
        </w:rPr>
        <w:t>东兴贷款本息</w:t>
      </w:r>
      <w:r>
        <w:rPr>
          <w:rFonts w:hint="eastAsia" w:ascii="仿宋_GB2312" w:hAnsi="仿宋_GB2312" w:eastAsia="仿宋_GB2312"/>
          <w:kern w:val="0"/>
          <w:sz w:val="32"/>
          <w:lang w:val="en-US" w:eastAsia="zh-CN"/>
        </w:rPr>
        <w:t>项目</w:t>
      </w:r>
      <w:r>
        <w:rPr>
          <w:rFonts w:hint="eastAsia" w:ascii="仿宋_GB2312" w:hAnsi="仿宋_GB2312" w:eastAsia="仿宋_GB2312"/>
          <w:kern w:val="0"/>
          <w:sz w:val="32"/>
          <w:lang w:eastAsia="zh-CN"/>
        </w:rPr>
        <w:t>、</w:t>
      </w:r>
      <w:r>
        <w:rPr>
          <w:rFonts w:hint="eastAsia" w:ascii="仿宋_GB2312" w:hAnsi="仿宋_GB2312" w:eastAsia="仿宋_GB2312"/>
          <w:kern w:val="0"/>
          <w:sz w:val="32"/>
        </w:rPr>
        <w:t>城域通贷款本息</w:t>
      </w:r>
      <w:r>
        <w:rPr>
          <w:rFonts w:hint="eastAsia" w:ascii="仿宋_GB2312" w:hAnsi="仿宋_GB2312" w:eastAsia="仿宋_GB2312"/>
          <w:kern w:val="0"/>
          <w:sz w:val="32"/>
          <w:lang w:val="en-US" w:eastAsia="zh-CN"/>
        </w:rPr>
        <w:t>项目，</w:t>
      </w:r>
      <w:r>
        <w:rPr>
          <w:rFonts w:hint="eastAsia" w:ascii="仿宋_GB2312" w:hAnsi="仿宋_GB2312" w:eastAsia="仿宋_GB2312"/>
          <w:kern w:val="0"/>
          <w:sz w:val="32"/>
        </w:rPr>
        <w:t>此功能科目支出</w:t>
      </w:r>
      <w:r>
        <w:rPr>
          <w:rFonts w:hint="eastAsia" w:ascii="仿宋_GB2312" w:hAnsi="仿宋_GB2312" w:eastAsia="仿宋_GB2312"/>
          <w:kern w:val="0"/>
          <w:sz w:val="32"/>
          <w:lang w:val="en-US" w:eastAsia="zh-CN"/>
        </w:rPr>
        <w:t>增加</w:t>
      </w:r>
      <w:r>
        <w:rPr>
          <w:rFonts w:hint="eastAsia" w:ascii="仿宋_GB2312" w:hAnsi="仿宋_GB2312" w:eastAsia="仿宋_GB2312"/>
          <w:kern w:val="0"/>
          <w:sz w:val="32"/>
          <w:lang w:eastAsia="zh-CN"/>
        </w:rPr>
        <w:t>；</w:t>
      </w:r>
    </w:p>
    <w:p>
      <w:pPr>
        <w:spacing w:line="600" w:lineRule="exact"/>
        <w:ind w:firstLine="640"/>
        <w:rPr>
          <w:rFonts w:eastAsia="Times New Roman"/>
          <w:kern w:val="0"/>
          <w:sz w:val="32"/>
        </w:rPr>
      </w:pPr>
      <w:r>
        <w:rPr>
          <w:rFonts w:hint="eastAsia" w:ascii="仿宋_GB2312" w:hAnsi="仿宋_GB2312" w:eastAsia="仿宋_GB2312"/>
          <w:kern w:val="0"/>
          <w:sz w:val="32"/>
        </w:rPr>
        <w:t>6.城乡社区支出（类）其他城乡社区支出（款）其他城乡社区支出（项）:支出决算数为0.00万元，比上年决算减少60.43万元，下降100.00%，主要原因是：本年</w:t>
      </w:r>
      <w:r>
        <w:rPr>
          <w:rFonts w:hint="eastAsia" w:ascii="仿宋_GB2312" w:hAnsi="仿宋_GB2312" w:eastAsia="仿宋_GB2312"/>
          <w:kern w:val="0"/>
          <w:sz w:val="32"/>
          <w:lang w:val="en-US" w:eastAsia="zh-CN"/>
        </w:rPr>
        <w:t>减少土地征收测绘费，</w:t>
      </w:r>
      <w:r>
        <w:rPr>
          <w:rFonts w:hint="eastAsia" w:ascii="仿宋_GB2312" w:hAnsi="仿宋_GB2312" w:eastAsia="仿宋_GB2312"/>
          <w:kern w:val="0"/>
          <w:sz w:val="32"/>
        </w:rPr>
        <w:t>此功能科目未支出。</w:t>
      </w:r>
    </w:p>
    <w:p>
      <w:pPr>
        <w:spacing w:line="360" w:lineRule="auto"/>
        <w:ind w:firstLine="640"/>
        <w:rPr>
          <w:rFonts w:eastAsia="Times New Roman"/>
          <w:sz w:val="32"/>
          <w:lang w:val="zh-CN"/>
        </w:rPr>
      </w:pPr>
      <w:r>
        <w:rPr>
          <w:rFonts w:hint="eastAsia" w:ascii="黑体" w:hAnsi="黑体" w:eastAsia="黑体"/>
          <w:sz w:val="32"/>
          <w:lang w:val="zh-CN"/>
        </w:rPr>
        <w:t>六、一般公共预算财政拨款基本支出决算情况说明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2022年度一般公共预算财政拨款基本支出710.79万元，其中：</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人员经费697.25万元，包括：基本工资、津贴补贴、机关事业单位基本养老保险缴费、职工基本医疗保险缴费、公务员医疗补助缴费、其他社会保障缴费、住房公积金、其他工资福利支出、退休费、生活补助、奖励金。</w:t>
      </w:r>
    </w:p>
    <w:p>
      <w:pPr>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公用经费13.54万元，包括：办公费、印刷费、水费、电费、邮电费、取暖费、维修（护）费、工会经费、福利费。</w:t>
      </w:r>
    </w:p>
    <w:p>
      <w:pPr>
        <w:spacing w:line="360" w:lineRule="auto"/>
        <w:ind w:firstLine="640"/>
        <w:rPr>
          <w:rFonts w:eastAsia="Times New Roman"/>
          <w:sz w:val="32"/>
        </w:rPr>
      </w:pPr>
      <w:r>
        <w:rPr>
          <w:rFonts w:hint="eastAsia" w:ascii="黑体" w:hAnsi="黑体" w:eastAsia="黑体"/>
          <w:sz w:val="32"/>
          <w:lang w:val="zh-CN"/>
        </w:rPr>
        <w:t>七、财政拨款</w:t>
      </w:r>
      <w:r>
        <w:rPr>
          <w:rFonts w:hint="eastAsia" w:ascii="黑体" w:hAnsi="黑体" w:eastAsia="黑体"/>
          <w:kern w:val="0"/>
          <w:sz w:val="32"/>
        </w:rPr>
        <w:t>“三公”</w:t>
      </w:r>
      <w:r>
        <w:rPr>
          <w:rFonts w:hint="eastAsia" w:ascii="黑体" w:hAnsi="黑体" w:eastAsia="黑体"/>
          <w:sz w:val="32"/>
          <w:lang w:val="zh-CN"/>
        </w:rPr>
        <w:t>经费支出决算情况说明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w:t>
      </w:r>
      <w:r>
        <w:rPr>
          <w:rFonts w:hint="eastAsia" w:ascii="仿宋_GB2312" w:hAnsi="仿宋_GB2312" w:eastAsia="仿宋_GB2312"/>
          <w:sz w:val="32"/>
        </w:rPr>
        <w:t>财政拨款</w:t>
      </w:r>
      <w:r>
        <w:rPr>
          <w:rFonts w:hint="eastAsia" w:ascii="仿宋_GB2312" w:hAnsi="仿宋_GB2312" w:eastAsia="仿宋_GB2312"/>
          <w:kern w:val="0"/>
          <w:sz w:val="32"/>
        </w:rPr>
        <w:t>“三公”经费支出决算0.00万元，比上年增加0.00万元，增长0.00%，主要原因是：本年单位无此项支出。其中：因公出国（境）费支出0.00万元，占0.00%，比上年增加0.00万元，增长0.00%，主要原因是：本年单位无因公出国（境）费支出；公务用车购置及运行维护费支出0.00万元，占0.00%，比上年增加0.00万元，增长0.00%，主要原因是：本年单位无此项支出；公务接待费支出0.00万元，占0.00%，比上年增加0.00万元，增长0.00%，主要原因是：本年单位无此项支出。具体情况如下：</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公务用车购置及运行维护费0.00万元，其中：公务用车购置费0.00万元，公务用车运行维护费0.00万元。公务用车运行维护费开支内容包括本年单位无此项支出。公务用车购置数0辆，公务用车保有量0辆。</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公务接待费0.00万元，开支内容包括本年单位无此项支出。单位全年安排的国内公务接待0批次，0人次。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w:t>
      </w:r>
      <w:r>
        <w:rPr>
          <w:rFonts w:hint="eastAsia" w:ascii="仿宋_GB2312" w:hAnsi="仿宋_GB2312" w:eastAsia="仿宋_GB2312"/>
          <w:sz w:val="32"/>
        </w:rPr>
        <w:t>全年</w:t>
      </w:r>
      <w:r>
        <w:rPr>
          <w:rFonts w:hint="eastAsia" w:ascii="仿宋_GB2312" w:hAnsi="仿宋_GB2312" w:eastAsia="仿宋_GB2312"/>
          <w:kern w:val="0"/>
          <w:sz w:val="32"/>
        </w:rPr>
        <w:t>预算</w:t>
      </w:r>
      <w:r>
        <w:rPr>
          <w:rFonts w:hint="eastAsia" w:ascii="仿宋_GB2312" w:hAnsi="仿宋_GB2312" w:eastAsia="仿宋_GB2312"/>
          <w:kern w:val="0"/>
          <w:sz w:val="32"/>
          <w:lang w:val="zh-CN"/>
        </w:rPr>
        <w:t>数</w:t>
      </w:r>
      <w:r>
        <w:rPr>
          <w:rFonts w:hint="eastAsia" w:ascii="仿宋_GB2312" w:hAnsi="仿宋_GB2312" w:eastAsia="仿宋_GB2312"/>
          <w:kern w:val="0"/>
          <w:sz w:val="32"/>
        </w:rPr>
        <w:t>相比情况</w:t>
      </w:r>
      <w:r>
        <w:rPr>
          <w:rFonts w:hint="eastAsia" w:ascii="仿宋_GB2312" w:hAnsi="仿宋_GB2312" w:eastAsia="仿宋_GB2312"/>
          <w:sz w:val="32"/>
        </w:rPr>
        <w:t>：</w:t>
      </w:r>
      <w:r>
        <w:rPr>
          <w:rFonts w:eastAsia="Times New Roman"/>
          <w:kern w:val="0"/>
          <w:sz w:val="32"/>
        </w:rPr>
        <w:t>“</w:t>
      </w:r>
      <w:r>
        <w:rPr>
          <w:rFonts w:hint="eastAsia" w:ascii="仿宋_GB2312" w:hAnsi="仿宋_GB2312" w:eastAsia="仿宋_GB2312"/>
          <w:kern w:val="0"/>
          <w:sz w:val="32"/>
        </w:rPr>
        <w:t>三公</w:t>
      </w:r>
      <w:r>
        <w:rPr>
          <w:rFonts w:eastAsia="Times New Roman"/>
          <w:kern w:val="0"/>
          <w:sz w:val="32"/>
        </w:rPr>
        <w:t>”</w:t>
      </w:r>
      <w:r>
        <w:rPr>
          <w:rFonts w:hint="eastAsia" w:ascii="仿宋_GB2312" w:hAnsi="仿宋_GB2312" w:eastAsia="仿宋_GB2312"/>
          <w:kern w:val="0"/>
          <w:sz w:val="32"/>
        </w:rPr>
        <w:t>经费支出</w:t>
      </w:r>
      <w:r>
        <w:rPr>
          <w:rFonts w:hint="eastAsia" w:ascii="仿宋_GB2312" w:hAnsi="仿宋_GB2312" w:eastAsia="仿宋_GB2312"/>
          <w:sz w:val="32"/>
        </w:rPr>
        <w:t>全年预算数</w:t>
      </w:r>
      <w:r>
        <w:rPr>
          <w:rFonts w:hint="eastAsia" w:ascii="仿宋_GB2312" w:hAnsi="仿宋_GB2312" w:eastAsia="仿宋_GB2312"/>
          <w:kern w:val="0"/>
          <w:sz w:val="32"/>
        </w:rPr>
        <w:t>0.00万元，决算数0.00万元，预决算差异率0.00%，主要原因是：本年单位无此项支出。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0.00万元，决算数0.00万元，预决算差异率0.00%，主要原因是：本年单位无此项支出；公务接待费全年预算数0.00万元，决算数0.00万元，预决算差异率0.00%，主要原因是：本年单位无此项支出。</w:t>
      </w:r>
    </w:p>
    <w:p>
      <w:pPr>
        <w:spacing w:line="360" w:lineRule="auto"/>
        <w:ind w:firstLine="640"/>
        <w:rPr>
          <w:rFonts w:eastAsia="Times New Roman"/>
          <w:sz w:val="32"/>
          <w:lang w:val="zh-CN"/>
        </w:rPr>
      </w:pPr>
      <w:r>
        <w:rPr>
          <w:rFonts w:hint="eastAsia" w:ascii="黑体" w:hAnsi="黑体" w:eastAsia="黑体"/>
          <w:sz w:val="32"/>
          <w:lang w:val="zh-CN"/>
        </w:rPr>
        <w:t>八、政府性基金预算财政拨款收入支出决算情况说明</w:t>
      </w:r>
    </w:p>
    <w:p>
      <w:pPr>
        <w:spacing w:line="360" w:lineRule="auto"/>
        <w:ind w:firstLine="640"/>
        <w:rPr>
          <w:rFonts w:hint="eastAsia" w:ascii="仿宋_GB2312" w:hAnsi="仿宋_GB2312" w:eastAsia="仿宋_GB2312"/>
          <w:kern w:val="0"/>
          <w:sz w:val="32"/>
          <w:lang w:eastAsia="zh-CN"/>
        </w:rPr>
      </w:pPr>
      <w:r>
        <w:rPr>
          <w:rFonts w:hint="eastAsia" w:ascii="仿宋_GB2312" w:hAnsi="仿宋_GB2312" w:eastAsia="仿宋_GB2312"/>
          <w:kern w:val="0"/>
          <w:sz w:val="32"/>
        </w:rPr>
        <w:t>我单位本年度无政府性基金预算财政拨款收入支出，政府性基金预算财政拨款收入支出决算表反映年初结转和结余20,033.02万元，年末结转和结余20,033.02万元</w:t>
      </w:r>
      <w:r>
        <w:rPr>
          <w:rFonts w:hint="eastAsia" w:ascii="仿宋_GB2312" w:hAnsi="仿宋_GB2312" w:eastAsia="仿宋_GB2312"/>
          <w:kern w:val="0"/>
          <w:sz w:val="32"/>
          <w:lang w:eastAsia="zh-CN"/>
        </w:rPr>
        <w:t>。</w:t>
      </w:r>
    </w:p>
    <w:p>
      <w:pPr>
        <w:spacing w:line="360" w:lineRule="auto"/>
        <w:ind w:firstLine="640"/>
        <w:rPr>
          <w:rFonts w:eastAsia="Times New Roman"/>
          <w:sz w:val="32"/>
          <w:lang w:val="zh-CN"/>
        </w:rPr>
      </w:pPr>
      <w:r>
        <w:rPr>
          <w:rFonts w:hint="eastAsia" w:ascii="黑体" w:hAnsi="黑体" w:eastAsia="黑体"/>
          <w:sz w:val="32"/>
          <w:lang w:val="zh-CN"/>
        </w:rPr>
        <w:t>九、国有资本经营预算财政拨款收入支出决算情况说明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我单位本年度无国有资本经营预算财政拨款收入、支出及结转和结余，国有资本经营预算财政拨款收入支出决算表为空表。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十、其他重要事项的情况说明</w:t>
      </w:r>
    </w:p>
    <w:p>
      <w:pPr>
        <w:spacing w:line="360" w:lineRule="auto"/>
        <w:ind w:firstLine="640"/>
        <w:rPr>
          <w:rFonts w:eastAsia="Times New Roman"/>
          <w:sz w:val="32"/>
          <w:lang w:val="zh-CN"/>
        </w:rPr>
      </w:pPr>
      <w:r>
        <w:rPr>
          <w:rFonts w:hint="eastAsia" w:ascii="黑体" w:hAnsi="黑体" w:eastAsia="黑体"/>
          <w:sz w:val="32"/>
          <w:lang w:val="zh-CN"/>
        </w:rPr>
        <w:t xml:space="preserve">（一）机关运行经费支出情况 </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2022年度乌鲁木齐市米东区房屋征收与补偿管理办公室单位公用经费13.54万元，比上年减少304.68万元，下降95.75%，主要原因是：本年我单位办公费、维修（护）费、福利费有所减少。</w:t>
      </w:r>
    </w:p>
    <w:p>
      <w:pPr>
        <w:spacing w:line="360" w:lineRule="auto"/>
        <w:ind w:firstLine="640"/>
        <w:rPr>
          <w:rFonts w:eastAsia="Times New Roman"/>
          <w:sz w:val="32"/>
        </w:rPr>
      </w:pPr>
      <w:r>
        <w:rPr>
          <w:rFonts w:hint="eastAsia" w:ascii="黑体" w:hAnsi="黑体" w:eastAsia="黑体"/>
          <w:sz w:val="32"/>
        </w:rPr>
        <w:t>（</w:t>
      </w:r>
      <w:r>
        <w:rPr>
          <w:rFonts w:hint="eastAsia" w:ascii="黑体" w:hAnsi="黑体" w:eastAsia="黑体"/>
          <w:sz w:val="32"/>
          <w:lang w:val="zh-CN"/>
        </w:rPr>
        <w:t>二</w:t>
      </w:r>
      <w:r>
        <w:rPr>
          <w:rFonts w:hint="eastAsia" w:ascii="黑体" w:hAnsi="黑体" w:eastAsia="黑体"/>
          <w:sz w:val="32"/>
        </w:rPr>
        <w:t>）</w:t>
      </w:r>
      <w:r>
        <w:rPr>
          <w:rFonts w:hint="eastAsia" w:ascii="黑体" w:hAnsi="黑体" w:eastAsia="黑体"/>
          <w:sz w:val="32"/>
          <w:lang w:val="zh-CN"/>
        </w:rPr>
        <w:t>政府采购情况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2022年度政府采购支出总额334.17万元，其中：政府采购货物支出3.41万元、政府采购工程支出0.00万元、政府采购服务支出330.75万元。</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授予中小企业合同金额330.75万元，占政府采购支出总额的98.98%，其中：授予小微企业合同金额330.75万元，占政府采购支出总额的98.98%。</w:t>
      </w:r>
    </w:p>
    <w:p>
      <w:pPr>
        <w:spacing w:line="360" w:lineRule="auto"/>
        <w:ind w:firstLine="640"/>
        <w:rPr>
          <w:rFonts w:eastAsia="Times New Roman"/>
          <w:sz w:val="32"/>
          <w:lang w:val="zh-CN"/>
        </w:rPr>
      </w:pPr>
      <w:r>
        <w:rPr>
          <w:rFonts w:hint="eastAsia" w:ascii="黑体" w:hAnsi="黑体" w:eastAsia="黑体"/>
          <w:sz w:val="32"/>
          <w:lang w:val="zh-CN"/>
        </w:rPr>
        <w:t>（三）国有资产占用情况说明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截止2022年12月31日，</w:t>
      </w:r>
      <w:r>
        <w:rPr>
          <w:rFonts w:hint="eastAsia" w:ascii="仿宋_GB2312" w:hAnsi="仿宋_GB2312" w:eastAsia="仿宋_GB2312"/>
          <w:sz w:val="32"/>
        </w:rPr>
        <w:t>固定资产原值</w:t>
      </w:r>
      <w:r>
        <w:rPr>
          <w:rFonts w:hint="eastAsia" w:ascii="仿宋_GB2312" w:hAnsi="仿宋_GB2312" w:eastAsia="仿宋_GB2312"/>
          <w:kern w:val="0"/>
          <w:sz w:val="32"/>
        </w:rPr>
        <w:t>204.88</w:t>
      </w:r>
      <w:r>
        <w:rPr>
          <w:rFonts w:hint="eastAsia" w:ascii="仿宋_GB2312" w:hAnsi="仿宋_GB2312" w:eastAsia="仿宋_GB2312"/>
          <w:sz w:val="32"/>
        </w:rPr>
        <w:t>万元，</w:t>
      </w:r>
      <w:r>
        <w:rPr>
          <w:rFonts w:hint="eastAsia" w:ascii="仿宋_GB2312" w:hAnsi="仿宋_GB2312" w:eastAsia="仿宋_GB2312"/>
          <w:kern w:val="0"/>
          <w:sz w:val="32"/>
        </w:rPr>
        <w:t>房屋0.00平方米，价值0.00万元。车辆3辆，价值31.52万元，其中：副部（省）级及以上领导用车0辆、主要领导干部用车0辆、机要通信用车0辆、应急保障用车0辆、执法执勤用车0辆、特种专业技术用车0辆、离退休干部用车0辆、其他用车3辆，其他用车主要是：为我单位三辆业务用车；单价100</w:t>
      </w:r>
      <w:r>
        <w:rPr>
          <w:rFonts w:hint="eastAsia" w:ascii="仿宋_GB2312" w:hAnsi="仿宋_GB2312" w:eastAsia="仿宋_GB2312"/>
          <w:sz w:val="32"/>
        </w:rPr>
        <w:t>万元（含）以上设备（不含车辆）</w:t>
      </w:r>
      <w:r>
        <w:rPr>
          <w:rFonts w:hint="eastAsia" w:ascii="仿宋_GB2312" w:hAnsi="仿宋_GB2312" w:eastAsia="仿宋_GB2312"/>
          <w:kern w:val="0"/>
          <w:sz w:val="32"/>
        </w:rPr>
        <w:t>0台（套）。</w:t>
      </w:r>
    </w:p>
    <w:p>
      <w:pPr>
        <w:spacing w:line="360" w:lineRule="auto"/>
        <w:ind w:firstLine="640"/>
        <w:rPr>
          <w:rFonts w:eastAsia="Times New Roman"/>
          <w:sz w:val="32"/>
          <w:lang w:val="zh-CN"/>
        </w:rPr>
      </w:pPr>
      <w:r>
        <w:rPr>
          <w:rFonts w:hint="eastAsia" w:ascii="黑体" w:hAnsi="黑体" w:eastAsia="黑体"/>
          <w:sz w:val="32"/>
          <w:lang w:val="zh-CN"/>
        </w:rPr>
        <w:t>十一、预算绩效的情况说明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根据预算绩效管理要求，我单位2022年度开展预算绩效评价项目4个，</w:t>
      </w:r>
      <w:r>
        <w:rPr>
          <w:rFonts w:hint="eastAsia" w:ascii="仿宋_GB2312" w:hAnsi="仿宋_GB2312" w:eastAsia="仿宋_GB2312"/>
          <w:sz w:val="32"/>
        </w:rPr>
        <w:t>全年预算数</w:t>
      </w:r>
      <w:r>
        <w:rPr>
          <w:rFonts w:hint="eastAsia" w:ascii="仿宋_GB2312" w:hAnsi="仿宋_GB2312" w:eastAsia="仿宋_GB2312"/>
          <w:kern w:val="0"/>
          <w:sz w:val="32"/>
        </w:rPr>
        <w:t>51</w:t>
      </w:r>
      <w:r>
        <w:rPr>
          <w:rFonts w:ascii="仿宋_GB2312" w:hAnsi="仿宋_GB2312" w:eastAsia="仿宋_GB2312"/>
          <w:kern w:val="0"/>
          <w:sz w:val="32"/>
        </w:rPr>
        <w:t>,</w:t>
      </w:r>
      <w:r>
        <w:rPr>
          <w:rFonts w:hint="eastAsia" w:ascii="仿宋_GB2312" w:hAnsi="仿宋_GB2312" w:eastAsia="仿宋_GB2312"/>
          <w:kern w:val="0"/>
          <w:sz w:val="32"/>
        </w:rPr>
        <w:t>972.95</w:t>
      </w:r>
      <w:r>
        <w:rPr>
          <w:rFonts w:hint="eastAsia" w:ascii="仿宋_GB2312" w:hAnsi="仿宋_GB2312" w:eastAsia="仿宋_GB2312"/>
          <w:sz w:val="32"/>
        </w:rPr>
        <w:t>万元，全年执行数</w:t>
      </w:r>
      <w:r>
        <w:rPr>
          <w:rFonts w:hint="eastAsia" w:ascii="仿宋_GB2312" w:hAnsi="仿宋_GB2312" w:eastAsia="仿宋_GB2312"/>
          <w:kern w:val="0"/>
          <w:sz w:val="32"/>
        </w:rPr>
        <w:t>51</w:t>
      </w:r>
      <w:r>
        <w:rPr>
          <w:rFonts w:ascii="仿宋_GB2312" w:hAnsi="仿宋_GB2312" w:eastAsia="仿宋_GB2312"/>
          <w:kern w:val="0"/>
          <w:sz w:val="32"/>
        </w:rPr>
        <w:t>,</w:t>
      </w:r>
      <w:r>
        <w:rPr>
          <w:rFonts w:hint="eastAsia" w:ascii="仿宋_GB2312" w:hAnsi="仿宋_GB2312" w:eastAsia="仿宋_GB2312"/>
          <w:kern w:val="0"/>
          <w:sz w:val="32"/>
        </w:rPr>
        <w:t>972.95</w:t>
      </w:r>
      <w:r>
        <w:rPr>
          <w:rFonts w:hint="eastAsia" w:ascii="仿宋_GB2312" w:hAnsi="仿宋_GB2312" w:eastAsia="仿宋_GB2312"/>
          <w:sz w:val="32"/>
        </w:rPr>
        <w:t>万元。</w:t>
      </w:r>
      <w:r>
        <w:rPr>
          <w:rFonts w:hint="eastAsia" w:ascii="仿宋_GB2312" w:hAnsi="仿宋_GB2312" w:eastAsia="仿宋_GB2312"/>
          <w:kern w:val="0"/>
          <w:sz w:val="32"/>
        </w:rPr>
        <w:t>预算绩效管理取得的成效：一是提高资金的使用效率；二是及时根据预算的安排调整项目的开展情况。发现的问题及原因：一是</w:t>
      </w:r>
      <w:r>
        <w:rPr>
          <w:rFonts w:hint="eastAsia" w:ascii="仿宋_GB2312" w:hAnsi="仿宋_GB2312" w:eastAsia="仿宋_GB2312" w:cs="仿宋_GB2312"/>
          <w:sz w:val="32"/>
          <w:szCs w:val="32"/>
          <w:lang w:bidi="ar"/>
        </w:rPr>
        <w:t>完善管理制度，进一步加强资产管理进一步贯彻落实中央“八项规定”和相关财经纪律和财务制度，建立本单位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r>
        <w:rPr>
          <w:rFonts w:hint="eastAsia" w:ascii="仿宋_GB2312" w:hAnsi="仿宋_GB2312" w:eastAsia="仿宋_GB2312"/>
          <w:kern w:val="0"/>
          <w:sz w:val="32"/>
        </w:rPr>
        <w:t>；二是</w:t>
      </w:r>
      <w:r>
        <w:rPr>
          <w:rFonts w:hint="eastAsia" w:ascii="仿宋_GB2312" w:hAnsi="仿宋_GB2312" w:eastAsia="仿宋_GB2312" w:cs="仿宋_GB2312"/>
          <w:sz w:val="32"/>
          <w:szCs w:val="32"/>
          <w:lang w:bidi="ar"/>
        </w:rPr>
        <w:t>科学合理编制预算，严格执行预算，因我单位财务管理人力不足和临时性的中心工作比较多，导致单位项目支出与基本支出不准或预算支出实际出现较小的偏差</w:t>
      </w:r>
      <w:r>
        <w:rPr>
          <w:rFonts w:hint="eastAsia" w:ascii="仿宋_GB2312" w:hAnsi="仿宋_GB2312" w:eastAsia="仿宋_GB2312"/>
          <w:kern w:val="0"/>
          <w:sz w:val="32"/>
        </w:rPr>
        <w:t>。下一步改进措施：</w:t>
      </w:r>
      <w:r>
        <w:rPr>
          <w:rFonts w:hint="eastAsia" w:ascii="仿宋_GB2312" w:hAnsi="仿宋" w:eastAsia="仿宋_GB2312"/>
          <w:sz w:val="32"/>
        </w:rPr>
        <w:t>一是细化项目支出预算，将有限的资金发挥价值最大化；二是跟进项目的完工进度，督促项目的实施，确保预算的完工率提高</w:t>
      </w:r>
      <w:r>
        <w:rPr>
          <w:rFonts w:hint="eastAsia" w:ascii="仿宋_GB2312" w:hAnsi="仿宋" w:eastAsia="仿宋_GB2312"/>
          <w:sz w:val="32"/>
          <w:lang w:eastAsia="zh-CN"/>
        </w:rPr>
        <w:t>，</w:t>
      </w:r>
      <w:r>
        <w:rPr>
          <w:rFonts w:hint="eastAsia" w:ascii="仿宋_GB2312" w:hAnsi="仿宋" w:eastAsia="仿宋_GB2312"/>
          <w:sz w:val="32"/>
        </w:rPr>
        <w:t>在项目支出管理上与监督考核方面优化强有力的控制与行之有效的约束机制和激励机制</w:t>
      </w:r>
      <w:r>
        <w:rPr>
          <w:rFonts w:hint="eastAsia" w:ascii="仿宋_GB2312" w:hAnsi="仿宋_GB2312" w:eastAsia="仿宋_GB2312"/>
          <w:kern w:val="0"/>
          <w:sz w:val="32"/>
        </w:rPr>
        <w:t>。具体项目自评情况附项目支出绩效自评表。</w:t>
      </w:r>
    </w:p>
    <w:tbl>
      <w:tblPr>
        <w:tblStyle w:val="4"/>
        <w:tblW w:w="5000" w:type="pct"/>
        <w:tblInd w:w="0" w:type="dxa"/>
        <w:tblLayout w:type="fixed"/>
        <w:tblCellMar>
          <w:top w:w="0" w:type="dxa"/>
          <w:left w:w="108" w:type="dxa"/>
          <w:bottom w:w="0" w:type="dxa"/>
          <w:right w:w="108" w:type="dxa"/>
        </w:tblCellMar>
      </w:tblPr>
      <w:tblGrid>
        <w:gridCol w:w="554"/>
        <w:gridCol w:w="611"/>
        <w:gridCol w:w="675"/>
        <w:gridCol w:w="864"/>
        <w:gridCol w:w="1412"/>
        <w:gridCol w:w="652"/>
        <w:gridCol w:w="671"/>
        <w:gridCol w:w="765"/>
        <w:gridCol w:w="324"/>
        <w:gridCol w:w="170"/>
        <w:gridCol w:w="528"/>
        <w:gridCol w:w="524"/>
        <w:gridCol w:w="429"/>
        <w:gridCol w:w="677"/>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6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341"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城域通公司贷款利息</w:t>
            </w:r>
          </w:p>
        </w:tc>
      </w:tr>
      <w:tr>
        <w:tblPrEx>
          <w:tblCellMar>
            <w:top w:w="0" w:type="dxa"/>
            <w:left w:w="108" w:type="dxa"/>
            <w:bottom w:w="0" w:type="dxa"/>
            <w:right w:w="108" w:type="dxa"/>
          </w:tblCellMar>
        </w:tblPrEx>
        <w:trPr>
          <w:trHeight w:val="396" w:hRule="atLeast"/>
        </w:trPr>
        <w:tc>
          <w:tcPr>
            <w:tcW w:w="6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413"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米东区房屋征收与补偿管理办公室</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12"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米东区房屋征收与补偿管理办公室</w:t>
            </w:r>
          </w:p>
        </w:tc>
      </w:tr>
      <w:tr>
        <w:tblPrEx>
          <w:tblCellMar>
            <w:top w:w="0" w:type="dxa"/>
            <w:left w:w="108" w:type="dxa"/>
            <w:bottom w:w="0" w:type="dxa"/>
            <w:right w:w="108" w:type="dxa"/>
          </w:tblCellMar>
        </w:tblPrEx>
        <w:trPr>
          <w:trHeight w:val="396" w:hRule="atLeast"/>
        </w:trPr>
        <w:tc>
          <w:tcPr>
            <w:tcW w:w="65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8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7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65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1704.33</w:t>
            </w:r>
          </w:p>
        </w:tc>
        <w:tc>
          <w:tcPr>
            <w:tcW w:w="7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3418.50</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3418.50</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65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1704.33</w:t>
            </w:r>
          </w:p>
        </w:tc>
        <w:tc>
          <w:tcPr>
            <w:tcW w:w="7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3418.5</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3418.5</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5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5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1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758"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1928"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58"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乌鲁木齐城域通工程项目管理有限公司的要求，根据还贷款利息的计划，及时归还贷款利息，避免因逾期造成的不良影响，促进银行业的有序发展，维护金融市场的稳定；树立债务人的威信，维护政府形象；促进区域经济发展，提升企业竞争力。</w:t>
            </w:r>
          </w:p>
        </w:tc>
        <w:tc>
          <w:tcPr>
            <w:tcW w:w="1928"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及时归还贷款利息，避免因逾期造成的不良影响，促进银行业的有序发展，维护金融市场的稳定；树立债务人的威信，维护政府形象；促进区域经济发展，提升企业竞争力。</w:t>
            </w:r>
          </w:p>
        </w:tc>
      </w:tr>
      <w:tr>
        <w:tblPrEx>
          <w:tblCellMar>
            <w:top w:w="0" w:type="dxa"/>
            <w:left w:w="108" w:type="dxa"/>
            <w:bottom w:w="0" w:type="dxa"/>
            <w:right w:w="108" w:type="dxa"/>
          </w:tblCellMar>
        </w:tblPrEx>
        <w:trPr>
          <w:trHeight w:val="396" w:hRule="atLeast"/>
        </w:trPr>
        <w:tc>
          <w:tcPr>
            <w:tcW w:w="31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8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53"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37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3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27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9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62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653"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9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4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65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还贷款利息涉及的银行数量</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=1家</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1家</w:t>
            </w:r>
          </w:p>
        </w:tc>
        <w:tc>
          <w:tcPr>
            <w:tcW w:w="2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65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偿还利息次数</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=4次</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4次</w:t>
            </w:r>
          </w:p>
        </w:tc>
        <w:tc>
          <w:tcPr>
            <w:tcW w:w="2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65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贷款利息还款率</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2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65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还贷款利息的及时性</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&lt;=7天</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7天</w:t>
            </w:r>
          </w:p>
        </w:tc>
        <w:tc>
          <w:tcPr>
            <w:tcW w:w="2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65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每季度还款利息</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&lt;=860万元</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854.63万元</w:t>
            </w:r>
          </w:p>
        </w:tc>
        <w:tc>
          <w:tcPr>
            <w:tcW w:w="2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65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5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降低米东区债务水平，防止债务违约</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有效降低</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2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5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62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65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65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65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债权人满意度</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2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503"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2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100.00分</w:t>
            </w:r>
          </w:p>
        </w:tc>
        <w:tc>
          <w:tcPr>
            <w:tcW w:w="6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24"/>
        </w:rPr>
      </w:pPr>
    </w:p>
    <w:tbl>
      <w:tblPr>
        <w:tblStyle w:val="4"/>
        <w:tblW w:w="5000" w:type="pct"/>
        <w:tblInd w:w="0" w:type="dxa"/>
        <w:tblLayout w:type="fixed"/>
        <w:tblCellMar>
          <w:top w:w="0" w:type="dxa"/>
          <w:left w:w="108" w:type="dxa"/>
          <w:bottom w:w="0" w:type="dxa"/>
          <w:right w:w="108" w:type="dxa"/>
        </w:tblCellMar>
      </w:tblPr>
      <w:tblGrid>
        <w:gridCol w:w="538"/>
        <w:gridCol w:w="687"/>
        <w:gridCol w:w="671"/>
        <w:gridCol w:w="758"/>
        <w:gridCol w:w="1412"/>
        <w:gridCol w:w="652"/>
        <w:gridCol w:w="762"/>
        <w:gridCol w:w="678"/>
        <w:gridCol w:w="306"/>
        <w:gridCol w:w="461"/>
        <w:gridCol w:w="124"/>
        <w:gridCol w:w="914"/>
        <w:gridCol w:w="893"/>
      </w:tblGrid>
      <w:tr>
        <w:tblPrEx>
          <w:tblCellMar>
            <w:top w:w="0" w:type="dxa"/>
            <w:left w:w="108" w:type="dxa"/>
            <w:bottom w:w="0" w:type="dxa"/>
            <w:right w:w="108" w:type="dxa"/>
          </w:tblCellMar>
        </w:tblPrEx>
        <w:trPr>
          <w:trHeight w:val="405" w:hRule="atLeast"/>
        </w:trPr>
        <w:tc>
          <w:tcPr>
            <w:tcW w:w="5000" w:type="pct"/>
            <w:gridSpan w:val="13"/>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3"/>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6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307" w:type="pct"/>
            <w:gridSpan w:val="11"/>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东兴贷款本息</w:t>
            </w:r>
          </w:p>
        </w:tc>
      </w:tr>
      <w:tr>
        <w:tblPrEx>
          <w:tblCellMar>
            <w:top w:w="0" w:type="dxa"/>
            <w:left w:w="108" w:type="dxa"/>
            <w:bottom w:w="0" w:type="dxa"/>
            <w:right w:w="108" w:type="dxa"/>
          </w:tblCellMar>
        </w:tblPrEx>
        <w:trPr>
          <w:trHeight w:val="396" w:hRule="atLeast"/>
        </w:trPr>
        <w:tc>
          <w:tcPr>
            <w:tcW w:w="6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402"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米东区房屋征收与补偿管理办公室</w:t>
            </w:r>
          </w:p>
        </w:tc>
        <w:tc>
          <w:tcPr>
            <w:tcW w:w="55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48"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米东区房屋征收与补偿管理办公室</w:t>
            </w:r>
          </w:p>
        </w:tc>
      </w:tr>
      <w:tr>
        <w:tblPrEx>
          <w:tblCellMar>
            <w:top w:w="0" w:type="dxa"/>
            <w:left w:w="108" w:type="dxa"/>
            <w:bottom w:w="0" w:type="dxa"/>
            <w:right w:w="108" w:type="dxa"/>
          </w:tblCellMar>
        </w:tblPrEx>
        <w:trPr>
          <w:trHeight w:val="396" w:hRule="atLeast"/>
        </w:trPr>
        <w:tc>
          <w:tcPr>
            <w:tcW w:w="69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8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55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69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5732.37</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21480.00</w:t>
            </w:r>
          </w:p>
        </w:tc>
        <w:tc>
          <w:tcPr>
            <w:tcW w:w="55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21480.00</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69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5732.37</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21480.00</w:t>
            </w:r>
          </w:p>
        </w:tc>
        <w:tc>
          <w:tcPr>
            <w:tcW w:w="55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21480.00</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9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5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9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5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0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790"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1904"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90"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由米东区征收办向乌鲁木齐东兴国有资产经营有限公司偿还贷款本息21480万元。及时偿还贷款有利于保障政府公信力。</w:t>
            </w:r>
          </w:p>
        </w:tc>
        <w:tc>
          <w:tcPr>
            <w:tcW w:w="1904"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由米东区征收办向乌鲁木齐东兴国有资产经营有限公司偿还贷款本息21480万元。及时偿还贷款有利于保障政府公信力。</w:t>
            </w:r>
          </w:p>
        </w:tc>
      </w:tr>
      <w:tr>
        <w:tblPrEx>
          <w:tblCellMar>
            <w:top w:w="0" w:type="dxa"/>
            <w:left w:w="108" w:type="dxa"/>
            <w:bottom w:w="0" w:type="dxa"/>
            <w:right w:w="108" w:type="dxa"/>
          </w:tblCellMar>
        </w:tblPrEx>
        <w:trPr>
          <w:trHeight w:val="396" w:hRule="atLeast"/>
        </w:trPr>
        <w:tc>
          <w:tcPr>
            <w:tcW w:w="30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7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593"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3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38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43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8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50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593"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0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8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59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还贷款本息涉及的银行数量</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=1家</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1家</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59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资金支付合规性</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59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贷款还款及时性</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59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贷款本金金额</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=10000万元</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10000万元</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59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贷款利息金额</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=11480万元</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11480万元</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59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59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降低米东区债务水平，防止债务违约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有效降低</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59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按时归还贷款，有效保障政府信誉</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有效保障</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59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59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7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59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债权人满意度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77"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100.00分</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24"/>
        </w:rPr>
      </w:pPr>
    </w:p>
    <w:tbl>
      <w:tblPr>
        <w:tblStyle w:val="4"/>
        <w:tblW w:w="5000" w:type="pct"/>
        <w:tblInd w:w="0" w:type="dxa"/>
        <w:tblLayout w:type="fixed"/>
        <w:tblCellMar>
          <w:top w:w="0" w:type="dxa"/>
          <w:left w:w="108" w:type="dxa"/>
          <w:bottom w:w="0" w:type="dxa"/>
          <w:right w:w="108" w:type="dxa"/>
        </w:tblCellMar>
      </w:tblPr>
      <w:tblGrid>
        <w:gridCol w:w="577"/>
        <w:gridCol w:w="583"/>
        <w:gridCol w:w="576"/>
        <w:gridCol w:w="1064"/>
        <w:gridCol w:w="1343"/>
        <w:gridCol w:w="685"/>
        <w:gridCol w:w="677"/>
        <w:gridCol w:w="584"/>
        <w:gridCol w:w="402"/>
        <w:gridCol w:w="159"/>
        <w:gridCol w:w="469"/>
        <w:gridCol w:w="623"/>
        <w:gridCol w:w="234"/>
        <w:gridCol w:w="880"/>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6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345"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盛天隆工行农行贷款本金</w:t>
            </w:r>
          </w:p>
        </w:tc>
      </w:tr>
      <w:tr>
        <w:tblPrEx>
          <w:tblCellMar>
            <w:top w:w="0" w:type="dxa"/>
            <w:left w:w="108" w:type="dxa"/>
            <w:bottom w:w="0" w:type="dxa"/>
            <w:right w:w="108" w:type="dxa"/>
          </w:tblCellMar>
        </w:tblPrEx>
        <w:trPr>
          <w:trHeight w:val="396" w:hRule="atLeast"/>
        </w:trPr>
        <w:tc>
          <w:tcPr>
            <w:tcW w:w="6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453"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米东区房屋征收与补偿管理办公室</w:t>
            </w:r>
          </w:p>
        </w:tc>
        <w:tc>
          <w:tcPr>
            <w:tcW w:w="55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34"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米东区房屋征收与补偿管理办公室</w:t>
            </w:r>
          </w:p>
        </w:tc>
      </w:tr>
      <w:tr>
        <w:tblPrEx>
          <w:tblCellMar>
            <w:top w:w="0" w:type="dxa"/>
            <w:left w:w="108" w:type="dxa"/>
            <w:bottom w:w="0" w:type="dxa"/>
            <w:right w:w="108" w:type="dxa"/>
          </w:tblCellMar>
        </w:tblPrEx>
        <w:trPr>
          <w:trHeight w:val="396" w:hRule="atLeast"/>
        </w:trPr>
        <w:tc>
          <w:tcPr>
            <w:tcW w:w="65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2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5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7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55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35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65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11.00</w:t>
            </w:r>
          </w:p>
        </w:tc>
        <w:tc>
          <w:tcPr>
            <w:tcW w:w="7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9017.00</w:t>
            </w:r>
          </w:p>
        </w:tc>
        <w:tc>
          <w:tcPr>
            <w:tcW w:w="55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9017.00</w:t>
            </w:r>
          </w:p>
        </w:tc>
        <w:tc>
          <w:tcPr>
            <w:tcW w:w="35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65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11.00</w:t>
            </w:r>
          </w:p>
        </w:tc>
        <w:tc>
          <w:tcPr>
            <w:tcW w:w="7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9017.00</w:t>
            </w:r>
          </w:p>
        </w:tc>
        <w:tc>
          <w:tcPr>
            <w:tcW w:w="55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9017.00</w:t>
            </w:r>
          </w:p>
        </w:tc>
        <w:tc>
          <w:tcPr>
            <w:tcW w:w="35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5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5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5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5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5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5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2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782"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1892"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82"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米东区征收办向乌鲁木齐市盛天隆经营有限公司偿还贷款本金11万元。根据还贷款利息的计划，及时归还贷款利息，避免因逾期造成的不良影响，促进银行业的有序发展，维护金融市场的稳定；树立债务人的威信，维护政府形象；促进区域经济发展，提升企业竞争力。</w:t>
            </w:r>
          </w:p>
        </w:tc>
        <w:tc>
          <w:tcPr>
            <w:tcW w:w="1892"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米东区征收办向乌鲁木齐市盛天隆经营有限公司偿还贷款本金9017万元。根据还贷款利息的计划，及时归还贷款利息，避免因逾期造成的不良影响，促进银行业的有序发展，维护金融市场的稳定；树立债务人的威信，维护政府形象；促进区域经济发展，提升企业竞争力。</w:t>
            </w:r>
          </w:p>
        </w:tc>
      </w:tr>
      <w:tr>
        <w:tblPrEx>
          <w:tblCellMar>
            <w:top w:w="0" w:type="dxa"/>
            <w:left w:w="108" w:type="dxa"/>
            <w:bottom w:w="0" w:type="dxa"/>
            <w:right w:w="108" w:type="dxa"/>
          </w:tblCellMar>
        </w:tblPrEx>
        <w:trPr>
          <w:trHeight w:val="396" w:hRule="atLeast"/>
        </w:trPr>
        <w:tc>
          <w:tcPr>
            <w:tcW w:w="32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2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746"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38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32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1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61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62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746"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1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1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2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74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还贷款本金涉及的银行数量</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=2家</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2家</w:t>
            </w:r>
          </w:p>
        </w:tc>
        <w:tc>
          <w:tcPr>
            <w:tcW w:w="3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74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偿还本金次数</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=4次</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4次</w:t>
            </w:r>
          </w:p>
        </w:tc>
        <w:tc>
          <w:tcPr>
            <w:tcW w:w="3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74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资金支付合规性</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74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资金支付及时性</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74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盛天隆工行贷款本金</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=12万元</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12万元</w:t>
            </w:r>
          </w:p>
        </w:tc>
        <w:tc>
          <w:tcPr>
            <w:tcW w:w="3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74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盛天隆农行贷款本金</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=9005万元</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9005万元</w:t>
            </w:r>
          </w:p>
        </w:tc>
        <w:tc>
          <w:tcPr>
            <w:tcW w:w="3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746"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74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降低米东区债务水平，防止债务违约</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有效降低</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74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按时归还贷款，有效保障政府信誉</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有效保障</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746"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746"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74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债权人满意度</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3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37"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6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100.00分</w:t>
            </w:r>
          </w:p>
        </w:tc>
        <w:tc>
          <w:tcPr>
            <w:tcW w:w="62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24"/>
        </w:rPr>
      </w:pPr>
    </w:p>
    <w:tbl>
      <w:tblPr>
        <w:tblStyle w:val="4"/>
        <w:tblW w:w="5000" w:type="pct"/>
        <w:tblInd w:w="0" w:type="dxa"/>
        <w:tblLayout w:type="fixed"/>
        <w:tblCellMar>
          <w:top w:w="0" w:type="dxa"/>
          <w:left w:w="108" w:type="dxa"/>
          <w:bottom w:w="0" w:type="dxa"/>
          <w:right w:w="108" w:type="dxa"/>
        </w:tblCellMar>
      </w:tblPr>
      <w:tblGrid>
        <w:gridCol w:w="551"/>
        <w:gridCol w:w="689"/>
        <w:gridCol w:w="1121"/>
        <w:gridCol w:w="326"/>
        <w:gridCol w:w="1412"/>
        <w:gridCol w:w="652"/>
        <w:gridCol w:w="758"/>
        <w:gridCol w:w="584"/>
        <w:gridCol w:w="453"/>
        <w:gridCol w:w="122"/>
        <w:gridCol w:w="668"/>
        <w:gridCol w:w="413"/>
        <w:gridCol w:w="434"/>
        <w:gridCol w:w="673"/>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99"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盛天隆工行农行贷款利息</w:t>
            </w:r>
          </w:p>
        </w:tc>
      </w:tr>
      <w:tr>
        <w:tblPrEx>
          <w:tblCellMar>
            <w:top w:w="0" w:type="dxa"/>
            <w:left w:w="108" w:type="dxa"/>
            <w:bottom w:w="0" w:type="dxa"/>
            <w:right w:w="108" w:type="dxa"/>
          </w:tblCellMar>
        </w:tblPrEx>
        <w:trPr>
          <w:trHeight w:val="396" w:hRule="atLeast"/>
        </w:trPr>
        <w:tc>
          <w:tcPr>
            <w:tcW w:w="7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410"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米东区房屋征收与补偿管理办公室</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02"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米东区房屋征收与补偿管理办公室</w:t>
            </w:r>
          </w:p>
        </w:tc>
      </w:tr>
      <w:tr>
        <w:tblPrEx>
          <w:tblCellMar>
            <w:top w:w="0" w:type="dxa"/>
            <w:left w:w="108" w:type="dxa"/>
            <w:bottom w:w="0" w:type="dxa"/>
            <w:right w:w="108" w:type="dxa"/>
          </w:tblCellMar>
        </w:tblPrEx>
        <w:trPr>
          <w:trHeight w:val="396" w:hRule="atLeast"/>
        </w:trPr>
        <w:tc>
          <w:tcPr>
            <w:tcW w:w="70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8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79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0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9103.35</w:t>
            </w:r>
          </w:p>
        </w:tc>
        <w:tc>
          <w:tcPr>
            <w:tcW w:w="79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18057.45</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18057.45</w:t>
            </w: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70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9103.35</w:t>
            </w:r>
          </w:p>
        </w:tc>
        <w:tc>
          <w:tcPr>
            <w:tcW w:w="79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18057.45</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18057.45</w:t>
            </w: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0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9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0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1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7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9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1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799"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1888"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99"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米东区征收办向乌鲁木齐市盛天隆经营有限公司偿还贷款利息18591万元。根据还贷款利息的计划，及时归还贷款利息，避免因逾期造成的不良影响，促进银行业的有序发展，维护金融市场的稳定；树立债务人的威信，维护政府形象；促进区域经济发展，提升企业竞争力。</w:t>
            </w:r>
          </w:p>
        </w:tc>
        <w:tc>
          <w:tcPr>
            <w:tcW w:w="1888"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米东区征收办向乌鲁木齐市盛天隆经营有限公司偿还贷款利息18057.45万元。避免因逾期造成的不良影响，促进银行业的有序发展，维护金融市场的稳定；树立债务人的威信，维护政府形象；促进区域经济发展，提升企业竞争力。</w:t>
            </w:r>
          </w:p>
        </w:tc>
      </w:tr>
      <w:tr>
        <w:tblPrEx>
          <w:tblCellMar>
            <w:top w:w="0" w:type="dxa"/>
            <w:left w:w="108" w:type="dxa"/>
            <w:bottom w:w="0" w:type="dxa"/>
            <w:right w:w="108" w:type="dxa"/>
          </w:tblCellMar>
        </w:tblPrEx>
        <w:trPr>
          <w:trHeight w:val="396" w:hRule="atLeast"/>
        </w:trPr>
        <w:tc>
          <w:tcPr>
            <w:tcW w:w="31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63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349"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2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32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2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61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62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349"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1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8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6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34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还贷款利息涉及的银行数量</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=2家</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2家</w:t>
            </w:r>
          </w:p>
        </w:tc>
        <w:tc>
          <w:tcPr>
            <w:tcW w:w="3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61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34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资金支付合规性</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1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34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资金支付及时性</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1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34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项目预算控制率</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&lt;=100%</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1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6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349"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1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4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降低米东区债务水平，防止债务违约</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有效降低</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1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4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按时归还贷款，有效保障政府信誉</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有效保障</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1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349"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1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349"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1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6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4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债权人满意度</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3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1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40"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61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100.00分</w:t>
            </w:r>
          </w:p>
        </w:tc>
        <w:tc>
          <w:tcPr>
            <w:tcW w:w="62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after="240"/>
        <w:jc w:val="center"/>
        <w:rPr>
          <w:rFonts w:eastAsia="Times New Roman"/>
          <w:b/>
          <w:kern w:val="0"/>
          <w:sz w:val="28"/>
        </w:rPr>
      </w:pPr>
      <w:r>
        <w:rPr>
          <w:rFonts w:hint="eastAsia" w:ascii="黑体" w:hAnsi="黑体" w:eastAsia="黑体"/>
          <w:kern w:val="0"/>
          <w:sz w:val="32"/>
        </w:rPr>
        <w:t>第三部分 专业名词解释</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财政拨款收入：指同级财政当年拨付的资金。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上级补助收入：指事业单位从主管部门和上级单位取得的非财政补助收入。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事业收入：指事业单位开展专业业务活动及其辅助活动所取得的收入。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经营收入：指事业单位在专业业务活动及其辅助活动之外开展非独立核算经营活动取得的收入。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附属单位上缴收入：指事业单位附属的独立核算单位按有关规定上缴的收入。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其他收入：指除上述“财政拨款收入”、“事业收入”、“经营收入”、“附属单位上缴收入”等之外取得的收入。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基本支出：指为保障机构正常运转、完成日常工作任务而发生的人员支出和公用支出。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项目支出：指在基本支出之外为完成特定行政任务和事业发展目标所发生的支出。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经营支出：指事业单位在专业业务活动及其辅助活动之外开展非独立核算经营活动发生的支出。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对附属单位补助支出：指事业单位发生的用非财政预算资金对附属单位的补助支出。</w:t>
      </w:r>
    </w:p>
    <w:p>
      <w:pPr>
        <w:spacing w:line="360" w:lineRule="auto"/>
        <w:ind w:firstLine="640"/>
        <w:rPr>
          <w:rFonts w:eastAsia="Times New Roman"/>
          <w:sz w:val="32"/>
        </w:rPr>
      </w:pPr>
      <w:r>
        <w:rPr>
          <w:rFonts w:hint="eastAsia" w:ascii="仿宋_GB2312" w:hAnsi="仿宋_GB2312" w:eastAsia="仿宋_GB2312"/>
          <w:sz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eastAsia="Times New Roman"/>
          <w:sz w:val="32"/>
        </w:rPr>
      </w:pPr>
      <w:r>
        <w:rPr>
          <w:rFonts w:hint="eastAsia" w:ascii="仿宋_GB2312" w:hAnsi="仿宋_GB2312" w:eastAsia="仿宋_GB2312"/>
          <w:sz w:val="32"/>
        </w:rPr>
        <w:t>机关运行经费：行政单位和参照公务员法管理的事业单位财政拨款基本支出中的公用经费支出。</w:t>
      </w:r>
    </w:p>
    <w:p>
      <w:pPr>
        <w:shd w:val="clear" w:color="auto" w:fill="FFFFFF"/>
        <w:spacing w:before="100" w:after="240"/>
        <w:jc w:val="center"/>
        <w:rPr>
          <w:rFonts w:eastAsia="Times New Roman"/>
          <w:kern w:val="0"/>
          <w:sz w:val="32"/>
        </w:rPr>
      </w:pPr>
      <w:bookmarkStart w:id="0" w:name="_GoBack"/>
      <w:bookmarkEnd w:id="0"/>
      <w:r>
        <w:rPr>
          <w:rFonts w:hint="eastAsia" w:ascii="黑体" w:hAnsi="黑体" w:eastAsia="黑体"/>
          <w:kern w:val="0"/>
          <w:sz w:val="32"/>
        </w:rPr>
        <w:t>第四部分 部门决算报表（见附表）</w:t>
      </w:r>
    </w:p>
    <w:p>
      <w:pPr>
        <w:spacing w:line="540" w:lineRule="exact"/>
        <w:ind w:firstLine="640"/>
        <w:rPr>
          <w:rFonts w:eastAsia="Times New Roman"/>
          <w:sz w:val="32"/>
        </w:rPr>
      </w:pPr>
      <w:r>
        <w:rPr>
          <w:rFonts w:hint="eastAsia" w:ascii="黑体" w:hAnsi="黑体" w:eastAsia="黑体"/>
          <w:sz w:val="32"/>
        </w:rPr>
        <w:t>一、《收入支出决算总表》</w:t>
      </w:r>
    </w:p>
    <w:p>
      <w:pPr>
        <w:spacing w:line="540" w:lineRule="exact"/>
        <w:ind w:firstLine="640"/>
        <w:rPr>
          <w:rFonts w:eastAsia="Times New Roman"/>
          <w:sz w:val="32"/>
        </w:rPr>
      </w:pPr>
      <w:r>
        <w:rPr>
          <w:rFonts w:hint="eastAsia" w:ascii="黑体" w:hAnsi="黑体" w:eastAsia="黑体"/>
          <w:sz w:val="32"/>
        </w:rPr>
        <w:t>二、《收入决算表》</w:t>
      </w:r>
    </w:p>
    <w:p>
      <w:pPr>
        <w:spacing w:line="540" w:lineRule="exact"/>
        <w:ind w:firstLine="640"/>
        <w:rPr>
          <w:rFonts w:eastAsia="Times New Roman"/>
          <w:sz w:val="32"/>
        </w:rPr>
      </w:pPr>
      <w:r>
        <w:rPr>
          <w:rFonts w:hint="eastAsia" w:ascii="黑体" w:hAnsi="黑体" w:eastAsia="黑体"/>
          <w:sz w:val="32"/>
        </w:rPr>
        <w:t>三、《支出决算表》</w:t>
      </w:r>
    </w:p>
    <w:p>
      <w:pPr>
        <w:spacing w:line="540" w:lineRule="exact"/>
        <w:ind w:firstLine="640"/>
        <w:rPr>
          <w:rFonts w:eastAsia="Times New Roman"/>
          <w:sz w:val="32"/>
        </w:rPr>
      </w:pPr>
      <w:r>
        <w:rPr>
          <w:rFonts w:hint="eastAsia" w:ascii="黑体" w:hAnsi="黑体" w:eastAsia="黑体"/>
          <w:sz w:val="32"/>
        </w:rPr>
        <w:t>四、《财政拨款收入支出决算总表》</w:t>
      </w:r>
    </w:p>
    <w:p>
      <w:pPr>
        <w:spacing w:line="540" w:lineRule="exact"/>
        <w:ind w:firstLine="640"/>
        <w:rPr>
          <w:rFonts w:eastAsia="Times New Roman"/>
          <w:sz w:val="32"/>
        </w:rPr>
      </w:pPr>
      <w:r>
        <w:rPr>
          <w:rFonts w:hint="eastAsia" w:ascii="黑体" w:hAnsi="黑体" w:eastAsia="黑体"/>
          <w:sz w:val="32"/>
        </w:rPr>
        <w:t>五、《一般公共预算财政拨款支出决算表》</w:t>
      </w:r>
    </w:p>
    <w:p>
      <w:pPr>
        <w:spacing w:line="540" w:lineRule="exact"/>
        <w:ind w:firstLine="640"/>
        <w:rPr>
          <w:rFonts w:eastAsia="Times New Roman"/>
          <w:sz w:val="32"/>
        </w:rPr>
      </w:pPr>
      <w:r>
        <w:rPr>
          <w:rFonts w:hint="eastAsia" w:ascii="黑体" w:hAnsi="黑体" w:eastAsia="黑体"/>
          <w:sz w:val="32"/>
        </w:rPr>
        <w:t>六、《一般公共预算财政拨款基本支出决算表》</w:t>
      </w:r>
    </w:p>
    <w:p>
      <w:pPr>
        <w:spacing w:line="540" w:lineRule="exact"/>
        <w:ind w:firstLine="640"/>
        <w:rPr>
          <w:rFonts w:eastAsia="Times New Roman"/>
          <w:sz w:val="32"/>
        </w:rPr>
      </w:pPr>
      <w:r>
        <w:rPr>
          <w:rFonts w:hint="eastAsia" w:ascii="黑体" w:hAnsi="黑体" w:eastAsia="黑体"/>
          <w:sz w:val="32"/>
        </w:rPr>
        <w:t>七、《财政拨款“三公”经费支出决算表》</w:t>
      </w:r>
    </w:p>
    <w:p>
      <w:pPr>
        <w:spacing w:line="540" w:lineRule="exact"/>
        <w:ind w:firstLine="640"/>
        <w:rPr>
          <w:rFonts w:eastAsia="Times New Roman"/>
          <w:kern w:val="0"/>
          <w:sz w:val="32"/>
        </w:rPr>
      </w:pPr>
      <w:r>
        <w:rPr>
          <w:rFonts w:hint="eastAsia" w:ascii="黑体" w:hAnsi="黑体" w:eastAsia="黑体"/>
          <w:sz w:val="32"/>
        </w:rPr>
        <w:t>八、《政府性基金预算财政拨款收入支出决算表》</w:t>
      </w:r>
    </w:p>
    <w:p>
      <w:pPr>
        <w:spacing w:line="540" w:lineRule="exact"/>
        <w:ind w:firstLine="640"/>
        <w:rPr>
          <w:rFonts w:eastAsia="Times New Roman"/>
          <w:kern w:val="0"/>
          <w:sz w:val="32"/>
        </w:rPr>
      </w:pPr>
      <w:r>
        <w:rPr>
          <w:rFonts w:hint="eastAsia" w:ascii="黑体" w:hAnsi="黑体" w:eastAsia="黑体"/>
          <w:sz w:val="32"/>
          <w:lang w:val="zh-CN"/>
        </w:rPr>
        <w:t>九</w:t>
      </w:r>
      <w:r>
        <w:rPr>
          <w:rFonts w:hint="eastAsia" w:ascii="黑体" w:hAnsi="黑体" w:eastAsia="黑体"/>
          <w:sz w:val="32"/>
        </w:rPr>
        <w:t>、《国有资本经营预算财政拨款收入支出决算表》</w:t>
      </w: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0161AAB"/>
    <w:rsid w:val="0017607A"/>
    <w:rsid w:val="001945CD"/>
    <w:rsid w:val="004056DA"/>
    <w:rsid w:val="0046676E"/>
    <w:rsid w:val="00485794"/>
    <w:rsid w:val="004F717A"/>
    <w:rsid w:val="005268A0"/>
    <w:rsid w:val="00641F5A"/>
    <w:rsid w:val="006A540C"/>
    <w:rsid w:val="006F14E0"/>
    <w:rsid w:val="0090214A"/>
    <w:rsid w:val="00A43D0D"/>
    <w:rsid w:val="00AE0946"/>
    <w:rsid w:val="00EC68B2"/>
    <w:rsid w:val="00ED73E8"/>
    <w:rsid w:val="00F668A7"/>
    <w:rsid w:val="0A9A3DA7"/>
    <w:rsid w:val="3BF13700"/>
    <w:rsid w:val="45D36505"/>
    <w:rsid w:val="591C0390"/>
    <w:rsid w:val="78C920EF"/>
    <w:rsid w:val="7D21138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qFormat/>
    <w:uiPriority w:val="99"/>
    <w:rPr>
      <w:rFonts w:hint="default"/>
      <w:kern w:val="2"/>
      <w:sz w:val="18"/>
      <w:szCs w:val="18"/>
    </w:rPr>
  </w:style>
  <w:style w:type="character" w:customStyle="1" w:styleId="7">
    <w:name w:val="页脚 字符"/>
    <w:link w:val="2"/>
    <w:qFormat/>
    <w:uiPriority w:val="99"/>
    <w:rPr>
      <w:rFonts w:hint="default"/>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7710</Words>
  <Characters>8877</Characters>
  <Lines>71</Lines>
  <Paragraphs>20</Paragraphs>
  <TotalTime>20</TotalTime>
  <ScaleCrop>false</ScaleCrop>
  <LinksUpToDate>false</LinksUpToDate>
  <CharactersWithSpaces>8896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2023-08-21T03:42:00Z</dcterms:created>
  <dc:creator>Administrator</dc:creator>
  <cp:lastModifiedBy>逐梦令</cp:lastModifiedBy>
  <dcterms:modified xsi:type="dcterms:W3CDTF">2023-09-01T09:27:18Z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5FB1BE210BE94A91A6A2AC02FD98B03B_13</vt:lpwstr>
  </property>
</Properties>
</file>