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before="240" w:beforeLines="0" w:after="240" w:afterLines="0"/>
        <w:jc w:val="center"/>
        <w:rPr>
          <w:rFonts w:hint="default" w:eastAsia="Times New Roman"/>
          <w:kern w:val="36"/>
          <w:sz w:val="40"/>
          <w:szCs w:val="24"/>
          <w:lang w:val="zh-CN"/>
        </w:rPr>
      </w:pPr>
    </w:p>
    <w:p>
      <w:pPr>
        <w:shd w:val="clear" w:color="auto" w:fill="FFFFFF"/>
        <w:spacing w:before="240" w:beforeLines="0" w:after="240" w:afterLines="0"/>
        <w:jc w:val="center"/>
        <w:rPr>
          <w:rFonts w:hint="default" w:eastAsia="Times New Roman"/>
          <w:kern w:val="36"/>
          <w:sz w:val="40"/>
          <w:szCs w:val="24"/>
          <w:lang w:val="zh-CN"/>
        </w:rPr>
      </w:pPr>
    </w:p>
    <w:p>
      <w:pPr>
        <w:spacing w:beforeLines="0" w:afterLines="0"/>
        <w:jc w:val="center"/>
        <w:rPr>
          <w:rFonts w:hint="default" w:ascii="方正小标宋_GBK" w:hAnsi="方正小标宋_GBK" w:eastAsia="方正小标宋_GBK"/>
          <w:sz w:val="44"/>
          <w:szCs w:val="24"/>
        </w:rPr>
      </w:pPr>
      <w:r>
        <w:rPr>
          <w:rFonts w:hint="eastAsia" w:ascii="方正小标宋_GBK" w:hAnsi="方正小标宋_GBK" w:eastAsia="方正小标宋_GBK"/>
          <w:sz w:val="44"/>
          <w:szCs w:val="24"/>
        </w:rPr>
        <w:t>乌鲁木齐市米东区技工学校</w:t>
      </w:r>
    </w:p>
    <w:p>
      <w:pPr>
        <w:spacing w:beforeLines="0" w:afterLines="0"/>
        <w:jc w:val="center"/>
        <w:rPr>
          <w:rFonts w:hint="default" w:eastAsia="Times New Roman"/>
          <w:kern w:val="36"/>
          <w:sz w:val="40"/>
          <w:szCs w:val="24"/>
          <w:lang w:val="zh-CN"/>
        </w:rPr>
      </w:pPr>
      <w:r>
        <w:rPr>
          <w:rFonts w:hint="eastAsia" w:ascii="方正小标宋_GBK" w:hAnsi="方正小标宋_GBK" w:eastAsia="方正小标宋_GBK"/>
          <w:sz w:val="44"/>
          <w:szCs w:val="24"/>
        </w:rPr>
        <w:t>2022年度部门决算公开说明</w:t>
      </w:r>
    </w:p>
    <w:p>
      <w:pPr>
        <w:shd w:val="clear" w:color="auto" w:fill="FFFFFF"/>
        <w:spacing w:before="240" w:beforeLines="0" w:after="240" w:afterLines="0"/>
        <w:jc w:val="center"/>
        <w:rPr>
          <w:rFonts w:hint="default" w:eastAsia="Times New Roman"/>
          <w:kern w:val="36"/>
          <w:sz w:val="40"/>
          <w:szCs w:val="24"/>
          <w:lang w:val="zh-CN"/>
        </w:rPr>
      </w:pPr>
    </w:p>
    <w:p>
      <w:pPr>
        <w:spacing w:beforeLines="0" w:afterLines="0" w:line="540" w:lineRule="exact"/>
        <w:jc w:val="center"/>
        <w:rPr>
          <w:rFonts w:hint="default" w:eastAsia="Times New Roman"/>
          <w:b/>
          <w:kern w:val="0"/>
          <w:sz w:val="24"/>
          <w:szCs w:val="24"/>
        </w:rPr>
      </w:pPr>
      <w:r>
        <w:rPr>
          <w:rFonts w:hint="default" w:eastAsia="Times New Roman"/>
          <w:b/>
          <w:kern w:val="36"/>
          <w:sz w:val="36"/>
          <w:szCs w:val="24"/>
        </w:rPr>
        <w:br w:type="page"/>
      </w:r>
      <w:r>
        <w:rPr>
          <w:rFonts w:hint="eastAsia" w:ascii="仿宋_GB2312" w:hAnsi="仿宋_GB2312" w:eastAsia="仿宋_GB2312"/>
          <w:b/>
          <w:kern w:val="0"/>
          <w:sz w:val="36"/>
          <w:szCs w:val="24"/>
        </w:rPr>
        <w:t>目  录</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b/>
          <w:kern w:val="0"/>
          <w:sz w:val="32"/>
          <w:szCs w:val="24"/>
        </w:rPr>
        <w:t>第一部分 单位概况</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kern w:val="0"/>
          <w:sz w:val="32"/>
          <w:szCs w:val="24"/>
        </w:rPr>
        <w:t>一、主要职能</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kern w:val="0"/>
          <w:sz w:val="32"/>
          <w:szCs w:val="24"/>
        </w:rPr>
        <w:t>二、</w:t>
      </w:r>
      <w:r>
        <w:rPr>
          <w:rFonts w:hint="eastAsia" w:ascii="仿宋_GB2312" w:hAnsi="仿宋_GB2312" w:eastAsia="仿宋_GB2312"/>
          <w:sz w:val="32"/>
          <w:szCs w:val="24"/>
        </w:rPr>
        <w:t>机构设置及人员情况</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b/>
          <w:kern w:val="0"/>
          <w:sz w:val="32"/>
          <w:szCs w:val="24"/>
        </w:rPr>
        <w:t>第二部分 部门决算情况说明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一、收入支出决算总体情况说明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二、收入决算情况说明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三、支出决算情况说明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四、财政拨款收入支出决算总体情况说明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五、一般公共预算财政拨款支出决算情况说明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六、一般公共预算财政拨款基本支出决算情况说明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七、财政拨款“三公”经费支出决算情况说明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八、政府性基金预算</w:t>
      </w:r>
      <w:r>
        <w:rPr>
          <w:rFonts w:hint="eastAsia" w:ascii="仿宋_GB2312" w:hAnsi="仿宋_GB2312" w:eastAsia="仿宋_GB2312"/>
          <w:sz w:val="32"/>
          <w:szCs w:val="24"/>
          <w:lang w:val="zh-CN"/>
        </w:rPr>
        <w:t>财政拨款</w:t>
      </w:r>
      <w:r>
        <w:rPr>
          <w:rFonts w:hint="eastAsia" w:ascii="仿宋_GB2312" w:hAnsi="仿宋_GB2312" w:eastAsia="仿宋_GB2312"/>
          <w:sz w:val="32"/>
          <w:szCs w:val="24"/>
        </w:rPr>
        <w:t>收入支出决算情况说明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九、国有资本经营预算财政拨款收入支出决算情况说明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十、其他重要事项的情况说明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（一）机关运行经费支出情况</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（二）政府采购情况</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（三）国有资产占用情况说明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十</w:t>
      </w:r>
      <w:r>
        <w:rPr>
          <w:rFonts w:hint="eastAsia" w:ascii="仿宋_GB2312" w:hAnsi="仿宋_GB2312" w:eastAsia="仿宋_GB2312"/>
          <w:sz w:val="32"/>
          <w:szCs w:val="24"/>
          <w:lang w:val="zh-CN"/>
        </w:rPr>
        <w:t>一</w:t>
      </w:r>
      <w:r>
        <w:rPr>
          <w:rFonts w:hint="eastAsia" w:ascii="仿宋_GB2312" w:hAnsi="仿宋_GB2312" w:eastAsia="仿宋_GB2312"/>
          <w:sz w:val="32"/>
          <w:szCs w:val="24"/>
        </w:rPr>
        <w:t>、预算绩效的情况说明</w:t>
      </w:r>
    </w:p>
    <w:p>
      <w:pPr>
        <w:topLinePunct/>
        <w:spacing w:beforeLines="0" w:afterLines="0" w:line="360" w:lineRule="auto"/>
        <w:rPr>
          <w:rFonts w:hint="default" w:eastAsia="Times New Roman"/>
          <w:b/>
          <w:kern w:val="0"/>
          <w:sz w:val="32"/>
          <w:szCs w:val="24"/>
        </w:rPr>
      </w:pPr>
      <w:r>
        <w:rPr>
          <w:rFonts w:hint="eastAsia" w:ascii="仿宋_GB2312" w:hAnsi="仿宋_GB2312" w:eastAsia="仿宋_GB2312"/>
          <w:b/>
          <w:kern w:val="0"/>
          <w:sz w:val="32"/>
          <w:szCs w:val="24"/>
        </w:rPr>
        <w:t>第三部分 专业名词解释</w:t>
      </w:r>
    </w:p>
    <w:p>
      <w:pPr>
        <w:topLinePunct/>
        <w:spacing w:beforeLines="0" w:afterLines="0" w:line="360" w:lineRule="auto"/>
        <w:rPr>
          <w:rFonts w:hint="default" w:eastAsia="Times New Roman"/>
          <w:b/>
          <w:kern w:val="0"/>
          <w:sz w:val="32"/>
          <w:szCs w:val="24"/>
        </w:rPr>
      </w:pPr>
      <w:r>
        <w:rPr>
          <w:rFonts w:hint="eastAsia" w:ascii="仿宋_GB2312" w:hAnsi="仿宋_GB2312" w:eastAsia="仿宋_GB2312"/>
          <w:b/>
          <w:kern w:val="0"/>
          <w:sz w:val="32"/>
          <w:szCs w:val="24"/>
        </w:rPr>
        <w:t>第四部分 部</w:t>
      </w:r>
      <w:r>
        <w:rPr>
          <w:rFonts w:hint="eastAsia" w:ascii="仿宋_GB2312" w:hAnsi="仿宋_GB2312" w:eastAsia="仿宋_GB2312"/>
          <w:b/>
          <w:sz w:val="32"/>
          <w:szCs w:val="24"/>
        </w:rPr>
        <w:t>门决算报表（见附表）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一、《收入支出决算总表》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二、《收入决算表》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三、《支出决算表》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四、《财政拨款收入支出决算总表》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五、《一般公共预算财政拨款支出决算表》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六、《一般公共预算财政拨款基本支出决算表》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七、《财政拨款“三公”经费支出决算表》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八、《政府性基金预算财政拨款收入支出决算表》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九、《国有资本经营预算财政拨款收入支出决算表》</w:t>
      </w:r>
    </w:p>
    <w:p>
      <w:pPr>
        <w:spacing w:beforeLines="0" w:afterLines="0" w:line="540" w:lineRule="exact"/>
        <w:ind w:firstLine="640"/>
        <w:rPr>
          <w:rFonts w:hint="default" w:eastAsia="Times New Roman"/>
          <w:b/>
          <w:kern w:val="0"/>
          <w:sz w:val="28"/>
          <w:szCs w:val="24"/>
        </w:rPr>
      </w:pPr>
    </w:p>
    <w:p>
      <w:pPr>
        <w:shd w:val="clear" w:color="auto" w:fill="FFFFFF"/>
        <w:spacing w:beforeLines="0" w:afterLines="0" w:line="360" w:lineRule="auto"/>
        <w:jc w:val="center"/>
        <w:rPr>
          <w:rFonts w:hint="default" w:eastAsia="Times New Roman"/>
          <w:kern w:val="0"/>
          <w:sz w:val="32"/>
          <w:szCs w:val="24"/>
        </w:rPr>
      </w:pPr>
    </w:p>
    <w:p>
      <w:pPr>
        <w:shd w:val="clear" w:color="auto" w:fill="FFFFFF"/>
        <w:spacing w:beforeLines="0" w:afterLines="0" w:line="360" w:lineRule="auto"/>
        <w:jc w:val="center"/>
        <w:rPr>
          <w:rFonts w:hint="default" w:ascii="黑体" w:hAnsi="黑体" w:eastAsia="黑体"/>
          <w:kern w:val="0"/>
          <w:sz w:val="32"/>
          <w:szCs w:val="24"/>
          <w:lang w:val="ar-SA"/>
        </w:rPr>
      </w:pPr>
      <w:r>
        <w:rPr>
          <w:rFonts w:hint="default" w:eastAsia="Times New Roman"/>
          <w:kern w:val="0"/>
          <w:sz w:val="32"/>
          <w:szCs w:val="24"/>
        </w:rPr>
        <w:br w:type="page"/>
      </w:r>
      <w:r>
        <w:rPr>
          <w:rFonts w:hint="eastAsia" w:ascii="黑体" w:hAnsi="黑体" w:eastAsia="黑体"/>
          <w:kern w:val="0"/>
          <w:sz w:val="32"/>
          <w:szCs w:val="24"/>
        </w:rPr>
        <w:t>第一部分 单位概况</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一、主要职能</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1.为米东区城乡居民提供职业技能培训。</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2.以国家通用语言文字为重点，提高全民国家通用语言文字水平，为增进民族团结、促进文化认同和各民族交流、交往、交融奠定基础，为经济发展提供新动力，为文化建设提供强助力。</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3.以就业创业技能和实用技术为重点，提高各类劳动者职业技能水平和就业创业能力，努力实现有劳动能力的人全部就业。</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二、机构设置及人员情况</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乌鲁木齐市米东区技工学校2022年度，实有人数24人，其中：在职人员24人，离休人员</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人，退休人员</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w:t>
      </w:r>
    </w:p>
    <w:p>
      <w:pPr>
        <w:shd w:val="clear" w:color="auto" w:fill="FFFFFF"/>
        <w:spacing w:beforeLines="0" w:afterLines="0" w:line="360" w:lineRule="auto"/>
        <w:ind w:firstLine="640"/>
        <w:rPr>
          <w:rFonts w:hint="default" w:eastAsia="Times New Roman"/>
          <w:kern w:val="0"/>
          <w:sz w:val="24"/>
          <w:szCs w:val="24"/>
          <w:lang w:val="ar-SA"/>
        </w:rPr>
      </w:pPr>
      <w:r>
        <w:rPr>
          <w:rFonts w:hint="eastAsia" w:ascii="仿宋_GB2312" w:hAnsi="仿宋_GB2312" w:eastAsia="仿宋_GB2312"/>
          <w:kern w:val="0"/>
          <w:sz w:val="32"/>
          <w:szCs w:val="24"/>
        </w:rPr>
        <w:t>从部门决算单位构成看，乌鲁木齐市米东区技工学校部门决算包括：乌鲁木齐市米东区技工学校</w:t>
      </w:r>
      <w:r>
        <w:rPr>
          <w:rFonts w:hint="eastAsia" w:ascii="仿宋_GB2312" w:hAnsi="仿宋_GB2312" w:eastAsia="仿宋_GB2312"/>
          <w:kern w:val="0"/>
          <w:sz w:val="32"/>
          <w:szCs w:val="24"/>
          <w:lang w:val="zh-CN"/>
        </w:rPr>
        <w:t>决算。单位无下属预算单位，下设1个科室，分别是：</w:t>
      </w:r>
      <w:r>
        <w:rPr>
          <w:rFonts w:hint="eastAsia" w:ascii="仿宋_GB2312" w:hAnsi="仿宋_GB2312" w:eastAsia="仿宋_GB2312"/>
          <w:kern w:val="0"/>
          <w:sz w:val="32"/>
          <w:szCs w:val="24"/>
        </w:rPr>
        <w:t>办公室</w:t>
      </w:r>
      <w:r>
        <w:rPr>
          <w:rFonts w:hint="eastAsia" w:ascii="仿宋_GB2312" w:hAnsi="仿宋_GB2312" w:eastAsia="仿宋_GB2312"/>
          <w:kern w:val="0"/>
          <w:sz w:val="32"/>
          <w:szCs w:val="24"/>
          <w:lang w:val="zh-CN"/>
        </w:rPr>
        <w:t>。</w:t>
      </w:r>
    </w:p>
    <w:p>
      <w:pPr>
        <w:shd w:val="clear" w:color="auto" w:fill="FFFFFF"/>
        <w:spacing w:before="100" w:beforeLines="0" w:after="240" w:afterLines="0"/>
        <w:jc w:val="center"/>
        <w:rPr>
          <w:rFonts w:hint="default" w:eastAsia="Times New Roman"/>
          <w:kern w:val="0"/>
          <w:sz w:val="28"/>
          <w:szCs w:val="24"/>
          <w:lang w:val="ar-SA"/>
        </w:rPr>
      </w:pPr>
      <w:r>
        <w:rPr>
          <w:rFonts w:hint="eastAsia" w:ascii="黑体" w:hAnsi="黑体" w:eastAsia="黑体"/>
          <w:kern w:val="0"/>
          <w:sz w:val="32"/>
          <w:szCs w:val="24"/>
        </w:rPr>
        <w:t>第二部分 部门决算情况说明</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一、收入支出决算总体情况说明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2022年度收入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509.57万元，</w:t>
      </w:r>
      <w:r>
        <w:rPr>
          <w:rFonts w:hint="eastAsia" w:ascii="仿宋_GB2312" w:hAnsi="仿宋_GB2312" w:eastAsia="仿宋_GB2312"/>
          <w:sz w:val="32"/>
          <w:szCs w:val="24"/>
        </w:rPr>
        <w:t>其中：本年收入合计</w:t>
      </w:r>
      <w:r>
        <w:rPr>
          <w:rFonts w:hint="eastAsia" w:ascii="仿宋_GB2312" w:hAnsi="仿宋_GB2312" w:eastAsia="仿宋_GB2312"/>
          <w:kern w:val="0"/>
          <w:sz w:val="32"/>
          <w:szCs w:val="24"/>
        </w:rPr>
        <w:t>509.57</w:t>
      </w:r>
      <w:r>
        <w:rPr>
          <w:rFonts w:hint="eastAsia" w:ascii="仿宋_GB2312" w:hAnsi="仿宋_GB2312" w:eastAsia="仿宋_GB2312"/>
          <w:sz w:val="32"/>
          <w:szCs w:val="24"/>
        </w:rPr>
        <w:t>万元，使用非财政拨款结余</w:t>
      </w:r>
      <w:r>
        <w:rPr>
          <w:rFonts w:hint="default" w:ascii="仿宋_GB2312" w:hAnsi="仿宋_GB2312" w:eastAsia="仿宋_GB2312"/>
          <w:kern w:val="0"/>
          <w:sz w:val="32"/>
          <w:szCs w:val="24"/>
        </w:rPr>
        <w:t>0.00</w:t>
      </w:r>
      <w:r>
        <w:rPr>
          <w:rFonts w:hint="eastAsia" w:ascii="仿宋_GB2312" w:hAnsi="仿宋_GB2312" w:eastAsia="仿宋_GB2312"/>
          <w:sz w:val="32"/>
          <w:szCs w:val="24"/>
        </w:rPr>
        <w:t>万元，年初结转和结余</w:t>
      </w:r>
      <w:r>
        <w:rPr>
          <w:rFonts w:hint="default" w:ascii="仿宋_GB2312" w:hAnsi="仿宋_GB2312" w:eastAsia="仿宋_GB2312"/>
          <w:kern w:val="0"/>
          <w:sz w:val="32"/>
          <w:szCs w:val="24"/>
        </w:rPr>
        <w:t>0.00</w:t>
      </w:r>
      <w:r>
        <w:rPr>
          <w:rFonts w:hint="eastAsia" w:ascii="仿宋_GB2312" w:hAnsi="仿宋_GB2312" w:eastAsia="仿宋_GB2312"/>
          <w:sz w:val="32"/>
          <w:szCs w:val="24"/>
        </w:rPr>
        <w:t>万元。收入总计</w:t>
      </w:r>
      <w:r>
        <w:rPr>
          <w:rFonts w:hint="eastAsia" w:ascii="仿宋_GB2312" w:hAnsi="仿宋_GB2312" w:eastAsia="仿宋_GB2312"/>
          <w:kern w:val="0"/>
          <w:sz w:val="32"/>
          <w:szCs w:val="24"/>
        </w:rPr>
        <w:t>与上年相比，增加509.57万元，增长100.00%，主要原因是：本单位为2022年新增单位，故收入较上年有所增长。</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sz w:val="32"/>
          <w:szCs w:val="24"/>
        </w:rPr>
        <w:t>本年支出总计</w:t>
      </w:r>
      <w:r>
        <w:rPr>
          <w:rFonts w:hint="eastAsia" w:ascii="仿宋_GB2312" w:hAnsi="仿宋_GB2312" w:eastAsia="仿宋_GB2312"/>
          <w:kern w:val="0"/>
          <w:sz w:val="32"/>
          <w:szCs w:val="24"/>
        </w:rPr>
        <w:t>509.57万元，</w:t>
      </w:r>
      <w:r>
        <w:rPr>
          <w:rFonts w:hint="eastAsia" w:ascii="仿宋_GB2312" w:hAnsi="仿宋_GB2312" w:eastAsia="仿宋_GB2312"/>
          <w:sz w:val="32"/>
          <w:szCs w:val="24"/>
        </w:rPr>
        <w:t>其中：本年支出合计</w:t>
      </w:r>
      <w:r>
        <w:rPr>
          <w:rFonts w:hint="eastAsia" w:ascii="仿宋_GB2312" w:hAnsi="仿宋_GB2312" w:eastAsia="仿宋_GB2312"/>
          <w:kern w:val="0"/>
          <w:sz w:val="32"/>
          <w:szCs w:val="24"/>
        </w:rPr>
        <w:t>416.52</w:t>
      </w:r>
      <w:r>
        <w:rPr>
          <w:rFonts w:hint="eastAsia" w:ascii="仿宋_GB2312" w:hAnsi="仿宋_GB2312" w:eastAsia="仿宋_GB2312"/>
          <w:sz w:val="32"/>
          <w:szCs w:val="24"/>
        </w:rPr>
        <w:t>万元，结余分配</w:t>
      </w:r>
      <w:r>
        <w:rPr>
          <w:rFonts w:hint="default" w:ascii="仿宋_GB2312" w:hAnsi="仿宋_GB2312" w:eastAsia="仿宋_GB2312"/>
          <w:kern w:val="0"/>
          <w:sz w:val="32"/>
          <w:szCs w:val="24"/>
        </w:rPr>
        <w:t>0.00</w:t>
      </w:r>
      <w:r>
        <w:rPr>
          <w:rFonts w:hint="eastAsia" w:ascii="仿宋_GB2312" w:hAnsi="仿宋_GB2312" w:eastAsia="仿宋_GB2312"/>
          <w:sz w:val="32"/>
          <w:szCs w:val="24"/>
        </w:rPr>
        <w:t>万元，年末结转和结余</w:t>
      </w:r>
      <w:r>
        <w:rPr>
          <w:rFonts w:hint="eastAsia" w:ascii="仿宋_GB2312" w:hAnsi="仿宋_GB2312" w:eastAsia="仿宋_GB2312"/>
          <w:kern w:val="0"/>
          <w:sz w:val="32"/>
          <w:szCs w:val="24"/>
        </w:rPr>
        <w:t>93.05</w:t>
      </w:r>
      <w:r>
        <w:rPr>
          <w:rFonts w:hint="eastAsia" w:ascii="仿宋_GB2312" w:hAnsi="仿宋_GB2312" w:eastAsia="仿宋_GB2312"/>
          <w:sz w:val="32"/>
          <w:szCs w:val="24"/>
        </w:rPr>
        <w:t>万元。支出总计</w:t>
      </w:r>
      <w:r>
        <w:rPr>
          <w:rFonts w:hint="eastAsia" w:ascii="仿宋_GB2312" w:hAnsi="仿宋_GB2312" w:eastAsia="仿宋_GB2312"/>
          <w:kern w:val="0"/>
          <w:sz w:val="32"/>
          <w:szCs w:val="24"/>
        </w:rPr>
        <w:t>与上年相比，增加509.57万元，增长100.00%，主要原因是：本单位为2022年新增单位，故支出较上年有所增长。</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二、收入决算情况说明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2022年度本年收入509.57万元，其中：财政拨款收入307.63万元，占60.37%；上级补助收入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万元，占0.00%；事业收入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万元，占0.00%；经营收入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万元，占0.00%；附属单位上缴收入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万元，占0.00%；其他收入201.94万元，占39.63%。</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三、支出决算情况说明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2022年度本年支出416.52万元，其中：基本支出291.37万元，占69.95%；项目支出125.15万元，占30.05%；上缴上级支出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万元，占0.00%；经营支出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万元，占0.00%；对附属单位补助支出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四、财政拨款收入支出决算总体情况说明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2022年度财政拨款收入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307.63万元，</w:t>
      </w:r>
      <w:r>
        <w:rPr>
          <w:rFonts w:hint="eastAsia" w:ascii="仿宋_GB2312" w:hAnsi="仿宋_GB2312" w:eastAsia="仿宋_GB2312"/>
          <w:sz w:val="32"/>
          <w:szCs w:val="24"/>
        </w:rPr>
        <w:t>其中：年初财政拨款结转和结余</w:t>
      </w:r>
      <w:r>
        <w:rPr>
          <w:rFonts w:hint="default" w:ascii="仿宋_GB2312" w:hAnsi="仿宋_GB2312" w:eastAsia="仿宋_GB2312"/>
          <w:kern w:val="0"/>
          <w:sz w:val="32"/>
          <w:szCs w:val="24"/>
        </w:rPr>
        <w:t>0.00</w:t>
      </w:r>
      <w:r>
        <w:rPr>
          <w:rFonts w:hint="eastAsia" w:ascii="仿宋_GB2312" w:hAnsi="仿宋_GB2312" w:eastAsia="仿宋_GB2312"/>
          <w:sz w:val="32"/>
          <w:szCs w:val="24"/>
        </w:rPr>
        <w:t>万元，财政拨款本年收入</w:t>
      </w:r>
      <w:r>
        <w:rPr>
          <w:rFonts w:hint="eastAsia" w:ascii="仿宋_GB2312" w:hAnsi="仿宋_GB2312" w:eastAsia="仿宋_GB2312"/>
          <w:kern w:val="0"/>
          <w:sz w:val="32"/>
          <w:szCs w:val="24"/>
        </w:rPr>
        <w:t>307.63</w:t>
      </w:r>
      <w:r>
        <w:rPr>
          <w:rFonts w:hint="eastAsia" w:ascii="仿宋_GB2312" w:hAnsi="仿宋_GB2312" w:eastAsia="仿宋_GB2312"/>
          <w:sz w:val="32"/>
          <w:szCs w:val="24"/>
        </w:rPr>
        <w:t>万元。财政拨款收入总计</w:t>
      </w:r>
      <w:r>
        <w:rPr>
          <w:rFonts w:hint="eastAsia" w:ascii="仿宋_GB2312" w:hAnsi="仿宋_GB2312" w:eastAsia="仿宋_GB2312"/>
          <w:kern w:val="0"/>
          <w:sz w:val="32"/>
          <w:szCs w:val="24"/>
        </w:rPr>
        <w:t>与上年相比，增加307.63万元，增长100.00%，主要原因是：本单位为2022年新增单位，故财政拨款收入较上年有所增长。</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财政拨款支出</w:t>
      </w:r>
      <w:r>
        <w:rPr>
          <w:rFonts w:hint="eastAsia" w:ascii="仿宋_GB2312" w:hAnsi="仿宋_GB2312" w:eastAsia="仿宋_GB2312"/>
          <w:sz w:val="32"/>
          <w:szCs w:val="24"/>
        </w:rPr>
        <w:t>总计</w:t>
      </w:r>
      <w:r>
        <w:rPr>
          <w:rFonts w:hint="eastAsia" w:ascii="仿宋_GB2312" w:hAnsi="仿宋_GB2312" w:eastAsia="仿宋_GB2312"/>
          <w:kern w:val="0"/>
          <w:sz w:val="32"/>
          <w:szCs w:val="24"/>
        </w:rPr>
        <w:t>307.63万元，</w:t>
      </w:r>
      <w:r>
        <w:rPr>
          <w:rFonts w:hint="eastAsia" w:ascii="仿宋_GB2312" w:hAnsi="仿宋_GB2312" w:eastAsia="仿宋_GB2312"/>
          <w:sz w:val="32"/>
          <w:szCs w:val="24"/>
        </w:rPr>
        <w:t>其中：年末财政拨款结转和结余</w:t>
      </w:r>
      <w:r>
        <w:rPr>
          <w:rFonts w:hint="eastAsia" w:ascii="仿宋_GB2312" w:hAnsi="仿宋_GB2312" w:eastAsia="仿宋_GB2312"/>
          <w:kern w:val="0"/>
          <w:sz w:val="32"/>
          <w:szCs w:val="24"/>
        </w:rPr>
        <w:t>16.26</w:t>
      </w:r>
      <w:r>
        <w:rPr>
          <w:rFonts w:hint="eastAsia" w:ascii="仿宋_GB2312" w:hAnsi="仿宋_GB2312" w:eastAsia="仿宋_GB2312"/>
          <w:sz w:val="32"/>
          <w:szCs w:val="24"/>
        </w:rPr>
        <w:t>万元，财政拨款本年支出</w:t>
      </w:r>
      <w:r>
        <w:rPr>
          <w:rFonts w:hint="eastAsia" w:ascii="仿宋_GB2312" w:hAnsi="仿宋_GB2312" w:eastAsia="仿宋_GB2312"/>
          <w:kern w:val="0"/>
          <w:sz w:val="32"/>
          <w:szCs w:val="24"/>
        </w:rPr>
        <w:t>291.37</w:t>
      </w:r>
      <w:r>
        <w:rPr>
          <w:rFonts w:hint="eastAsia" w:ascii="仿宋_GB2312" w:hAnsi="仿宋_GB2312" w:eastAsia="仿宋_GB2312"/>
          <w:sz w:val="32"/>
          <w:szCs w:val="24"/>
        </w:rPr>
        <w:t>万元。财政拨款支出总计</w:t>
      </w:r>
      <w:r>
        <w:rPr>
          <w:rFonts w:hint="eastAsia" w:ascii="仿宋_GB2312" w:hAnsi="仿宋_GB2312" w:eastAsia="仿宋_GB2312"/>
          <w:kern w:val="0"/>
          <w:sz w:val="32"/>
          <w:szCs w:val="24"/>
        </w:rPr>
        <w:t>与上年相比，增加307.63万元，增长100.00%，主要原因是：本单位为2022年新增单位，故财政拨款支出较上年有所增长。</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与年初预算数相比情况：财政拨款收入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年初预算数407.47万元，决算数307.63万元，预决算差异率-24.50%，主要原因是：本年严控经费，预算调减，导致预决算产生差异。财政拨款支出</w:t>
      </w:r>
      <w:r>
        <w:rPr>
          <w:rFonts w:hint="eastAsia" w:ascii="仿宋_GB2312" w:hAnsi="仿宋_GB2312" w:eastAsia="仿宋_GB2312"/>
          <w:sz w:val="32"/>
          <w:szCs w:val="24"/>
        </w:rPr>
        <w:t>总计</w:t>
      </w:r>
      <w:r>
        <w:rPr>
          <w:rFonts w:hint="eastAsia" w:ascii="仿宋_GB2312" w:hAnsi="仿宋_GB2312" w:eastAsia="仿宋_GB2312"/>
          <w:kern w:val="0"/>
          <w:sz w:val="32"/>
          <w:szCs w:val="24"/>
        </w:rPr>
        <w:t>年初预算数407.47万元，决算数307.63万元，预决算差异率-24.50%，主要原因是：本年严控经费支出，预算调减，导致预决算产生差异。</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五、一般公共预算财政拨款支出决算情况说明</w:t>
      </w:r>
    </w:p>
    <w:p>
      <w:pPr>
        <w:spacing w:beforeLines="0" w:afterLines="0"/>
        <w:ind w:firstLine="640"/>
        <w:rPr>
          <w:rFonts w:hint="default" w:eastAsia="Times New Roman"/>
          <w:sz w:val="32"/>
          <w:szCs w:val="24"/>
        </w:rPr>
      </w:pPr>
      <w:r>
        <w:rPr>
          <w:rFonts w:hint="eastAsia" w:ascii="黑体" w:hAnsi="黑体" w:eastAsia="黑体"/>
          <w:sz w:val="32"/>
          <w:szCs w:val="24"/>
        </w:rPr>
        <w:t>（一）一般公共预算财政拨款支出决算总体情况</w:t>
      </w:r>
    </w:p>
    <w:p>
      <w:pPr>
        <w:spacing w:beforeLines="0" w:afterLines="0" w:line="600" w:lineRule="exact"/>
        <w:ind w:firstLine="640"/>
        <w:rPr>
          <w:rFonts w:hint="default" w:ascii="仿宋_GB2312" w:hAnsi="仿宋_GB2312" w:eastAsia="仿宋_GB2312"/>
          <w:kern w:val="0"/>
          <w:sz w:val="32"/>
          <w:szCs w:val="24"/>
        </w:rPr>
      </w:pPr>
      <w:r>
        <w:rPr>
          <w:rFonts w:hint="eastAsia" w:ascii="仿宋_GB2312" w:hAnsi="仿宋_GB2312" w:eastAsia="仿宋_GB2312"/>
          <w:sz w:val="32"/>
          <w:szCs w:val="24"/>
        </w:rPr>
        <w:t>2022年度一般公共预算财政拨款支出</w:t>
      </w:r>
      <w:r>
        <w:rPr>
          <w:rFonts w:hint="eastAsia" w:ascii="仿宋_GB2312" w:hAnsi="仿宋_GB2312" w:eastAsia="仿宋_GB2312"/>
          <w:kern w:val="0"/>
          <w:sz w:val="32"/>
          <w:szCs w:val="24"/>
        </w:rPr>
        <w:t>291.37</w:t>
      </w:r>
      <w:r>
        <w:rPr>
          <w:rFonts w:hint="eastAsia" w:ascii="仿宋_GB2312" w:hAnsi="仿宋_GB2312" w:eastAsia="仿宋_GB2312"/>
          <w:sz w:val="32"/>
          <w:szCs w:val="24"/>
        </w:rPr>
        <w:t>万元，占本年支出合计的</w:t>
      </w:r>
      <w:r>
        <w:rPr>
          <w:rFonts w:hint="eastAsia" w:ascii="仿宋_GB2312" w:hAnsi="仿宋_GB2312" w:eastAsia="仿宋_GB2312"/>
          <w:kern w:val="0"/>
          <w:sz w:val="32"/>
          <w:szCs w:val="24"/>
        </w:rPr>
        <w:t>100.00%</w:t>
      </w:r>
      <w:r>
        <w:rPr>
          <w:rFonts w:hint="eastAsia" w:ascii="仿宋_GB2312" w:hAnsi="仿宋_GB2312" w:eastAsia="仿宋_GB2312"/>
          <w:sz w:val="32"/>
          <w:szCs w:val="24"/>
        </w:rPr>
        <w:t>，与上年相比，</w:t>
      </w:r>
      <w:r>
        <w:rPr>
          <w:rFonts w:hint="eastAsia" w:ascii="仿宋_GB2312" w:hAnsi="仿宋_GB2312" w:eastAsia="仿宋_GB2312"/>
          <w:kern w:val="0"/>
          <w:sz w:val="32"/>
          <w:szCs w:val="24"/>
        </w:rPr>
        <w:t>增加291.37万元，增长100.00%，主要原因是：本单位为2022年新增单位，故</w:t>
      </w:r>
      <w:r>
        <w:rPr>
          <w:rFonts w:hint="eastAsia" w:ascii="仿宋_GB2312" w:hAnsi="仿宋_GB2312" w:eastAsia="仿宋_GB2312"/>
          <w:sz w:val="32"/>
          <w:szCs w:val="24"/>
        </w:rPr>
        <w:t>一般公共预算财政拨款支出</w:t>
      </w:r>
      <w:r>
        <w:rPr>
          <w:rFonts w:hint="eastAsia" w:ascii="仿宋_GB2312" w:hAnsi="仿宋_GB2312" w:eastAsia="仿宋_GB2312"/>
          <w:kern w:val="0"/>
          <w:sz w:val="32"/>
          <w:szCs w:val="24"/>
        </w:rPr>
        <w:t>较上年有所增长。</w:t>
      </w:r>
    </w:p>
    <w:p>
      <w:pPr>
        <w:spacing w:beforeLines="0" w:afterLines="0"/>
        <w:ind w:firstLine="640"/>
        <w:rPr>
          <w:rFonts w:hint="default" w:eastAsia="Times New Roman"/>
          <w:sz w:val="32"/>
          <w:szCs w:val="24"/>
        </w:rPr>
      </w:pPr>
      <w:r>
        <w:rPr>
          <w:rFonts w:hint="eastAsia" w:ascii="黑体" w:hAnsi="黑体" w:eastAsia="黑体"/>
          <w:sz w:val="32"/>
          <w:szCs w:val="24"/>
        </w:rPr>
        <w:t>（二）一般公共预算财政拨款支出决算结构情况</w:t>
      </w:r>
    </w:p>
    <w:p>
      <w:pPr>
        <w:spacing w:beforeLines="0" w:afterLines="0" w:line="600" w:lineRule="exact"/>
        <w:ind w:firstLine="640"/>
        <w:rPr>
          <w:rFonts w:hint="default" w:eastAsia="仿宋_GB2312"/>
          <w:kern w:val="0"/>
          <w:sz w:val="32"/>
          <w:szCs w:val="24"/>
        </w:rPr>
      </w:pPr>
      <w:r>
        <w:rPr>
          <w:rFonts w:hint="eastAsia" w:ascii="仿宋_GB2312" w:hAnsi="仿宋_GB2312" w:eastAsia="仿宋_GB2312"/>
          <w:sz w:val="32"/>
          <w:szCs w:val="24"/>
        </w:rPr>
        <w:t>1.社会保障和就业支出（类）291.37万元，占100.00%。</w:t>
      </w:r>
    </w:p>
    <w:p>
      <w:pPr>
        <w:spacing w:beforeLines="0" w:afterLines="0"/>
        <w:ind w:firstLine="640"/>
        <w:rPr>
          <w:rFonts w:hint="default" w:eastAsia="Times New Roman"/>
          <w:sz w:val="32"/>
          <w:szCs w:val="24"/>
        </w:rPr>
      </w:pPr>
      <w:r>
        <w:rPr>
          <w:rFonts w:hint="eastAsia" w:ascii="黑体" w:hAnsi="黑体" w:eastAsia="黑体"/>
          <w:sz w:val="32"/>
          <w:szCs w:val="24"/>
        </w:rPr>
        <w:t>（三）一般公共预算财政拨款支出决算具体情况</w:t>
      </w:r>
    </w:p>
    <w:p>
      <w:pPr>
        <w:spacing w:beforeLines="0" w:afterLines="0" w:line="600" w:lineRule="exact"/>
        <w:ind w:firstLine="640"/>
        <w:rPr>
          <w:rFonts w:hint="eastAsia" w:eastAsia="仿宋_GB2312"/>
          <w:kern w:val="0"/>
          <w:sz w:val="32"/>
          <w:szCs w:val="24"/>
          <w:lang w:eastAsia="zh-CN"/>
        </w:rPr>
      </w:pPr>
      <w:r>
        <w:rPr>
          <w:rFonts w:hint="eastAsia" w:ascii="仿宋_GB2312" w:hAnsi="仿宋_GB2312" w:eastAsia="仿宋_GB2312"/>
          <w:kern w:val="0"/>
          <w:sz w:val="32"/>
          <w:szCs w:val="24"/>
        </w:rPr>
        <w:t>1.社会保障和就业支出（类）人力资源和社会保障管理事务（款）事业运行（项）:支出决算数为258.91万元，比上年决算增加258.91万元，增长100.00%，主要原因是：本单位为2022年新增单位，故</w:t>
      </w:r>
      <w:r>
        <w:rPr>
          <w:rFonts w:hint="eastAsia" w:ascii="仿宋_GB2312" w:hAnsi="仿宋_GB2312" w:eastAsia="仿宋_GB2312"/>
          <w:sz w:val="32"/>
          <w:szCs w:val="24"/>
        </w:rPr>
        <w:t>支出</w:t>
      </w:r>
      <w:r>
        <w:rPr>
          <w:rFonts w:hint="eastAsia" w:ascii="仿宋_GB2312" w:hAnsi="仿宋_GB2312" w:eastAsia="仿宋_GB2312"/>
          <w:kern w:val="0"/>
          <w:sz w:val="32"/>
          <w:szCs w:val="24"/>
        </w:rPr>
        <w:t>增长</w:t>
      </w:r>
      <w:r>
        <w:rPr>
          <w:rFonts w:hint="eastAsia" w:ascii="仿宋_GB2312" w:hAnsi="仿宋_GB2312" w:eastAsia="仿宋_GB2312"/>
          <w:kern w:val="0"/>
          <w:sz w:val="32"/>
          <w:szCs w:val="24"/>
          <w:lang w:eastAsia="zh-CN"/>
        </w:rPr>
        <w:t>；</w:t>
      </w:r>
    </w:p>
    <w:p>
      <w:pPr>
        <w:spacing w:beforeLines="0" w:afterLines="0" w:line="600" w:lineRule="exact"/>
        <w:ind w:firstLine="640"/>
        <w:rPr>
          <w:rFonts w:hint="default" w:eastAsia="Times New Roman"/>
          <w:sz w:val="32"/>
          <w:szCs w:val="24"/>
        </w:rPr>
      </w:pPr>
      <w:r>
        <w:rPr>
          <w:rFonts w:hint="eastAsia" w:ascii="仿宋_GB2312" w:hAnsi="仿宋_GB2312" w:eastAsia="仿宋_GB2312"/>
          <w:kern w:val="0"/>
          <w:sz w:val="32"/>
          <w:szCs w:val="24"/>
        </w:rPr>
        <w:t>2.社会保障和就业支出（类）行政事业单位养老支出（款）机关事业单位基本养老保险缴费支出（项）:支出决算数为32.46万元，比上年决算增加32.46万元，增长100.00%，主要原因是：本单位为2022年新增单位，故</w:t>
      </w:r>
      <w:r>
        <w:rPr>
          <w:rFonts w:hint="eastAsia" w:ascii="仿宋_GB2312" w:hAnsi="仿宋_GB2312" w:eastAsia="仿宋_GB2312"/>
          <w:sz w:val="32"/>
          <w:szCs w:val="24"/>
        </w:rPr>
        <w:t>支出</w:t>
      </w:r>
      <w:r>
        <w:rPr>
          <w:rFonts w:hint="eastAsia" w:ascii="仿宋_GB2312" w:hAnsi="仿宋_GB2312" w:eastAsia="仿宋_GB2312"/>
          <w:kern w:val="0"/>
          <w:sz w:val="32"/>
          <w:szCs w:val="24"/>
        </w:rPr>
        <w:t>增长。</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六、一般公共预算财政拨款基本支出决算情况说明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2022年度一般公共预算财政拨款基本支出291.37万元，其中：</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人员经费267.60万元，包括：基本工资、津贴补贴、机关事业单位基本养老保险缴费、职工基本医疗保险缴费、公务员医疗补助缴费、其他社会保障缴费、住房公积金。</w:t>
      </w:r>
    </w:p>
    <w:p>
      <w:pPr>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公用经费23.77万元，包括：办公费、电费、邮电费、差旅费、劳务费、工会经费、公务用车运行维护费。</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七、财政拨款</w:t>
      </w:r>
      <w:r>
        <w:rPr>
          <w:rFonts w:hint="eastAsia" w:ascii="黑体" w:hAnsi="黑体" w:eastAsia="黑体"/>
          <w:kern w:val="0"/>
          <w:sz w:val="32"/>
          <w:szCs w:val="24"/>
        </w:rPr>
        <w:t>“三公”</w:t>
      </w:r>
      <w:r>
        <w:rPr>
          <w:rFonts w:hint="eastAsia" w:ascii="黑体" w:hAnsi="黑体" w:eastAsia="黑体"/>
          <w:sz w:val="32"/>
          <w:szCs w:val="24"/>
          <w:lang w:val="zh-CN"/>
        </w:rPr>
        <w:t>经费支出决算情况说明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w:t>
      </w:r>
      <w:r>
        <w:rPr>
          <w:rFonts w:hint="eastAsia" w:ascii="仿宋_GB2312" w:hAnsi="仿宋_GB2312" w:eastAsia="仿宋_GB2312"/>
          <w:sz w:val="32"/>
          <w:szCs w:val="24"/>
        </w:rPr>
        <w:t>财政拨款</w:t>
      </w:r>
      <w:r>
        <w:rPr>
          <w:rFonts w:hint="eastAsia" w:ascii="仿宋_GB2312" w:hAnsi="仿宋_GB2312" w:eastAsia="仿宋_GB2312"/>
          <w:kern w:val="0"/>
          <w:sz w:val="32"/>
          <w:szCs w:val="24"/>
        </w:rPr>
        <w:t>“三公”经费支出决算0.72万元，比上年增加0.72万元，增长100.00%，主要原因是：本单位为2022年新增单位，故</w:t>
      </w:r>
      <w:r>
        <w:rPr>
          <w:rFonts w:hint="eastAsia" w:ascii="仿宋_GB2312" w:hAnsi="仿宋_GB2312" w:eastAsia="仿宋_GB2312"/>
          <w:sz w:val="32"/>
          <w:szCs w:val="24"/>
        </w:rPr>
        <w:t>支出</w:t>
      </w:r>
      <w:r>
        <w:rPr>
          <w:rFonts w:hint="eastAsia" w:ascii="仿宋_GB2312" w:hAnsi="仿宋_GB2312" w:eastAsia="仿宋_GB2312"/>
          <w:kern w:val="0"/>
          <w:sz w:val="32"/>
          <w:szCs w:val="24"/>
        </w:rPr>
        <w:t>增长。其中：因公出国（境）费支出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万元，增长0.00%，主要原因是：本年单位无因公出国（境）费支出；公务用车购置及运行维护费支出0.72万元，占100.00%，比上年增加0.72万元，增长100.00%，主要原因是：本单位为2022年新增单位，故</w:t>
      </w:r>
      <w:r>
        <w:rPr>
          <w:rFonts w:hint="eastAsia" w:ascii="仿宋_GB2312" w:hAnsi="仿宋_GB2312" w:eastAsia="仿宋_GB2312"/>
          <w:sz w:val="32"/>
          <w:szCs w:val="24"/>
        </w:rPr>
        <w:t>支出</w:t>
      </w:r>
      <w:r>
        <w:rPr>
          <w:rFonts w:hint="eastAsia" w:ascii="仿宋_GB2312" w:hAnsi="仿宋_GB2312" w:eastAsia="仿宋_GB2312"/>
          <w:kern w:val="0"/>
          <w:sz w:val="32"/>
          <w:szCs w:val="24"/>
        </w:rPr>
        <w:t>增长；公务接待费支出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w:t>
      </w:r>
      <w:bookmarkStart w:id="0" w:name="_Hlk143770125"/>
      <w:r>
        <w:rPr>
          <w:rFonts w:hint="eastAsia" w:ascii="仿宋_GB2312" w:eastAsia="仿宋_GB2312" w:cs="仿宋_GB2312"/>
          <w:kern w:val="0"/>
          <w:sz w:val="32"/>
          <w:szCs w:val="32"/>
        </w:rPr>
        <w:t>本年单位无此项支出</w:t>
      </w:r>
      <w:bookmarkEnd w:id="0"/>
      <w:r>
        <w:rPr>
          <w:rFonts w:hint="eastAsia" w:ascii="仿宋_GB2312" w:hAnsi="仿宋_GB2312" w:eastAsia="仿宋_GB2312"/>
          <w:kern w:val="0"/>
          <w:sz w:val="32"/>
          <w:szCs w:val="24"/>
        </w:rPr>
        <w:t>。具体情况如下：</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因公出国（境）费支出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万元，开支内容包括本年单位无因公出国（境）费支出。单位全年安排的因公出国（境）团组</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个，因公出国（境）</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人次。</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公务用车购置及运行维护费0.72万元，其中：公务用车购置费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万元，公务用车运行维护费0.72万元。</w:t>
      </w:r>
      <w:bookmarkStart w:id="1" w:name="_Hlk143782590"/>
      <w:r>
        <w:rPr>
          <w:rFonts w:hint="eastAsia" w:ascii="仿宋_GB2312" w:eastAsia="仿宋_GB2312" w:cs="仿宋_GB2312"/>
          <w:kern w:val="0"/>
          <w:sz w:val="32"/>
          <w:szCs w:val="32"/>
        </w:rPr>
        <w:t>公务用车运行维护费开支内容包括公务用车燃油费、车辆维修维护费、保险费、过路费</w:t>
      </w:r>
      <w:bookmarkEnd w:id="1"/>
      <w:r>
        <w:rPr>
          <w:rFonts w:hint="eastAsia" w:ascii="仿宋_GB2312" w:hAnsi="仿宋_GB2312" w:eastAsia="仿宋_GB2312"/>
          <w:kern w:val="0"/>
          <w:sz w:val="32"/>
          <w:szCs w:val="24"/>
        </w:rPr>
        <w:t>等。公务用车购置数</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辆，公务用车保有量1辆。</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公务接待费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万元，开支内容包括</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szCs w:val="24"/>
        </w:rPr>
        <w:t>。单位全年安排的国内公务接待</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批次，</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人次。</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与</w:t>
      </w:r>
      <w:r>
        <w:rPr>
          <w:rFonts w:hint="eastAsia" w:ascii="仿宋_GB2312" w:hAnsi="仿宋_GB2312" w:eastAsia="仿宋_GB2312"/>
          <w:sz w:val="32"/>
          <w:szCs w:val="24"/>
        </w:rPr>
        <w:t>全年</w:t>
      </w:r>
      <w:r>
        <w:rPr>
          <w:rFonts w:hint="eastAsia" w:ascii="仿宋_GB2312" w:hAnsi="仿宋_GB2312" w:eastAsia="仿宋_GB2312"/>
          <w:kern w:val="0"/>
          <w:sz w:val="32"/>
          <w:szCs w:val="24"/>
        </w:rPr>
        <w:t>预算</w:t>
      </w:r>
      <w:r>
        <w:rPr>
          <w:rFonts w:hint="eastAsia" w:ascii="仿宋_GB2312" w:hAnsi="仿宋_GB2312" w:eastAsia="仿宋_GB2312"/>
          <w:kern w:val="0"/>
          <w:sz w:val="32"/>
          <w:szCs w:val="24"/>
          <w:lang w:val="zh-CN"/>
        </w:rPr>
        <w:t>数</w:t>
      </w:r>
      <w:r>
        <w:rPr>
          <w:rFonts w:hint="eastAsia" w:ascii="仿宋_GB2312" w:hAnsi="仿宋_GB2312" w:eastAsia="仿宋_GB2312"/>
          <w:kern w:val="0"/>
          <w:sz w:val="32"/>
          <w:szCs w:val="24"/>
        </w:rPr>
        <w:t>相比情况</w:t>
      </w:r>
      <w:r>
        <w:rPr>
          <w:rFonts w:hint="eastAsia" w:ascii="仿宋_GB2312" w:hAnsi="仿宋_GB2312" w:eastAsia="仿宋_GB2312"/>
          <w:sz w:val="32"/>
          <w:szCs w:val="24"/>
        </w:rPr>
        <w:t>：</w:t>
      </w:r>
      <w:r>
        <w:rPr>
          <w:rFonts w:hint="default" w:eastAsia="Times New Roman"/>
          <w:kern w:val="0"/>
          <w:sz w:val="32"/>
          <w:szCs w:val="24"/>
        </w:rPr>
        <w:t>“</w:t>
      </w:r>
      <w:r>
        <w:rPr>
          <w:rFonts w:hint="eastAsia" w:ascii="仿宋_GB2312" w:hAnsi="仿宋_GB2312" w:eastAsia="仿宋_GB2312"/>
          <w:kern w:val="0"/>
          <w:sz w:val="32"/>
          <w:szCs w:val="24"/>
        </w:rPr>
        <w:t>三公</w:t>
      </w:r>
      <w:r>
        <w:rPr>
          <w:rFonts w:hint="default" w:eastAsia="Times New Roman"/>
          <w:kern w:val="0"/>
          <w:sz w:val="32"/>
          <w:szCs w:val="24"/>
        </w:rPr>
        <w:t>”</w:t>
      </w:r>
      <w:r>
        <w:rPr>
          <w:rFonts w:hint="eastAsia" w:ascii="仿宋_GB2312" w:hAnsi="仿宋_GB2312" w:eastAsia="仿宋_GB2312"/>
          <w:kern w:val="0"/>
          <w:sz w:val="32"/>
          <w:szCs w:val="24"/>
        </w:rPr>
        <w:t>经费支出</w:t>
      </w:r>
      <w:r>
        <w:rPr>
          <w:rFonts w:hint="eastAsia" w:ascii="仿宋_GB2312" w:hAnsi="仿宋_GB2312" w:eastAsia="仿宋_GB2312"/>
          <w:sz w:val="32"/>
          <w:szCs w:val="24"/>
        </w:rPr>
        <w:t>全年预算数</w:t>
      </w:r>
      <w:r>
        <w:rPr>
          <w:rFonts w:hint="eastAsia" w:ascii="仿宋_GB2312" w:hAnsi="仿宋_GB2312" w:eastAsia="仿宋_GB2312"/>
          <w:kern w:val="0"/>
          <w:sz w:val="32"/>
          <w:szCs w:val="24"/>
        </w:rPr>
        <w:t>0.72万元，决算数0.72万元，预决算差异率0.00%，主要原因是：</w:t>
      </w:r>
      <w:bookmarkStart w:id="2" w:name="_Hlk110848692"/>
      <w:r>
        <w:rPr>
          <w:rFonts w:hint="eastAsia" w:ascii="仿宋_GB2312" w:eastAsia="仿宋_GB2312" w:cs="仿宋_GB2312"/>
          <w:kern w:val="0"/>
          <w:sz w:val="32"/>
          <w:szCs w:val="32"/>
        </w:rPr>
        <w:t>单位严格执行“三公”经费支出标准，未超预算</w:t>
      </w:r>
      <w:bookmarkEnd w:id="2"/>
      <w:r>
        <w:rPr>
          <w:rFonts w:hint="eastAsia" w:ascii="仿宋_GB2312" w:hAnsi="仿宋_GB2312" w:eastAsia="仿宋_GB2312"/>
          <w:kern w:val="0"/>
          <w:sz w:val="32"/>
          <w:szCs w:val="24"/>
        </w:rPr>
        <w:t>。其中：因公出国（境）费全年预算数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万元，预决算差异率0.00%，主要原因是：本年单位无因公出国（境）费支出；公务用车购置费全年预算数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szCs w:val="24"/>
        </w:rPr>
        <w:t>；公务用车运行费全年预算数0.72万元，决算数0.72万元，预决算差异率0.00%，主要原因是：</w:t>
      </w:r>
      <w:r>
        <w:rPr>
          <w:rFonts w:hint="eastAsia" w:ascii="仿宋_GB2312" w:eastAsia="仿宋_GB2312" w:cs="仿宋_GB2312"/>
          <w:kern w:val="0"/>
          <w:sz w:val="32"/>
          <w:szCs w:val="32"/>
        </w:rPr>
        <w:t>单位严格执行“三公”经费支出标准，未超预算</w:t>
      </w:r>
      <w:r>
        <w:rPr>
          <w:rFonts w:hint="eastAsia" w:ascii="仿宋_GB2312" w:hAnsi="仿宋_GB2312" w:eastAsia="仿宋_GB2312"/>
          <w:kern w:val="0"/>
          <w:sz w:val="32"/>
          <w:szCs w:val="24"/>
        </w:rPr>
        <w:t>；公务接待费全年预算数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szCs w:val="24"/>
        </w:rPr>
        <w:t>。</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八、政府性基金预算财政拨款收入支出决算情况说明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我单位本年度无政府性基金预算财政拨款收入、支出及结转和结余，政府性基金预算财政拨款收入支出决算表为空表。</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九、国有资本经营预算财政拨款收入支出决算情况说明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我单位本年度无国有资本经营预算财政拨款收入、支出及结转和结余，国有资本经营预算财政拨款收入支出决算表为空表。</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十、其他重要事项的情况说明</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 xml:space="preserve">（一）机关运行经费支出情况 </w:t>
      </w:r>
    </w:p>
    <w:p>
      <w:pPr>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2022年度乌鲁木齐市米东区技工学校单位公用经费23.76万元，比上年增加23.76万元，增长100.00%，主要原因是：本单位为2022年新增单位，故</w:t>
      </w:r>
      <w:r>
        <w:rPr>
          <w:rFonts w:hint="eastAsia" w:ascii="仿宋_GB2312" w:hAnsi="仿宋_GB2312" w:eastAsia="仿宋_GB2312"/>
          <w:sz w:val="32"/>
          <w:szCs w:val="24"/>
        </w:rPr>
        <w:t>支出</w:t>
      </w:r>
      <w:r>
        <w:rPr>
          <w:rFonts w:hint="eastAsia" w:ascii="仿宋_GB2312" w:hAnsi="仿宋_GB2312" w:eastAsia="仿宋_GB2312"/>
          <w:kern w:val="0"/>
          <w:sz w:val="32"/>
          <w:szCs w:val="24"/>
        </w:rPr>
        <w:t>增长。</w:t>
      </w:r>
    </w:p>
    <w:p>
      <w:pPr>
        <w:spacing w:beforeLines="0" w:afterLines="0" w:line="360" w:lineRule="auto"/>
        <w:ind w:firstLine="640"/>
        <w:rPr>
          <w:rFonts w:hint="default" w:eastAsia="Times New Roman"/>
          <w:sz w:val="32"/>
          <w:szCs w:val="24"/>
        </w:rPr>
      </w:pPr>
      <w:r>
        <w:rPr>
          <w:rFonts w:hint="eastAsia" w:ascii="黑体" w:hAnsi="黑体" w:eastAsia="黑体"/>
          <w:sz w:val="32"/>
          <w:szCs w:val="24"/>
        </w:rPr>
        <w:t>（</w:t>
      </w:r>
      <w:r>
        <w:rPr>
          <w:rFonts w:hint="eastAsia" w:ascii="黑体" w:hAnsi="黑体" w:eastAsia="黑体"/>
          <w:sz w:val="32"/>
          <w:szCs w:val="24"/>
          <w:lang w:val="zh-CN"/>
        </w:rPr>
        <w:t>二</w:t>
      </w:r>
      <w:r>
        <w:rPr>
          <w:rFonts w:hint="eastAsia" w:ascii="黑体" w:hAnsi="黑体" w:eastAsia="黑体"/>
          <w:sz w:val="32"/>
          <w:szCs w:val="24"/>
        </w:rPr>
        <w:t>）</w:t>
      </w:r>
      <w:r>
        <w:rPr>
          <w:rFonts w:hint="eastAsia" w:ascii="黑体" w:hAnsi="黑体" w:eastAsia="黑体"/>
          <w:sz w:val="32"/>
          <w:szCs w:val="24"/>
          <w:lang w:val="zh-CN"/>
        </w:rPr>
        <w:t>政府采购情况</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2022年度政府采购支出总额</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万元，其中：政府采购货物支出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万元、政府采购工程支出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万元、政府采购服务支出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授予中小企业合同金额</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万元，占政府采购支出总额的0.00%，其中：授予小微企业合同金额</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万元，占政府采购支出总额的0.00%。</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（三）国有资产占用情况说明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截止2022年12月31日，</w:t>
      </w:r>
      <w:r>
        <w:rPr>
          <w:rFonts w:hint="eastAsia" w:ascii="仿宋_GB2312" w:hAnsi="仿宋_GB2312" w:eastAsia="仿宋_GB2312"/>
          <w:sz w:val="32"/>
          <w:szCs w:val="24"/>
        </w:rPr>
        <w:t>固定资产原值</w:t>
      </w:r>
      <w:r>
        <w:rPr>
          <w:rFonts w:hint="eastAsia" w:ascii="仿宋_GB2312" w:hAnsi="仿宋_GB2312" w:eastAsia="仿宋_GB2312"/>
          <w:kern w:val="0"/>
          <w:sz w:val="32"/>
          <w:szCs w:val="24"/>
        </w:rPr>
        <w:t>76.74</w:t>
      </w:r>
      <w:r>
        <w:rPr>
          <w:rFonts w:hint="eastAsia" w:ascii="仿宋_GB2312" w:hAnsi="仿宋_GB2312" w:eastAsia="仿宋_GB2312"/>
          <w:sz w:val="32"/>
          <w:szCs w:val="24"/>
        </w:rPr>
        <w:t>万元，</w:t>
      </w:r>
      <w:r>
        <w:rPr>
          <w:rFonts w:hint="eastAsia" w:ascii="仿宋_GB2312" w:hAnsi="仿宋_GB2312" w:eastAsia="仿宋_GB2312"/>
          <w:kern w:val="0"/>
          <w:sz w:val="32"/>
          <w:szCs w:val="24"/>
        </w:rPr>
        <w:t>房屋</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平方米，价值</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万元。车辆</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辆，价值</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万元，其中：副部（省）级及以上领导用车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辆、主要领导干部用车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辆、机要通信用车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辆、应急保障用车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辆、执法执勤用车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辆、特种专业技术用车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辆、离退休干部用车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辆、其他用车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辆，其他用车主要是：</w:t>
      </w:r>
      <w:bookmarkStart w:id="3" w:name="_Hlk143772663"/>
      <w:r>
        <w:rPr>
          <w:rFonts w:hint="eastAsia" w:ascii="仿宋_GB2312" w:eastAsia="仿宋_GB2312" w:cs="仿宋_GB2312"/>
          <w:kern w:val="0"/>
          <w:sz w:val="32"/>
          <w:szCs w:val="32"/>
        </w:rPr>
        <w:t>单位无其他车辆</w:t>
      </w:r>
      <w:bookmarkEnd w:id="3"/>
      <w:r>
        <w:rPr>
          <w:rFonts w:hint="eastAsia" w:ascii="仿宋_GB2312" w:hAnsi="仿宋_GB2312" w:eastAsia="仿宋_GB2312"/>
          <w:kern w:val="0"/>
          <w:sz w:val="32"/>
          <w:szCs w:val="24"/>
        </w:rPr>
        <w:t>；单价100</w:t>
      </w:r>
      <w:r>
        <w:rPr>
          <w:rFonts w:hint="eastAsia" w:ascii="仿宋_GB2312" w:hAnsi="仿宋_GB2312" w:eastAsia="仿宋_GB2312"/>
          <w:sz w:val="32"/>
          <w:szCs w:val="24"/>
        </w:rPr>
        <w:t>万元（含）以上设备（不含车辆）</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台（套）。</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十一、预算绩效的情况说明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根据预算绩效管理要求，我单位2022年度开展预算绩效评价项目</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个，</w:t>
      </w:r>
      <w:r>
        <w:rPr>
          <w:rFonts w:hint="eastAsia" w:ascii="仿宋_GB2312" w:hAnsi="仿宋_GB2312" w:eastAsia="仿宋_GB2312"/>
          <w:sz w:val="32"/>
          <w:szCs w:val="24"/>
        </w:rPr>
        <w:t>全年预算数</w:t>
      </w:r>
      <w:r>
        <w:rPr>
          <w:rFonts w:hint="default" w:ascii="仿宋_GB2312" w:hAnsi="仿宋_GB2312" w:eastAsia="仿宋_GB2312"/>
          <w:kern w:val="0"/>
          <w:sz w:val="32"/>
          <w:szCs w:val="24"/>
        </w:rPr>
        <w:t>0</w:t>
      </w:r>
      <w:r>
        <w:rPr>
          <w:rFonts w:hint="eastAsia" w:ascii="仿宋_GB2312" w:hAnsi="仿宋_GB2312" w:eastAsia="仿宋_GB2312"/>
          <w:sz w:val="32"/>
          <w:szCs w:val="24"/>
        </w:rPr>
        <w:t>万元，全年执行数</w:t>
      </w:r>
      <w:r>
        <w:rPr>
          <w:rFonts w:hint="default" w:ascii="仿宋_GB2312" w:hAnsi="仿宋_GB2312" w:eastAsia="仿宋_GB2312"/>
          <w:kern w:val="0"/>
          <w:sz w:val="32"/>
          <w:szCs w:val="24"/>
        </w:rPr>
        <w:t>0</w:t>
      </w:r>
      <w:r>
        <w:rPr>
          <w:rFonts w:hint="eastAsia" w:ascii="仿宋_GB2312" w:hAnsi="仿宋_GB2312" w:eastAsia="仿宋_GB2312"/>
          <w:sz w:val="32"/>
          <w:szCs w:val="24"/>
        </w:rPr>
        <w:t>万元。</w:t>
      </w:r>
      <w:r>
        <w:rPr>
          <w:rFonts w:hint="eastAsia" w:ascii="仿宋_GB2312" w:hAnsi="仿宋_GB2312" w:eastAsia="仿宋_GB2312"/>
          <w:kern w:val="0"/>
          <w:sz w:val="32"/>
          <w:szCs w:val="24"/>
        </w:rPr>
        <w:t>预算绩效管理取得的成效：</w:t>
      </w:r>
      <w:r>
        <w:rPr>
          <w:rFonts w:hint="eastAsia" w:ascii="仿宋_GB2312" w:eastAsia="仿宋_GB2312" w:cs="仿宋_GB2312"/>
          <w:kern w:val="0"/>
          <w:sz w:val="32"/>
          <w:szCs w:val="32"/>
        </w:rPr>
        <w:t>我单位无预算绩效管理的项目。发现的问题及原因：我单位无预算绩效管理的项目。下一步改进措施：我单位无预算绩效管理的项目</w:t>
      </w:r>
      <w:r>
        <w:rPr>
          <w:rFonts w:hint="eastAsia" w:ascii="仿宋_GB2312" w:hAnsi="仿宋_GB2312" w:eastAsia="仿宋_GB2312"/>
          <w:kern w:val="0"/>
          <w:sz w:val="32"/>
          <w:szCs w:val="24"/>
        </w:rPr>
        <w:t>。</w:t>
      </w:r>
    </w:p>
    <w:p>
      <w:pPr>
        <w:shd w:val="clear" w:color="auto" w:fill="FFFFFF"/>
        <w:spacing w:before="100" w:beforeLines="0" w:after="240" w:afterLines="0"/>
        <w:jc w:val="center"/>
        <w:rPr>
          <w:rFonts w:hint="default" w:eastAsia="Times New Roman"/>
          <w:b/>
          <w:kern w:val="0"/>
          <w:sz w:val="28"/>
          <w:szCs w:val="24"/>
        </w:rPr>
      </w:pPr>
      <w:r>
        <w:rPr>
          <w:rFonts w:hint="eastAsia" w:ascii="黑体" w:hAnsi="黑体" w:eastAsia="黑体"/>
          <w:kern w:val="0"/>
          <w:sz w:val="32"/>
          <w:szCs w:val="24"/>
        </w:rPr>
        <w:t>第三部分 专业名词解释</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财政拨款收入：指同级财政当年拨付的资金。</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上级补助收入：指事业单位从主管部门和上级单位取得的非财政补助收入。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事业收入：指事业单位开展专业业务活动及其辅助活动所取得的收入。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经营收入：指事业单位在专业业务活动及其辅助活动之外开展非独立核算经营活动取得的收入。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附属单位上缴收入：指事业单位附属的独立核算单位按有关规定上缴的收入。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其他收入：指除上述“财政拨款收入”、“事业收入”、“经营收入”、“附属单位上缴收入”等之外取得的收入。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基本支出：指为保障机构正常运转、完成日常工作任务而发生的人员支出和公用支出。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项目支出：指在基本支出之外为完成特定行政任务和事业发展目标所发生的支出。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经营支出：指事业单位在专业业务活动及其辅助活动之外开展非独立核算经营活动发生的支出。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对附属单位补助支出：指事业单位发生的用非财政预算资金对附属单位的补助支出。</w:t>
      </w:r>
    </w:p>
    <w:p>
      <w:pPr>
        <w:spacing w:beforeLines="0" w:afterLines="0" w:line="360" w:lineRule="auto"/>
        <w:ind w:firstLine="640"/>
        <w:rPr>
          <w:rFonts w:hint="default" w:eastAsia="Times New Roman"/>
          <w:sz w:val="32"/>
          <w:szCs w:val="24"/>
        </w:rPr>
      </w:pPr>
      <w:r>
        <w:rPr>
          <w:rFonts w:hint="eastAsia" w:ascii="仿宋_GB2312" w:hAnsi="仿宋_GB2312" w:eastAsia="仿宋_GB2312"/>
          <w:sz w:val="32"/>
          <w:szCs w:val="24"/>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beforeLines="0" w:afterLines="0" w:line="360" w:lineRule="auto"/>
        <w:ind w:firstLine="640"/>
        <w:rPr>
          <w:rFonts w:hint="default" w:eastAsia="Times New Roman"/>
          <w:sz w:val="32"/>
          <w:szCs w:val="24"/>
        </w:rPr>
      </w:pPr>
      <w:r>
        <w:rPr>
          <w:rFonts w:hint="eastAsia" w:ascii="仿宋_GB2312" w:hAnsi="仿宋_GB2312" w:eastAsia="仿宋_GB2312"/>
          <w:sz w:val="32"/>
          <w:szCs w:val="24"/>
        </w:rPr>
        <w:t>机关运行经费：行政单位和参照公务员法管理的事业单位财政拨款基本支出中的公用经费支出。</w:t>
      </w:r>
    </w:p>
    <w:p>
      <w:pPr>
        <w:shd w:val="clear" w:color="auto" w:fill="FFFFFF"/>
        <w:spacing w:before="100" w:beforeLines="0" w:after="240" w:afterLines="0"/>
        <w:jc w:val="center"/>
        <w:rPr>
          <w:rFonts w:hint="default" w:eastAsia="Times New Roman"/>
          <w:kern w:val="0"/>
          <w:sz w:val="32"/>
          <w:szCs w:val="24"/>
        </w:rPr>
      </w:pPr>
      <w:bookmarkStart w:id="4" w:name="_GoBack"/>
      <w:bookmarkEnd w:id="4"/>
      <w:r>
        <w:rPr>
          <w:rFonts w:hint="default" w:ascii="黑体" w:hAnsi="黑体" w:eastAsia="黑体"/>
          <w:kern w:val="0"/>
          <w:sz w:val="32"/>
          <w:szCs w:val="24"/>
        </w:rPr>
        <w:br w:type="page"/>
      </w:r>
      <w:r>
        <w:rPr>
          <w:rFonts w:hint="eastAsia" w:ascii="黑体" w:hAnsi="黑体" w:eastAsia="黑体"/>
          <w:kern w:val="0"/>
          <w:sz w:val="32"/>
          <w:szCs w:val="24"/>
        </w:rPr>
        <w:t>第四部分 部门决算报表（见附表）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一、《收入支出决算总表》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二、《收入决算表》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三、《支出决算表》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四、《财政拨款收入支出决算总表》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五、《一般公共预算财政拨款支出决算表》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六、《一般公共预算财政拨款基本支出决算表》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七、《财政拨款“三公”经费支出决算表》</w:t>
      </w:r>
    </w:p>
    <w:p>
      <w:pPr>
        <w:spacing w:beforeLines="0" w:afterLines="0" w:line="540" w:lineRule="exact"/>
        <w:ind w:firstLine="640"/>
        <w:rPr>
          <w:rFonts w:hint="default" w:eastAsia="Times New Roman"/>
          <w:kern w:val="0"/>
          <w:sz w:val="32"/>
          <w:szCs w:val="24"/>
        </w:rPr>
      </w:pPr>
      <w:r>
        <w:rPr>
          <w:rFonts w:hint="eastAsia" w:ascii="黑体" w:hAnsi="黑体" w:eastAsia="黑体"/>
          <w:sz w:val="32"/>
          <w:szCs w:val="24"/>
        </w:rPr>
        <w:t>八、《政府性基金预算财政拨款收入支出决算表》</w:t>
      </w:r>
    </w:p>
    <w:p>
      <w:pPr>
        <w:spacing w:beforeLines="0" w:afterLines="0" w:line="540" w:lineRule="exact"/>
        <w:ind w:firstLine="640"/>
        <w:rPr>
          <w:rFonts w:hint="default" w:eastAsia="Times New Roman"/>
          <w:kern w:val="0"/>
          <w:sz w:val="32"/>
          <w:szCs w:val="24"/>
        </w:rPr>
      </w:pPr>
      <w:r>
        <w:rPr>
          <w:rFonts w:hint="eastAsia" w:ascii="黑体" w:hAnsi="黑体" w:eastAsia="黑体"/>
          <w:sz w:val="32"/>
          <w:szCs w:val="24"/>
          <w:lang w:val="zh-CN"/>
        </w:rPr>
        <w:t>九</w:t>
      </w:r>
      <w:r>
        <w:rPr>
          <w:rFonts w:hint="eastAsia" w:ascii="黑体" w:hAnsi="黑体" w:eastAsia="黑体"/>
          <w:sz w:val="32"/>
          <w:szCs w:val="24"/>
        </w:rPr>
        <w:t>、《国有资本经营预算财政拨款收入支出决算表》</w:t>
      </w:r>
    </w:p>
    <w:p>
      <w:pPr>
        <w:spacing w:beforeLines="0" w:afterLines="0"/>
        <w:jc w:val="left"/>
        <w:rPr>
          <w:rFonts w:hint="default" w:eastAsia="Times New Roman"/>
          <w:kern w:val="36"/>
          <w:sz w:val="40"/>
          <w:szCs w:val="24"/>
          <w:lang w:val="zh-CN"/>
        </w:rPr>
      </w:pPr>
    </w:p>
    <w:p>
      <w:pPr>
        <w:spacing w:beforeLines="0" w:afterLines="0"/>
        <w:rPr>
          <w:rFonts w:hint="default" w:eastAsia="Times New Roman"/>
          <w:sz w:val="21"/>
          <w:szCs w:val="24"/>
        </w:rPr>
      </w:pPr>
    </w:p>
    <w:p>
      <w:pPr>
        <w:spacing w:beforeLines="0" w:afterLines="0"/>
        <w:jc w:val="left"/>
        <w:rPr>
          <w:rFonts w:hint="default" w:eastAsia="Times New Roman"/>
          <w:kern w:val="36"/>
          <w:sz w:val="40"/>
          <w:szCs w:val="24"/>
          <w:lang w:val="zh-CN"/>
        </w:rPr>
      </w:pPr>
    </w:p>
    <w:p>
      <w:pPr>
        <w:spacing w:beforeLines="0" w:afterLines="0"/>
        <w:rPr>
          <w:rFonts w:hint="default" w:eastAsia="Times New Roman"/>
          <w:sz w:val="21"/>
          <w:szCs w:val="24"/>
        </w:rPr>
      </w:pPr>
    </w:p>
    <w:p>
      <w:pPr>
        <w:spacing w:beforeLines="0" w:afterLines="0"/>
        <w:jc w:val="left"/>
        <w:rPr>
          <w:rFonts w:hint="default" w:eastAsia="Times New Roman"/>
          <w:kern w:val="36"/>
          <w:sz w:val="40"/>
          <w:szCs w:val="24"/>
          <w:lang w:val="zh-CN"/>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0"/>
  <w:displayVerticalDrawingGridEvery w:val="3"/>
  <w:doNotUseMarginsForDrawingGridOrigin w:val="1"/>
  <w:drawingGridHorizontalOrigin w:val="1701"/>
  <w:drawingGridVerticalOrigin w:val="1984"/>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52EF0F1E"/>
    <w:rsid w:val="6B897008"/>
    <w:rsid w:val="6C00060C"/>
    <w:rsid w:val="6F1D2FF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iPriority="99" w:name="heading 1"/>
    <w:lsdException w:qFormat="1" w:uiPriority="99" w:name="heading 2"/>
    <w:lsdException w:qFormat="1" w:uiPriority="99" w:name="heading 3"/>
    <w:lsdException w:qFormat="1" w:uiPriority="99" w:name="heading 4"/>
    <w:lsdException w:qFormat="1" w:uiPriority="99" w:name="heading 5"/>
    <w:lsdException w:qFormat="1" w:uiPriority="99" w:name="heading 6"/>
    <w:lsdException w:qFormat="1" w:uiPriority="99" w:name="heading 7"/>
    <w:lsdException w:qFormat="1" w:uiPriority="99" w:name="heading 8"/>
    <w:lsdException w:qFormat="1" w:uiPriority="99" w:name="heading 9"/>
    <w:lsdException w:qFormat="1" w:uiPriority="99" w:name="index 1"/>
    <w:lsdException w:qFormat="1"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iPriority="99" w:name="toc 1"/>
    <w:lsdException w:qFormat="1" w:uiPriority="99" w:name="toc 2"/>
    <w:lsdException w:qFormat="1" w:uiPriority="99" w:name="toc 3"/>
    <w:lsdException w:qFormat="1" w:uiPriority="99" w:name="toc 4"/>
    <w:lsdException w:qFormat="1" w:uiPriority="99" w:name="toc 5"/>
    <w:lsdException w:qFormat="1" w:uiPriority="99" w:name="toc 6"/>
    <w:lsdException w:qFormat="1" w:uiPriority="99" w:name="toc 7"/>
    <w:lsdException w:qFormat="1" w:uiPriority="99" w:name="toc 8"/>
    <w:lsdException w:qFormat="1" w:uiPriority="99" w:name="toc 9"/>
    <w:lsdException w:qFormat="1"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qFormat="1" w:uiPriority="99" w:name="index heading"/>
    <w:lsdException w:qFormat="1" w:uiPriority="99" w:name="caption"/>
    <w:lsdException w:qFormat="1" w:uiPriority="99" w:name="table of figures"/>
    <w:lsdException w:qFormat="1" w:uiPriority="99" w:name="envelope address"/>
    <w:lsdException w:qFormat="1" w:uiPriority="99" w:name="envelope return"/>
    <w:lsdException w:qFormat="1" w:uiPriority="99" w:name="footnote reference"/>
    <w:lsdException w:qFormat="1" w:uiPriority="99" w:name="annotation reference"/>
    <w:lsdException w:qFormat="1" w:uiPriority="99" w:name="line number"/>
    <w:lsdException w:qFormat="1" w:uiPriority="99" w:name="page number"/>
    <w:lsdException w:qFormat="1"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iPriority="99" w:name="List"/>
    <w:lsdException w:qFormat="1" w:uiPriority="99" w:name="List Bullet"/>
    <w:lsdException w:qFormat="1" w:uiPriority="99" w:name="List Number"/>
    <w:lsdException w:qFormat="1" w:uiPriority="99" w:name="List 2"/>
    <w:lsdException w:qFormat="1" w:uiPriority="99" w:name="List 3"/>
    <w:lsdException w:qFormat="1" w:uiPriority="99" w:name="List 4"/>
    <w:lsdException w:qFormat="1" w:uiPriority="99" w:name="List 5"/>
    <w:lsdException w:qFormat="1" w:uiPriority="99" w:name="List Bullet 2"/>
    <w:lsdException w:qFormat="1" w:uiPriority="99" w:name="List Bullet 3"/>
    <w:lsdException w:qFormat="1" w:uiPriority="99" w:name="List Bullet 4"/>
    <w:lsdException w:qFormat="1" w:uiPriority="99" w:name="List Bullet 5"/>
    <w:lsdException w:qFormat="1" w:uiPriority="99" w:name="List Number 2"/>
    <w:lsdException w:qFormat="1" w:uiPriority="99" w:name="List Number 3"/>
    <w:lsdException w:qFormat="1" w:uiPriority="99" w:name="List Number 4"/>
    <w:lsdException w:qFormat="1" w:uiPriority="99" w:name="List Number 5"/>
    <w:lsdException w:qFormat="1" w:uiPriority="99" w:name="Title"/>
    <w:lsdException w:qFormat="1" w:uiPriority="99" w:name="Closing"/>
    <w:lsdException w:qFormat="1" w:uiPriority="99" w:name="Signature"/>
    <w:lsdException w:uiPriority="99" w:semiHidden="0" w:name="Default Paragraph Font"/>
    <w:lsdException w:qFormat="1" w:uiPriority="99"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iPriority="99"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name="Hyperlink"/>
    <w:lsdException w:qFormat="1" w:uiPriority="99" w:name="FollowedHyperlink"/>
    <w:lsdException w:qFormat="1" w:uiPriority="99" w:name="Strong"/>
    <w:lsdException w:qFormat="1" w:uiPriority="99" w:name="Emphasis"/>
    <w:lsdException w:qFormat="1" w:uiPriority="99" w:name="Document Map"/>
    <w:lsdException w:qFormat="1" w:uiPriority="99" w:name="Plain Text"/>
    <w:lsdException w:qFormat="1" w:uiPriority="99" w:name="E-mail Signature"/>
    <w:lsdException w:qFormat="1" w:uiPriority="99" w:name="Normal (Web)"/>
    <w:lsdException w:qFormat="1" w:uiPriority="99" w:name="HTML Acronym"/>
    <w:lsdException w:qFormat="1"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name="HTML Preformatted"/>
    <w:lsdException w:qFormat="1" w:uiPriority="99" w:name="HTML Sample"/>
    <w:lsdException w:qFormat="1" w:uiPriority="99" w:name="HTML Typewriter"/>
    <w:lsdException w:qFormat="1" w:uiPriority="99" w:name="HTML Variable"/>
    <w:lsdException w:qFormat="1" w:unhideWhenUsed="0" w:uiPriority="99" w:semiHidden="0" w:name="Normal Table"/>
    <w:lsdException w:qFormat="1" w:uiPriority="99" w:name="annotation subject"/>
    <w:lsdException w:unhideWhenUsed="0" w:uiPriority="99" w:semiHidden="0" w:name="Table Simple 1"/>
    <w:lsdException w:unhideWhenUsed="0" w:uiPriority="99" w:semiHidden="0" w:name="Table Simple 2"/>
    <w:lsdException w:unhideWhenUsed="0" w:uiPriority="99" w:semiHidden="0" w:name="Table Simple 3"/>
    <w:lsdException w:unhideWhenUsed="0" w:uiPriority="99" w:semiHidden="0" w:name="Table Classic 1"/>
    <w:lsdException w:unhideWhenUsed="0" w:uiPriority="99" w:semiHidden="0" w:name="Table Classic 2"/>
    <w:lsdException w:unhideWhenUsed="0" w:uiPriority="99" w:semiHidden="0" w:name="Table Classic 3"/>
    <w:lsdException w:unhideWhenUsed="0" w:uiPriority="99" w:semiHidden="0" w:name="Table Classic 4"/>
    <w:lsdException w:unhideWhenUsed="0" w:uiPriority="99" w:semiHidden="0" w:name="Table Colorful 1"/>
    <w:lsdException w:unhideWhenUsed="0" w:uiPriority="99" w:semiHidden="0" w:name="Table Colorful 2"/>
    <w:lsdException w:unhideWhenUsed="0" w:uiPriority="99" w:semiHidden="0" w:name="Table Colorful 3"/>
    <w:lsdException w:unhideWhenUsed="0" w:uiPriority="99" w:semiHidden="0" w:name="Table Columns 1"/>
    <w:lsdException w:unhideWhenUsed="0" w:uiPriority="99" w:semiHidden="0" w:name="Table Columns 2"/>
    <w:lsdException w:unhideWhenUsed="0" w:uiPriority="99" w:semiHidden="0" w:name="Table Columns 3"/>
    <w:lsdException w:unhideWhenUsed="0" w:uiPriority="99" w:semiHidden="0" w:name="Table Columns 4"/>
    <w:lsdException w:unhideWhenUsed="0" w:uiPriority="99" w:semiHidden="0" w:name="Table Columns 5"/>
    <w:lsdException w:unhideWhenUsed="0" w:uiPriority="99" w:semiHidden="0" w:name="Table Grid 1"/>
    <w:lsdException w:unhideWhenUsed="0" w:uiPriority="99" w:semiHidden="0" w:name="Table Grid 2"/>
    <w:lsdException w:unhideWhenUsed="0" w:uiPriority="99" w:semiHidden="0" w:name="Table Grid 3"/>
    <w:lsdException w:unhideWhenUsed="0" w:uiPriority="99" w:semiHidden="0" w:name="Table Grid 4"/>
    <w:lsdException w:unhideWhenUsed="0" w:uiPriority="99" w:semiHidden="0" w:name="Table Grid 5"/>
    <w:lsdException w:unhideWhenUsed="0" w:uiPriority="99" w:semiHidden="0" w:name="Table Grid 6"/>
    <w:lsdException w:unhideWhenUsed="0" w:uiPriority="99" w:semiHidden="0" w:name="Table Grid 7"/>
    <w:lsdException w:unhideWhenUsed="0" w:uiPriority="99" w:semiHidden="0" w:name="Table Grid 8"/>
    <w:lsdException w:unhideWhenUsed="0" w:uiPriority="99" w:semiHidden="0" w:name="Table List 1"/>
    <w:lsdException w:unhideWhenUsed="0" w:uiPriority="99" w:semiHidden="0" w:name="Table List 2"/>
    <w:lsdException w:unhideWhenUsed="0" w:uiPriority="99" w:semiHidden="0" w:name="Table List 3"/>
    <w:lsdException w:unhideWhenUsed="0" w:uiPriority="99" w:semiHidden="0" w:name="Table List 4"/>
    <w:lsdException w:unhideWhenUsed="0" w:uiPriority="99" w:semiHidden="0" w:name="Table List 5"/>
    <w:lsdException w:unhideWhenUsed="0" w:uiPriority="99" w:semiHidden="0" w:name="Table List 6"/>
    <w:lsdException w:unhideWhenUsed="0" w:uiPriority="99" w:semiHidden="0" w:name="Table List 7"/>
    <w:lsdException w:unhideWhenUsed="0" w:uiPriority="99" w:semiHidden="0" w:name="Table List 8"/>
    <w:lsdException w:unhideWhenUsed="0" w:uiPriority="99" w:semiHidden="0" w:name="Table 3D effects 1"/>
    <w:lsdException w:unhideWhenUsed="0" w:uiPriority="99" w:semiHidden="0" w:name="Table 3D effects 2"/>
    <w:lsdException w:unhideWhenUsed="0" w:uiPriority="99" w:semiHidden="0" w:name="Table 3D effects 3"/>
    <w:lsdException w:unhideWhenUsed="0" w:uiPriority="99" w:semiHidden="0" w:name="Table Contemporary"/>
    <w:lsdException w:unhideWhenUsed="0" w:uiPriority="99" w:semiHidden="0" w:name="Table Elegant"/>
    <w:lsdException w:unhideWhenUsed="0" w:uiPriority="99" w:semiHidden="0" w:name="Table Professional"/>
    <w:lsdException w:unhideWhenUsed="0" w:uiPriority="99" w:semiHidden="0" w:name="Table Subtle 1"/>
    <w:lsdException w:unhideWhenUsed="0" w:uiPriority="99" w:semiHidden="0" w:name="Table Subtle 2"/>
    <w:lsdException w:unhideWhenUsed="0" w:uiPriority="99" w:semiHidden="0" w:name="Table Web 1"/>
    <w:lsdException w:unhideWhenUsed="0" w:uiPriority="99" w:semiHidden="0" w:name="Table Web 2"/>
    <w:lsdException w:unhideWhenUsed="0" w:uiPriority="99" w:semiHidden="0" w:name="Table Web 3"/>
    <w:lsdException w:qFormat="1" w:uiPriority="99" w:name="Balloon Text"/>
    <w:lsdException w:unhideWhenUsed="0" w:uiPriority="9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spacing w:beforeLines="0" w:afterLines="0"/>
      <w:jc w:val="both"/>
    </w:pPr>
    <w:rPr>
      <w:rFonts w:hint="eastAsia" w:ascii="Times New Roman" w:hAnsi="Times New Roman" w:eastAsia="宋体" w:cs="Times New Roman"/>
      <w:kern w:val="2"/>
      <w:sz w:val="21"/>
      <w:szCs w:val="21"/>
      <w:lang w:val="en-US" w:eastAsia="zh-CN" w:bidi="ar-SA"/>
    </w:rPr>
  </w:style>
  <w:style w:type="character" w:default="1" w:styleId="5">
    <w:name w:val="Default Paragraph Font"/>
    <w:unhideWhenUsed/>
    <w:uiPriority w:val="99"/>
    <w:rPr>
      <w:rFonts w:hint="default"/>
      <w:sz w:val="24"/>
      <w:szCs w:val="24"/>
    </w:rPr>
  </w:style>
  <w:style w:type="table" w:default="1" w:styleId="4">
    <w:name w:val="Normal Table"/>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spacing w:beforeLines="0" w:afterLines="0"/>
      <w:jc w:val="left"/>
    </w:pPr>
    <w:rPr>
      <w:rFonts w:hint="eastAsia"/>
      <w:sz w:val="18"/>
      <w:szCs w:val="18"/>
    </w:rPr>
  </w:style>
  <w:style w:type="paragraph" w:styleId="3">
    <w:name w:val="header"/>
    <w:basedOn w:val="1"/>
    <w:link w:val="6"/>
    <w:unhideWhenUsed/>
    <w:qFormat/>
    <w:uiPriority w:val="99"/>
    <w:pPr>
      <w:tabs>
        <w:tab w:val="center" w:pos="4153"/>
        <w:tab w:val="right" w:pos="8306"/>
      </w:tabs>
      <w:snapToGrid w:val="0"/>
      <w:spacing w:beforeLines="0" w:afterLines="0"/>
      <w:jc w:val="center"/>
    </w:pPr>
    <w:rPr>
      <w:rFonts w:hint="eastAsia"/>
      <w:sz w:val="18"/>
      <w:szCs w:val="18"/>
    </w:rPr>
  </w:style>
  <w:style w:type="character" w:customStyle="1" w:styleId="6">
    <w:name w:val="页眉 字符"/>
    <w:basedOn w:val="5"/>
    <w:link w:val="3"/>
    <w:unhideWhenUsed/>
    <w:qFormat/>
    <w:uiPriority w:val="99"/>
    <w:rPr>
      <w:rFonts w:hint="default" w:cs="Times New Roman"/>
      <w:sz w:val="18"/>
      <w:szCs w:val="18"/>
    </w:rPr>
  </w:style>
  <w:style w:type="character" w:customStyle="1" w:styleId="7">
    <w:name w:val="页脚 字符"/>
    <w:basedOn w:val="5"/>
    <w:link w:val="2"/>
    <w:unhideWhenUsed/>
    <w:qFormat/>
    <w:uiPriority w:val="99"/>
    <w:rPr>
      <w:rFonts w:hint="default"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13</Pages>
  <Words>4407</Words>
  <Characters>4976</Characters>
  <TotalTime>8</TotalTime>
  <ScaleCrop>false</ScaleCrop>
  <LinksUpToDate>false</LinksUpToDate>
  <CharactersWithSpaces>4987</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2023-08-28T07:53:00Z</dcterms:created>
  <dc:creator>asus</dc:creator>
  <cp:lastModifiedBy>逐梦令</cp:lastModifiedBy>
  <dcterms:modified xsi:type="dcterms:W3CDTF">2023-09-01T12:31:18Z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2771AC66B2224074843C0E53FB4CE2F7_13</vt:lpwstr>
  </property>
</Properties>
</file>