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3B71AFC" w14:textId="77777777" w:rsidR="00031BBF" w:rsidRDefault="00031BBF">
      <w:pPr>
        <w:shd w:val="clear" w:color="auto" w:fill="FFFFFF"/>
        <w:autoSpaceDE w:val="0"/>
        <w:autoSpaceDN w:val="0"/>
        <w:adjustRightInd w:val="0"/>
        <w:spacing w:before="240" w:after="240"/>
        <w:jc w:val="center"/>
        <w:rPr>
          <w:rFonts w:ascii="Times New Roman" w:hint="default"/>
          <w:kern w:val="36"/>
          <w:sz w:val="40"/>
          <w:szCs w:val="40"/>
          <w:lang w:val="zh-CN"/>
        </w:rPr>
      </w:pPr>
    </w:p>
    <w:p w14:paraId="0293256B" w14:textId="77777777" w:rsidR="00031BBF" w:rsidRDefault="00031BBF">
      <w:pPr>
        <w:shd w:val="clear" w:color="auto" w:fill="FFFFFF"/>
        <w:autoSpaceDE w:val="0"/>
        <w:autoSpaceDN w:val="0"/>
        <w:adjustRightInd w:val="0"/>
        <w:spacing w:before="240" w:after="240"/>
        <w:jc w:val="center"/>
        <w:rPr>
          <w:rFonts w:ascii="Times New Roman" w:hint="default"/>
          <w:kern w:val="36"/>
          <w:sz w:val="40"/>
          <w:szCs w:val="40"/>
          <w:lang w:val="zh-CN"/>
        </w:rPr>
      </w:pPr>
    </w:p>
    <w:p w14:paraId="620F349D" w14:textId="77777777" w:rsidR="00031BBF" w:rsidRDefault="00000000">
      <w:pPr>
        <w:autoSpaceDE w:val="0"/>
        <w:autoSpaceDN w:val="0"/>
        <w:adjustRightInd w:val="0"/>
        <w:jc w:val="center"/>
        <w:outlineLvl w:val="0"/>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乌鲁木齐市米东区教育研究室</w:t>
      </w:r>
    </w:p>
    <w:p w14:paraId="7C625475" w14:textId="77777777" w:rsidR="00031BBF" w:rsidRDefault="00000000">
      <w:pPr>
        <w:autoSpaceDE w:val="0"/>
        <w:autoSpaceDN w:val="0"/>
        <w:adjustRightInd w:val="0"/>
        <w:jc w:val="center"/>
        <w:rPr>
          <w:rFonts w:ascii="Times New Roman" w:eastAsia="方正小标宋_GBK"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14:paraId="634F1326" w14:textId="77777777" w:rsidR="00031BBF" w:rsidRDefault="00031BBF">
      <w:pPr>
        <w:shd w:val="clear" w:color="auto" w:fill="FFFFFF"/>
        <w:autoSpaceDE w:val="0"/>
        <w:autoSpaceDN w:val="0"/>
        <w:adjustRightInd w:val="0"/>
        <w:spacing w:before="240" w:after="240"/>
        <w:jc w:val="center"/>
        <w:rPr>
          <w:rFonts w:ascii="Times New Roman" w:eastAsia="宋体" w:hAnsi="Times New Roman" w:hint="default"/>
          <w:kern w:val="36"/>
          <w:sz w:val="40"/>
          <w:szCs w:val="40"/>
          <w:lang w:val="zh-CN"/>
        </w:rPr>
      </w:pPr>
    </w:p>
    <w:p w14:paraId="6B9E8260" w14:textId="77777777" w:rsidR="00031BBF"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Times New Roman" w:eastAsia="宋体" w:hAnsi="Times New Roman" w:hint="default"/>
          <w:b/>
          <w:kern w:val="36"/>
          <w:sz w:val="36"/>
          <w:szCs w:val="36"/>
        </w:rPr>
        <w:br w:type="page"/>
      </w:r>
      <w:r>
        <w:rPr>
          <w:rFonts w:ascii="仿宋_GB2312" w:eastAsia="仿宋_GB2312" w:hAnsi="Times New Roman" w:cs="仿宋_GB2312"/>
          <w:b/>
          <w:kern w:val="0"/>
          <w:sz w:val="36"/>
          <w:szCs w:val="36"/>
        </w:rPr>
        <w:lastRenderedPageBreak/>
        <w:t>目  录</w:t>
      </w:r>
    </w:p>
    <w:p w14:paraId="3AFC9A75" w14:textId="77777777" w:rsidR="00031BBF" w:rsidRDefault="00000000">
      <w:pPr>
        <w:autoSpaceDE w:val="0"/>
        <w:autoSpaceDN w:val="0"/>
        <w:adjustRightInd w:val="0"/>
        <w:spacing w:line="540" w:lineRule="exact"/>
        <w:outlineLvl w:val="0"/>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14:paraId="07BE3E78" w14:textId="77777777" w:rsidR="00031BBF"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14:paraId="286F2B68" w14:textId="77777777" w:rsidR="00031BBF"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14:paraId="4BE0F5E5" w14:textId="77777777" w:rsidR="00031BBF" w:rsidRDefault="00000000">
      <w:pPr>
        <w:autoSpaceDE w:val="0"/>
        <w:autoSpaceDN w:val="0"/>
        <w:adjustRightInd w:val="0"/>
        <w:spacing w:line="540" w:lineRule="exact"/>
        <w:outlineLvl w:val="0"/>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14:paraId="1046261D" w14:textId="77777777" w:rsidR="00031BB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14:paraId="6E30EACB" w14:textId="77777777" w:rsidR="00031BB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14:paraId="65AC59CA" w14:textId="77777777" w:rsidR="00031BB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14:paraId="1FFD97E4" w14:textId="77777777" w:rsidR="00031BB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14:paraId="5EB8C2D1" w14:textId="77777777" w:rsidR="00031BB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14:paraId="7116C695" w14:textId="77777777" w:rsidR="00031BB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14:paraId="11CD293C" w14:textId="77777777" w:rsidR="00031BB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14:paraId="06B393E1" w14:textId="77777777" w:rsidR="00031BB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14:paraId="323CD13E" w14:textId="77777777" w:rsidR="00031BB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14:paraId="6233FB55" w14:textId="77777777" w:rsidR="00031BB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14:paraId="7F3DD47A" w14:textId="77777777" w:rsidR="00031BB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14:paraId="020D3C0B" w14:textId="77777777" w:rsidR="00031BB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14:paraId="50C51EE1" w14:textId="77777777" w:rsidR="00031BB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14:paraId="353E7003" w14:textId="77777777" w:rsidR="00031BBF" w:rsidRDefault="00000000">
      <w:pPr>
        <w:autoSpaceDE w:val="0"/>
        <w:autoSpaceDN w:val="0"/>
        <w:adjustRightInd w:val="0"/>
        <w:spacing w:line="540" w:lineRule="exact"/>
        <w:outlineLvl w:val="1"/>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14:paraId="375BFE81" w14:textId="77777777" w:rsidR="00031BBF"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14:paraId="5F3F656A" w14:textId="77777777" w:rsidR="00031BBF"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14:paraId="1E228973" w14:textId="77777777" w:rsidR="00031BB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一、《收入支出决算总表》</w:t>
      </w:r>
    </w:p>
    <w:p w14:paraId="2DFFB082" w14:textId="77777777" w:rsidR="00031BB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14:paraId="452339C0" w14:textId="77777777" w:rsidR="00031BB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14:paraId="736B625F" w14:textId="77777777" w:rsidR="00031BB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四、《财政拨款收入支出决算总表》</w:t>
      </w:r>
    </w:p>
    <w:p w14:paraId="79A9DEBA" w14:textId="77777777" w:rsidR="00031BB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14:paraId="04D28E78" w14:textId="77777777" w:rsidR="00031BB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14:paraId="1CB03FAD" w14:textId="77777777" w:rsidR="00031BB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14:paraId="30879E86" w14:textId="77777777" w:rsidR="00031BB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14:paraId="5DD949E1" w14:textId="77777777" w:rsidR="00031BB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14:paraId="73F4165A" w14:textId="77777777" w:rsidR="00031BBF" w:rsidRDefault="00031BBF">
      <w:pPr>
        <w:autoSpaceDE w:val="0"/>
        <w:autoSpaceDN w:val="0"/>
        <w:adjustRightInd w:val="0"/>
        <w:spacing w:line="540" w:lineRule="exact"/>
        <w:ind w:firstLine="640"/>
        <w:rPr>
          <w:rFonts w:ascii="Times New Roman" w:eastAsia="仿宋_GB2312" w:hAnsi="Times New Roman" w:hint="default"/>
          <w:b/>
          <w:kern w:val="0"/>
          <w:sz w:val="28"/>
          <w:szCs w:val="28"/>
        </w:rPr>
      </w:pPr>
    </w:p>
    <w:p w14:paraId="760A5DD3" w14:textId="77777777" w:rsidR="00031BBF" w:rsidRDefault="00031BBF">
      <w:pPr>
        <w:shd w:val="clear" w:color="auto" w:fill="FFFFFF"/>
        <w:autoSpaceDE w:val="0"/>
        <w:autoSpaceDN w:val="0"/>
        <w:adjustRightInd w:val="0"/>
        <w:spacing w:line="360" w:lineRule="auto"/>
        <w:jc w:val="center"/>
        <w:rPr>
          <w:rFonts w:ascii="Times New Roman" w:eastAsia="仿宋_GB2312" w:hAnsi="Times New Roman" w:hint="default"/>
          <w:kern w:val="0"/>
          <w:sz w:val="32"/>
          <w:szCs w:val="32"/>
        </w:rPr>
      </w:pPr>
    </w:p>
    <w:p w14:paraId="06BE4D7C" w14:textId="77777777" w:rsidR="00031BBF" w:rsidRDefault="00000000">
      <w:pPr>
        <w:shd w:val="clear" w:color="auto" w:fill="FFFFFF"/>
        <w:autoSpaceDE w:val="0"/>
        <w:autoSpaceDN w:val="0"/>
        <w:adjustRightInd w:val="0"/>
        <w:spacing w:line="360" w:lineRule="auto"/>
        <w:jc w:val="center"/>
        <w:outlineLvl w:val="0"/>
        <w:rPr>
          <w:rFonts w:eastAsia="黑体" w:cs="黑体" w:hint="default"/>
          <w:kern w:val="0"/>
          <w:sz w:val="32"/>
          <w:szCs w:val="32"/>
          <w:rtl/>
          <w:lang w:val="ar-SA"/>
        </w:rPr>
      </w:pPr>
      <w:r>
        <w:rPr>
          <w:rFonts w:ascii="Times New Roman" w:eastAsia="仿宋_GB2312" w:hAnsi="Times New Roman" w:hint="default"/>
          <w:kern w:val="0"/>
          <w:sz w:val="32"/>
          <w:szCs w:val="32"/>
        </w:rPr>
        <w:br w:type="page"/>
      </w:r>
      <w:r>
        <w:rPr>
          <w:rFonts w:ascii="黑体" w:eastAsia="黑体" w:hAnsi="Times New Roman" w:cs="黑体"/>
          <w:kern w:val="0"/>
          <w:sz w:val="32"/>
          <w:szCs w:val="32"/>
        </w:rPr>
        <w:lastRenderedPageBreak/>
        <w:t>第一部分 单位概况</w:t>
      </w:r>
    </w:p>
    <w:p w14:paraId="4DAF3BD4" w14:textId="77777777" w:rsidR="00031BBF"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一、主要职能</w:t>
      </w:r>
    </w:p>
    <w:p w14:paraId="56970D2E" w14:textId="77777777" w:rsidR="00031BBF" w:rsidRPr="00C059DF" w:rsidRDefault="00000000" w:rsidP="00C059DF">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sidRPr="00C059DF">
        <w:rPr>
          <w:rFonts w:ascii="仿宋_GB2312" w:eastAsia="仿宋_GB2312" w:hAnsi="Times New Roman" w:cs="仿宋_GB2312"/>
          <w:kern w:val="0"/>
          <w:sz w:val="32"/>
          <w:szCs w:val="32"/>
        </w:rPr>
        <w:t>乌鲁木齐市米东区教育研究室的主要业务是为提高中小学教育教学质量服务。中小学教学理论研究，为教育行政部门提出建设性建议和提供决策依据，组织教学研究活动及总结推广教学 经验，教学的检查和质量的评估，指导和帮助教师进行教学研究和探索教学方法。</w:t>
      </w:r>
    </w:p>
    <w:p w14:paraId="7BE17D64" w14:textId="77777777" w:rsidR="00031BBF" w:rsidRPr="00C059DF" w:rsidRDefault="00000000" w:rsidP="00C059DF">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sidRPr="00C059DF">
        <w:rPr>
          <w:rFonts w:ascii="仿宋_GB2312" w:eastAsia="仿宋_GB2312" w:hAnsi="Times New Roman" w:cs="仿宋_GB2312"/>
          <w:kern w:val="0"/>
          <w:sz w:val="32"/>
          <w:szCs w:val="32"/>
        </w:rPr>
        <w:t>引领课程教学改革，提高教育教学质量，为学校教育教学服务；指导教师改进教学方式，提高教书育人能力，为教师专业成长服务；研究学生学习和成长规律，提高学生综合素质，为学生全面发展服务；加强基础教育理论、政策和实践研究，提高教育决策的科学化水平，为教育管理决策服务。</w:t>
      </w:r>
    </w:p>
    <w:p w14:paraId="149463CF" w14:textId="77777777" w:rsidR="00031BBF"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二、机构设置及人员情况</w:t>
      </w:r>
    </w:p>
    <w:p w14:paraId="1BC5C70E"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乌鲁木齐市米东区教育研究室2022年度，实有人数50人，其中：在职人员25人，离休人员</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人，退休人员25人。</w:t>
      </w:r>
    </w:p>
    <w:p w14:paraId="0D72292C" w14:textId="77777777" w:rsidR="00031BBF" w:rsidRDefault="00000000">
      <w:pPr>
        <w:shd w:val="clear" w:color="auto" w:fill="FFFFFF"/>
        <w:autoSpaceDE w:val="0"/>
        <w:autoSpaceDN w:val="0"/>
        <w:adjustRightInd w:val="0"/>
        <w:spacing w:line="360" w:lineRule="auto"/>
        <w:ind w:firstLine="640"/>
        <w:rPr>
          <w:rFonts w:ascii="仿宋_GB2312" w:eastAsia="仿宋_GB2312" w:hAnsi="Times New Roman" w:hint="default"/>
          <w:kern w:val="0"/>
          <w:sz w:val="32"/>
          <w:szCs w:val="24"/>
          <w:lang w:val="zh-CN"/>
        </w:rPr>
      </w:pPr>
      <w:r>
        <w:rPr>
          <w:rFonts w:ascii="仿宋_GB2312" w:eastAsia="仿宋_GB2312" w:hAnsi="Times New Roman" w:cs="仿宋_GB2312"/>
          <w:kern w:val="0"/>
          <w:sz w:val="32"/>
          <w:szCs w:val="32"/>
        </w:rPr>
        <w:t>从部门决算单位构成看，乌鲁木齐市米东区教育研究室部门决算包括：乌鲁木齐市米东区教育研究室</w:t>
      </w:r>
      <w:r>
        <w:rPr>
          <w:rFonts w:ascii="仿宋_GB2312" w:eastAsia="仿宋_GB2312" w:hAnsi="Times New Roman" w:cs="仿宋_GB2312"/>
          <w:kern w:val="0"/>
          <w:sz w:val="32"/>
          <w:szCs w:val="32"/>
          <w:lang w:val="zh-CN"/>
        </w:rPr>
        <w:t>决算。单位无下属预算单位，下设4个科室，分别是</w:t>
      </w:r>
      <w:r>
        <w:rPr>
          <w:rFonts w:ascii="仿宋_GB2312" w:eastAsia="仿宋_GB2312" w:hAnsi="Times New Roman" w:cs="仿宋_GB2312"/>
          <w:kern w:val="0"/>
          <w:sz w:val="32"/>
          <w:szCs w:val="32"/>
          <w:highlight w:val="white"/>
          <w:lang w:val="zh-CN"/>
        </w:rPr>
        <w:t>：</w:t>
      </w:r>
      <w:r>
        <w:rPr>
          <w:rFonts w:ascii="仿宋_GB2312" w:eastAsia="仿宋_GB2312" w:hAnsi="Times New Roman"/>
          <w:kern w:val="0"/>
          <w:sz w:val="32"/>
          <w:szCs w:val="24"/>
          <w:lang w:val="zh-CN"/>
        </w:rPr>
        <w:t>小教室、中教室、综教室、教科室。</w:t>
      </w:r>
    </w:p>
    <w:p w14:paraId="6FA24297" w14:textId="77777777" w:rsidR="00031BBF" w:rsidRDefault="00000000">
      <w:pPr>
        <w:shd w:val="clear" w:color="auto" w:fill="FFFFFF"/>
        <w:autoSpaceDE w:val="0"/>
        <w:autoSpaceDN w:val="0"/>
        <w:adjustRightInd w:val="0"/>
        <w:spacing w:line="360" w:lineRule="auto"/>
        <w:ind w:firstLine="640"/>
        <w:outlineLvl w:val="0"/>
        <w:rPr>
          <w:rFonts w:cs="等线" w:hint="default"/>
          <w:kern w:val="0"/>
          <w:sz w:val="28"/>
          <w:szCs w:val="28"/>
          <w:rtl/>
          <w:lang w:val="ar-SA"/>
        </w:rPr>
      </w:pPr>
      <w:r>
        <w:rPr>
          <w:rFonts w:ascii="黑体" w:eastAsia="黑体" w:hAnsi="Times New Roman" w:cs="黑体"/>
          <w:kern w:val="0"/>
          <w:sz w:val="32"/>
          <w:szCs w:val="32"/>
        </w:rPr>
        <w:t>第二部分 部门决算情况说明</w:t>
      </w:r>
    </w:p>
    <w:p w14:paraId="3EE1913E" w14:textId="77777777" w:rsidR="00031BBF"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一、收入支出决算总体情况说明</w:t>
      </w:r>
    </w:p>
    <w:p w14:paraId="6E8DD10F" w14:textId="77777777" w:rsidR="00031BBF"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lastRenderedPageBreak/>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593.56万元，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577.15</w:t>
      </w:r>
      <w:r>
        <w:rPr>
          <w:rFonts w:ascii="仿宋_GB2312" w:eastAsia="仿宋_GB2312" w:hAnsi="Times New Roman" w:cs="仿宋_GB2312"/>
          <w:sz w:val="32"/>
          <w:szCs w:val="32"/>
        </w:rPr>
        <w:t>万元，使用非财政拨款结余</w:t>
      </w:r>
      <w:r>
        <w:rPr>
          <w:rFonts w:ascii="仿宋_GB2312" w:eastAsia="仿宋_GB2312" w:hAnsi="Times New Roman" w:cs="仿宋_GB2312" w:hint="default"/>
          <w:kern w:val="0"/>
          <w:sz w:val="32"/>
          <w:szCs w:val="32"/>
        </w:rPr>
        <w:t>0.00</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16.41</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与上年相比，增加94.16万元，增长18.85%，主要原因是：增加调标工资、基础绩效奖、年度考核奖、1人丧葬费抚恤金。</w:t>
      </w:r>
    </w:p>
    <w:p w14:paraId="519A2EF9"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593.56万元，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557.57</w:t>
      </w:r>
      <w:r>
        <w:rPr>
          <w:rFonts w:ascii="仿宋_GB2312" w:eastAsia="仿宋_GB2312" w:hAnsi="Times New Roman" w:cs="仿宋_GB2312"/>
          <w:sz w:val="32"/>
          <w:szCs w:val="32"/>
        </w:rPr>
        <w:t>万元，结余分配</w:t>
      </w:r>
      <w:r>
        <w:rPr>
          <w:rFonts w:ascii="仿宋_GB2312" w:eastAsia="仿宋_GB2312" w:hAnsi="Times New Roman" w:cs="仿宋_GB2312" w:hint="default"/>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35.99</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与上年相比，增加94.16万元，增长18.85%，主要原因是：增加调标工资、基础绩效奖、年度考核奖、1人丧葬费抚恤金。</w:t>
      </w:r>
    </w:p>
    <w:p w14:paraId="2308F07C" w14:textId="77777777" w:rsidR="00031BBF"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二、收入决算情况说明</w:t>
      </w:r>
    </w:p>
    <w:p w14:paraId="28FE7959"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2022年度本年收入577.15万元，其中：财政拨款收入577.15万元，占100.00%；上级补助收入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万元，占0.00%；事业收入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万元，占0.00%；经营收入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万元，占0.00%；附属单位上缴收入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万元，占0.00%；其他收入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w:t>
      </w:r>
    </w:p>
    <w:p w14:paraId="45821CEE" w14:textId="77777777" w:rsidR="00031BBF"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三、支出决算情况说明</w:t>
      </w:r>
    </w:p>
    <w:p w14:paraId="2B9CA8E2"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2022年度本年支出557.57万元，其中：基本支出557.57万元，占100.00%；项目支出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万元，占0.00%；上缴上级支出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万元，占0.00%；经营支出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万元，占0.00%；对附属单位补助支出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w:t>
      </w:r>
    </w:p>
    <w:p w14:paraId="3407B873" w14:textId="77777777" w:rsidR="00031BBF"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四、财政拨款收入支出决算总体情况说明</w:t>
      </w:r>
    </w:p>
    <w:p w14:paraId="273BDF28" w14:textId="77777777" w:rsidR="00031BBF"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593.56万元，</w:t>
      </w:r>
      <w:r>
        <w:rPr>
          <w:rFonts w:ascii="仿宋_GB2312" w:eastAsia="仿宋_GB2312" w:hAnsi="Times New Roman" w:cs="仿宋_GB2312"/>
          <w:sz w:val="32"/>
          <w:szCs w:val="32"/>
        </w:rPr>
        <w:t>其中：年初财政</w:t>
      </w:r>
      <w:r>
        <w:rPr>
          <w:rFonts w:ascii="仿宋_GB2312" w:eastAsia="仿宋_GB2312" w:hAnsi="Times New Roman" w:cs="仿宋_GB2312"/>
          <w:sz w:val="32"/>
          <w:szCs w:val="32"/>
        </w:rPr>
        <w:lastRenderedPageBreak/>
        <w:t>拨款结转和结余</w:t>
      </w:r>
      <w:r>
        <w:rPr>
          <w:rFonts w:ascii="仿宋_GB2312" w:eastAsia="仿宋_GB2312" w:hAnsi="Times New Roman" w:cs="仿宋_GB2312"/>
          <w:kern w:val="0"/>
          <w:sz w:val="32"/>
          <w:szCs w:val="32"/>
        </w:rPr>
        <w:t>16.41</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577.15</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与上年相比，增加94.16万元，增长18.85%，主要原因是：增加调标工资、基础绩效奖、年度考核奖、1人丧葬费抚恤金。</w:t>
      </w:r>
    </w:p>
    <w:p w14:paraId="3EECD108"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593.56万元，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kern w:val="0"/>
          <w:sz w:val="32"/>
          <w:szCs w:val="32"/>
        </w:rPr>
        <w:t>35.99</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557.57</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与上年相比，增加94.16万元，增长18.85%，主要原因是：增加调标工资、基础绩效奖、年度考核奖、1人丧葬费抚恤金。</w:t>
      </w:r>
    </w:p>
    <w:p w14:paraId="1E1BEF08"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年初预算数481.59万元，决算数593.56万元，预决算差异率23.25%，主要原因是：增加</w:t>
      </w:r>
      <w:r>
        <w:rPr>
          <w:rFonts w:ascii="仿宋_GB2312" w:eastAsia="仿宋_GB2312" w:hAnsi="Times New Roman"/>
          <w:kern w:val="0"/>
          <w:sz w:val="32"/>
          <w:szCs w:val="24"/>
        </w:rPr>
        <w:t>调标工资、基础绩效奖、年度考核奖、1人丧葬费抚恤金</w:t>
      </w: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年初预算数481.59万元，决算数593.56万元，预决算差异率23.25%，主要原因是：增加</w:t>
      </w:r>
      <w:r>
        <w:rPr>
          <w:rFonts w:ascii="仿宋_GB2312" w:eastAsia="仿宋_GB2312" w:hAnsi="Times New Roman"/>
          <w:kern w:val="0"/>
          <w:sz w:val="32"/>
          <w:szCs w:val="24"/>
        </w:rPr>
        <w:t>调标工资、基础绩效奖、年度考核奖、1人丧葬费抚恤金</w:t>
      </w:r>
      <w:r>
        <w:rPr>
          <w:rFonts w:ascii="仿宋_GB2312" w:eastAsia="仿宋_GB2312" w:hAnsi="Times New Roman" w:cs="仿宋_GB2312"/>
          <w:kern w:val="0"/>
          <w:sz w:val="32"/>
          <w:szCs w:val="32"/>
        </w:rPr>
        <w:t>。</w:t>
      </w:r>
    </w:p>
    <w:p w14:paraId="30ADD88E" w14:textId="77777777" w:rsidR="00031BBF"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五、一般公共预算财政拨款支出决算情况说明</w:t>
      </w:r>
    </w:p>
    <w:p w14:paraId="1859807A" w14:textId="77777777" w:rsidR="00031BBF" w:rsidRDefault="00000000">
      <w:pPr>
        <w:autoSpaceDE w:val="0"/>
        <w:autoSpaceDN w:val="0"/>
        <w:adjustRightInd w:val="0"/>
        <w:ind w:firstLine="640"/>
        <w:outlineLvl w:val="2"/>
        <w:rPr>
          <w:rFonts w:ascii="Times New Roman" w:eastAsia="黑体" w:hAnsi="Times New Roman" w:hint="default"/>
          <w:sz w:val="32"/>
          <w:szCs w:val="32"/>
        </w:rPr>
      </w:pPr>
      <w:r>
        <w:rPr>
          <w:rFonts w:ascii="黑体" w:eastAsia="黑体" w:hAnsi="Times New Roman" w:cs="黑体"/>
          <w:sz w:val="32"/>
          <w:szCs w:val="32"/>
        </w:rPr>
        <w:t>（一）一般公共预算财政拨款支出决算总体情况</w:t>
      </w:r>
    </w:p>
    <w:p w14:paraId="3CA28756" w14:textId="77777777" w:rsidR="00031BBF"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557.57</w:t>
      </w:r>
      <w:r>
        <w:rPr>
          <w:rFonts w:ascii="仿宋_GB2312" w:eastAsia="仿宋_GB2312" w:hAnsi="Times New Roman" w:cs="仿宋_GB2312"/>
          <w:sz w:val="32"/>
          <w:szCs w:val="32"/>
        </w:rPr>
        <w:t>万元，占本年支出合计的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增加74.59万元，增长15.44%，主要原因是：增加调标工资、基础绩效奖、年度考核奖、1人丧葬费抚恤金。</w:t>
      </w:r>
    </w:p>
    <w:p w14:paraId="422EBEDD" w14:textId="77777777" w:rsidR="00031BBF" w:rsidRDefault="00000000">
      <w:pPr>
        <w:autoSpaceDE w:val="0"/>
        <w:autoSpaceDN w:val="0"/>
        <w:adjustRightInd w:val="0"/>
        <w:ind w:firstLine="640"/>
        <w:outlineLvl w:val="2"/>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14:paraId="165D0F36" w14:textId="77777777" w:rsidR="00031BBF" w:rsidRDefault="00000000">
      <w:pPr>
        <w:autoSpaceDE w:val="0"/>
        <w:autoSpaceDN w:val="0"/>
        <w:adjustRightInd w:val="0"/>
        <w:spacing w:line="600" w:lineRule="exact"/>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sz w:val="32"/>
          <w:szCs w:val="32"/>
        </w:rPr>
        <w:lastRenderedPageBreak/>
        <w:t>1.教育支出（类）557.57万元，占100.00%。</w:t>
      </w:r>
    </w:p>
    <w:p w14:paraId="0B1D45D0" w14:textId="77777777" w:rsidR="00031BBF" w:rsidRDefault="00000000">
      <w:pPr>
        <w:autoSpaceDE w:val="0"/>
        <w:autoSpaceDN w:val="0"/>
        <w:adjustRightInd w:val="0"/>
        <w:ind w:firstLine="640"/>
        <w:outlineLvl w:val="2"/>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14:paraId="7D0C0311" w14:textId="77777777" w:rsidR="00031BBF"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1.教育支出（类）教育管理事务（款）机关服务（项）:支出决算数为557.57万元，比上年决算增加115.07万元，增长26.00%，主要原因是：增加</w:t>
      </w:r>
      <w:r>
        <w:rPr>
          <w:rFonts w:ascii="仿宋_GB2312" w:eastAsia="仿宋_GB2312" w:hAnsi="Times New Roman"/>
          <w:kern w:val="0"/>
          <w:sz w:val="32"/>
          <w:szCs w:val="24"/>
        </w:rPr>
        <w:t>调标工资、基础绩效奖、年度考核奖、1人丧葬费抚恤金</w:t>
      </w:r>
      <w:r>
        <w:rPr>
          <w:rFonts w:ascii="仿宋_GB2312" w:eastAsia="仿宋_GB2312" w:hAnsi="Times New Roman" w:cs="仿宋_GB2312"/>
          <w:sz w:val="32"/>
          <w:szCs w:val="32"/>
        </w:rPr>
        <w:t>；</w:t>
      </w:r>
    </w:p>
    <w:p w14:paraId="50DEA075" w14:textId="77777777" w:rsidR="00031BBF"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2.社会保障和就业支出（类）行政事业单位养老支出（款）机关事业单位基本养老保险缴费支出（项）:支出决算数为</w:t>
      </w:r>
      <w:r>
        <w:rPr>
          <w:rFonts w:ascii="仿宋_GB2312" w:eastAsia="仿宋_GB2312" w:hAnsi="Times New Roman" w:cs="仿宋_GB2312" w:hint="default"/>
          <w:sz w:val="32"/>
          <w:szCs w:val="32"/>
        </w:rPr>
        <w:t>0.00</w:t>
      </w:r>
      <w:r>
        <w:rPr>
          <w:rFonts w:ascii="仿宋_GB2312" w:eastAsia="仿宋_GB2312" w:hAnsi="Times New Roman" w:cs="仿宋_GB2312"/>
          <w:sz w:val="32"/>
          <w:szCs w:val="32"/>
        </w:rPr>
        <w:t>万元，比上年决算减少40.48万元，下降100.00%，主要原因是：</w:t>
      </w:r>
      <w:r>
        <w:rPr>
          <w:rFonts w:ascii="仿宋_GB2312" w:eastAsia="仿宋_GB2312" w:hAnsi="Times New Roman"/>
          <w:sz w:val="32"/>
          <w:szCs w:val="24"/>
        </w:rPr>
        <w:t>2022年社会保障和就业支出（类）行政事业单位养老支出（款）机关事业单位基本养老保险缴费支出（项）按财政工作安排全部调整为2050103款教育管理事务（款）机关服务（项）</w:t>
      </w:r>
      <w:r>
        <w:rPr>
          <w:rFonts w:ascii="仿宋_GB2312" w:eastAsia="仿宋_GB2312" w:hAnsi="Times New Roman" w:cs="仿宋_GB2312"/>
          <w:sz w:val="32"/>
          <w:szCs w:val="32"/>
        </w:rPr>
        <w:t>。</w:t>
      </w:r>
    </w:p>
    <w:p w14:paraId="07BE76F5" w14:textId="77777777" w:rsidR="00031BBF"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14:paraId="30E64F4D"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2022年度一般公共预算财政拨款基本支出557.57万元，其中：</w:t>
      </w:r>
    </w:p>
    <w:p w14:paraId="0E7CFC97"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人员经费556.82万元，包括：基本工资、津贴补贴、奖金、绩效工资、机关事业单位基本养老保险缴费、职工基本医疗保险缴费、公务员医疗补助缴费、其他社会保障缴费、住房公积金、抚恤金、生活补助、奖励金。</w:t>
      </w:r>
    </w:p>
    <w:p w14:paraId="6BF2E87F" w14:textId="77777777" w:rsidR="00031BBF"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公用经费0.75万元，包括：办公费、邮电费。</w:t>
      </w:r>
    </w:p>
    <w:p w14:paraId="60CE4074" w14:textId="77777777" w:rsidR="00031BBF"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14:paraId="638B86C4"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万元，比上年增加</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万元，增长0.00%，主要原因是：</w:t>
      </w:r>
      <w:r>
        <w:rPr>
          <w:rFonts w:ascii="仿宋_GB2312" w:eastAsia="仿宋_GB2312" w:hAnsi="Times New Roman"/>
          <w:kern w:val="0"/>
          <w:sz w:val="32"/>
          <w:szCs w:val="24"/>
        </w:rPr>
        <w:t>本年单位无此项支出</w:t>
      </w:r>
      <w:r>
        <w:rPr>
          <w:rFonts w:ascii="仿宋_GB2312" w:eastAsia="仿宋_GB2312" w:hAnsi="Times New Roman" w:cs="仿宋_GB2312"/>
          <w:kern w:val="0"/>
          <w:sz w:val="32"/>
          <w:szCs w:val="32"/>
        </w:rPr>
        <w:t>。其中：因公出国（境）费支出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万元，占0.00%，比上年增加</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万元，增长0.00%，主要原因是：本年单位无因公出国（境）费支出；公务用车购置及运行维护费支出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万元，占0.00%，比上年增加</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万元，增长0.00%，主要原因是：</w:t>
      </w:r>
      <w:r>
        <w:rPr>
          <w:rFonts w:ascii="仿宋_GB2312" w:eastAsia="仿宋_GB2312" w:hAnsi="Times New Roman"/>
          <w:kern w:val="0"/>
          <w:sz w:val="32"/>
          <w:szCs w:val="24"/>
        </w:rPr>
        <w:t>本年单位无此项支出</w:t>
      </w:r>
      <w:r>
        <w:rPr>
          <w:rFonts w:ascii="仿宋_GB2312" w:eastAsia="仿宋_GB2312" w:hAnsi="Times New Roman" w:cs="仿宋_GB2312"/>
          <w:kern w:val="0"/>
          <w:sz w:val="32"/>
          <w:szCs w:val="32"/>
        </w:rPr>
        <w:t>；公务接待费支出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万元，占0.00%，比上年增加</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万元，增长0.00%，主要原因是：</w:t>
      </w:r>
      <w:r>
        <w:rPr>
          <w:rFonts w:ascii="仿宋_GB2312" w:eastAsia="仿宋_GB2312" w:hAnsi="Times New Roman"/>
          <w:kern w:val="0"/>
          <w:sz w:val="32"/>
          <w:szCs w:val="24"/>
        </w:rPr>
        <w:t>本年单位无此项支出</w:t>
      </w:r>
      <w:r>
        <w:rPr>
          <w:rFonts w:ascii="仿宋_GB2312" w:eastAsia="仿宋_GB2312" w:hAnsi="Times New Roman" w:cs="仿宋_GB2312"/>
          <w:kern w:val="0"/>
          <w:sz w:val="32"/>
          <w:szCs w:val="32"/>
        </w:rPr>
        <w:t>。具体情况如下：</w:t>
      </w:r>
    </w:p>
    <w:p w14:paraId="7ABE0B3B"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因公出国（境）费支出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万元，开支内容包括</w:t>
      </w:r>
      <w:r>
        <w:rPr>
          <w:rFonts w:ascii="仿宋_GB2312" w:eastAsia="仿宋_GB2312" w:hAnsi="Times New Roman"/>
          <w:kern w:val="0"/>
          <w:sz w:val="32"/>
          <w:szCs w:val="24"/>
        </w:rPr>
        <w:t>本年单位无此项支出</w:t>
      </w:r>
      <w:r>
        <w:rPr>
          <w:rFonts w:ascii="仿宋_GB2312" w:eastAsia="仿宋_GB2312" w:hAnsi="Times New Roman" w:cs="仿宋_GB2312"/>
          <w:kern w:val="0"/>
          <w:sz w:val="32"/>
          <w:szCs w:val="32"/>
        </w:rPr>
        <w:t>。单位全年安排的因公出国（境）团组</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个，因公出国（境）</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人次。</w:t>
      </w:r>
    </w:p>
    <w:p w14:paraId="67C1C434"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万元，其中：公务用车购置费</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万元，公务用车运行维护费</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万元。公务用车运行维护费开支内容包括</w:t>
      </w:r>
      <w:r>
        <w:rPr>
          <w:rFonts w:ascii="仿宋_GB2312" w:eastAsia="仿宋_GB2312" w:hAnsi="Times New Roman"/>
          <w:kern w:val="0"/>
          <w:sz w:val="32"/>
          <w:szCs w:val="24"/>
        </w:rPr>
        <w:t>本年单位无此项支出</w:t>
      </w:r>
      <w:r>
        <w:rPr>
          <w:rFonts w:ascii="仿宋_GB2312" w:eastAsia="仿宋_GB2312" w:hAnsi="Times New Roman" w:cs="仿宋_GB2312"/>
          <w:kern w:val="0"/>
          <w:sz w:val="32"/>
          <w:szCs w:val="32"/>
        </w:rPr>
        <w:t>。公务用车购置数</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辆，公务用车保有量</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w:t>
      </w:r>
    </w:p>
    <w:p w14:paraId="0F90DCC7"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公务接待费</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万元，开支内容包括</w:t>
      </w:r>
      <w:r>
        <w:rPr>
          <w:rFonts w:ascii="仿宋_GB2312" w:eastAsia="仿宋_GB2312" w:hAnsi="Times New Roman"/>
          <w:kern w:val="0"/>
          <w:sz w:val="32"/>
          <w:szCs w:val="24"/>
        </w:rPr>
        <w:t>本年单位无此项支出</w:t>
      </w:r>
      <w:r>
        <w:rPr>
          <w:rFonts w:ascii="仿宋_GB2312" w:eastAsia="仿宋_GB2312" w:hAnsi="Times New Roman" w:cs="仿宋_GB2312"/>
          <w:kern w:val="0"/>
          <w:sz w:val="32"/>
          <w:szCs w:val="32"/>
        </w:rPr>
        <w:t>。单位全年安排的国内公务接待</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批次，</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人次。</w:t>
      </w:r>
    </w:p>
    <w:p w14:paraId="4372889F"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万元，决算数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万元，预决算差异率0.00%，主要原因是：</w:t>
      </w:r>
      <w:r>
        <w:rPr>
          <w:rFonts w:ascii="仿宋_GB2312" w:eastAsia="仿宋_GB2312" w:hAnsi="Times New Roman"/>
          <w:kern w:val="0"/>
          <w:sz w:val="32"/>
          <w:szCs w:val="24"/>
        </w:rPr>
        <w:t>本年单位无此项支出</w:t>
      </w:r>
      <w:r>
        <w:rPr>
          <w:rFonts w:ascii="仿宋_GB2312" w:eastAsia="仿宋_GB2312" w:hAnsi="Times New Roman" w:cs="仿宋_GB2312"/>
          <w:kern w:val="0"/>
          <w:sz w:val="32"/>
          <w:szCs w:val="32"/>
        </w:rPr>
        <w:t>。其中：因公出国（境）费全年预算数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lastRenderedPageBreak/>
        <w:t>万元，决算数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万元，预决算差异率0.00%，主要原因是：</w:t>
      </w:r>
      <w:r>
        <w:rPr>
          <w:rFonts w:ascii="仿宋_GB2312" w:eastAsia="仿宋_GB2312" w:hAnsi="Times New Roman"/>
          <w:kern w:val="0"/>
          <w:sz w:val="32"/>
          <w:szCs w:val="24"/>
        </w:rPr>
        <w:t>本年单位无此项支出</w:t>
      </w:r>
      <w:r>
        <w:rPr>
          <w:rFonts w:ascii="仿宋_GB2312" w:eastAsia="仿宋_GB2312" w:hAnsi="Times New Roman" w:cs="仿宋_GB2312"/>
          <w:kern w:val="0"/>
          <w:sz w:val="32"/>
          <w:szCs w:val="32"/>
        </w:rPr>
        <w:t>；公务用车购置费全年预算数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万元，决算数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万元，预决算差异率0.00%，主要原因是：</w:t>
      </w:r>
      <w:r>
        <w:rPr>
          <w:rFonts w:ascii="仿宋_GB2312" w:eastAsia="仿宋_GB2312" w:hAnsi="Times New Roman"/>
          <w:kern w:val="0"/>
          <w:sz w:val="32"/>
          <w:szCs w:val="24"/>
        </w:rPr>
        <w:t>本年单位无此项支出</w:t>
      </w:r>
      <w:r>
        <w:rPr>
          <w:rFonts w:ascii="仿宋_GB2312" w:eastAsia="仿宋_GB2312" w:hAnsi="Times New Roman" w:cs="仿宋_GB2312"/>
          <w:kern w:val="0"/>
          <w:sz w:val="32"/>
          <w:szCs w:val="32"/>
        </w:rPr>
        <w:t>；公务用车运行费全年预算数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万元，决算数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万元，预决算差异率0.00%，主要原因是：</w:t>
      </w:r>
      <w:r>
        <w:rPr>
          <w:rFonts w:ascii="仿宋_GB2312" w:eastAsia="仿宋_GB2312" w:hAnsi="Times New Roman"/>
          <w:kern w:val="0"/>
          <w:sz w:val="32"/>
          <w:szCs w:val="24"/>
        </w:rPr>
        <w:t>本年单位无此项支出</w:t>
      </w:r>
      <w:r>
        <w:rPr>
          <w:rFonts w:ascii="仿宋_GB2312" w:eastAsia="仿宋_GB2312" w:hAnsi="Times New Roman" w:cs="仿宋_GB2312"/>
          <w:kern w:val="0"/>
          <w:sz w:val="32"/>
          <w:szCs w:val="32"/>
        </w:rPr>
        <w:t>；公务接待费全年预算数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万元，决算数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万元，预决算差异率0.00%，主要原因是：</w:t>
      </w:r>
      <w:r>
        <w:rPr>
          <w:rFonts w:ascii="仿宋_GB2312" w:eastAsia="仿宋_GB2312" w:hAnsi="Times New Roman"/>
          <w:kern w:val="0"/>
          <w:sz w:val="32"/>
          <w:szCs w:val="24"/>
        </w:rPr>
        <w:t>本年单位无此项支出</w:t>
      </w:r>
      <w:r>
        <w:rPr>
          <w:rFonts w:ascii="仿宋_GB2312" w:eastAsia="仿宋_GB2312" w:hAnsi="Times New Roman" w:cs="仿宋_GB2312"/>
          <w:kern w:val="0"/>
          <w:sz w:val="32"/>
          <w:szCs w:val="32"/>
        </w:rPr>
        <w:t>。</w:t>
      </w:r>
    </w:p>
    <w:p w14:paraId="1BF01CCC" w14:textId="77777777" w:rsidR="00031BBF"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14:paraId="658D7A33" w14:textId="77777777" w:rsidR="00031BBF"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highlight w:val="yellow"/>
        </w:rPr>
      </w:pPr>
      <w:r>
        <w:rPr>
          <w:rFonts w:ascii="仿宋_GB2312" w:eastAsia="仿宋_GB2312" w:hAnsi="Times New Roman" w:cs="仿宋_GB2312"/>
          <w:kern w:val="0"/>
          <w:sz w:val="32"/>
          <w:szCs w:val="32"/>
        </w:rPr>
        <w:t>我单位本年度无政府性基金预算财政拨款收入、支出及结转和结余，政府性基金预算财政拨款收入支出决算表为空表。</w:t>
      </w:r>
    </w:p>
    <w:p w14:paraId="7F95EA4A" w14:textId="77777777" w:rsidR="00031BBF"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14:paraId="354A0B13"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14:paraId="7497AAD8" w14:textId="77777777" w:rsidR="00031BBF"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14:paraId="79822397" w14:textId="77777777" w:rsidR="00031BBF" w:rsidRDefault="00000000">
      <w:pPr>
        <w:autoSpaceDE w:val="0"/>
        <w:autoSpaceDN w:val="0"/>
        <w:adjustRightInd w:val="0"/>
        <w:spacing w:line="360" w:lineRule="auto"/>
        <w:ind w:firstLine="640"/>
        <w:outlineLvl w:val="2"/>
        <w:rPr>
          <w:rFonts w:ascii="Times New Roman" w:eastAsia="黑体" w:hAnsi="Times New Roman" w:hint="default"/>
          <w:sz w:val="32"/>
          <w:szCs w:val="32"/>
          <w:lang w:val="zh-CN"/>
        </w:rPr>
      </w:pPr>
      <w:r>
        <w:rPr>
          <w:rFonts w:ascii="黑体" w:eastAsia="黑体" w:hAnsi="Times New Roman" w:cs="黑体"/>
          <w:sz w:val="32"/>
          <w:szCs w:val="32"/>
          <w:lang w:val="zh-CN"/>
        </w:rPr>
        <w:t xml:space="preserve">（一）机关运行经费支出情况 </w:t>
      </w:r>
    </w:p>
    <w:p w14:paraId="109C5344" w14:textId="77777777" w:rsidR="00031BBF" w:rsidRDefault="00000000">
      <w:pPr>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2022年度乌鲁木齐市米东区教育研究室单位公用经费0.75万元，比上年减少24.18万元，下降96.99%，主要原因是：本年临聘人员减少，办公费及邮电费支出较上年减少。</w:t>
      </w:r>
    </w:p>
    <w:p w14:paraId="58331179" w14:textId="77777777" w:rsidR="00031BBF" w:rsidRDefault="00000000">
      <w:pPr>
        <w:autoSpaceDE w:val="0"/>
        <w:autoSpaceDN w:val="0"/>
        <w:adjustRightInd w:val="0"/>
        <w:spacing w:line="360" w:lineRule="auto"/>
        <w:ind w:firstLine="640"/>
        <w:outlineLvl w:val="2"/>
        <w:rPr>
          <w:rFonts w:ascii="Times New Roman" w:eastAsia="黑体"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14:paraId="3A322A85"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2022年度政府采购支出总额</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万元，其中：政府采购货</w:t>
      </w:r>
      <w:r>
        <w:rPr>
          <w:rFonts w:ascii="仿宋_GB2312" w:eastAsia="仿宋_GB2312" w:hAnsi="Times New Roman" w:cs="仿宋_GB2312"/>
          <w:kern w:val="0"/>
          <w:sz w:val="32"/>
          <w:szCs w:val="32"/>
        </w:rPr>
        <w:lastRenderedPageBreak/>
        <w:t>物支出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万元、政府采购工程支出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万元、政府采购服务支出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w:t>
      </w:r>
    </w:p>
    <w:p w14:paraId="319608CF"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授予中小企业合同金额</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万元，占政府采购支出总额的0.00%，其中：授予小</w:t>
      </w:r>
      <w:proofErr w:type="gramStart"/>
      <w:r>
        <w:rPr>
          <w:rFonts w:ascii="仿宋_GB2312" w:eastAsia="仿宋_GB2312" w:hAnsi="Times New Roman" w:cs="仿宋_GB2312"/>
          <w:kern w:val="0"/>
          <w:sz w:val="32"/>
          <w:szCs w:val="32"/>
        </w:rPr>
        <w:t>微企业</w:t>
      </w:r>
      <w:proofErr w:type="gramEnd"/>
      <w:r>
        <w:rPr>
          <w:rFonts w:ascii="仿宋_GB2312" w:eastAsia="仿宋_GB2312" w:hAnsi="Times New Roman" w:cs="仿宋_GB2312"/>
          <w:kern w:val="0"/>
          <w:sz w:val="32"/>
          <w:szCs w:val="32"/>
        </w:rPr>
        <w:t>合同金额</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万元，占政府采购支出总额的0.00%。</w:t>
      </w:r>
    </w:p>
    <w:p w14:paraId="63DCB487" w14:textId="77777777" w:rsidR="00031BBF" w:rsidRDefault="00000000">
      <w:pPr>
        <w:autoSpaceDE w:val="0"/>
        <w:autoSpaceDN w:val="0"/>
        <w:adjustRightInd w:val="0"/>
        <w:spacing w:line="360" w:lineRule="auto"/>
        <w:ind w:firstLine="640"/>
        <w:outlineLvl w:val="2"/>
        <w:rPr>
          <w:rFonts w:ascii="Times New Roman" w:eastAsia="黑体" w:hAnsi="Times New Roman" w:hint="default"/>
          <w:sz w:val="32"/>
          <w:szCs w:val="32"/>
          <w:lang w:val="zh-CN"/>
        </w:rPr>
      </w:pPr>
      <w:r>
        <w:rPr>
          <w:rFonts w:ascii="黑体" w:eastAsia="黑体" w:hAnsi="Times New Roman" w:cs="黑体"/>
          <w:sz w:val="32"/>
          <w:szCs w:val="32"/>
          <w:lang w:val="zh-CN"/>
        </w:rPr>
        <w:t>（三）国有资产占用情况说明</w:t>
      </w:r>
    </w:p>
    <w:p w14:paraId="25069C40"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41.58</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平方米，价值</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万元。车辆</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辆，价值</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万元，其中：副部（省）级及以上领导用车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辆、主要领导干部用车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辆、机要通信用车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辆、应急保障用车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辆、执法执勤用车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辆、特种专业技术用车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辆、离退休干部用车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辆、其他用车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辆，其他用车主要是：</w:t>
      </w:r>
      <w:r>
        <w:rPr>
          <w:rFonts w:ascii="仿宋_GB2312" w:eastAsia="仿宋_GB2312" w:hAnsi="Times New Roman"/>
          <w:kern w:val="0"/>
          <w:sz w:val="32"/>
          <w:szCs w:val="24"/>
        </w:rPr>
        <w:t>本单位无其他用车</w:t>
      </w:r>
      <w:r>
        <w:rPr>
          <w:rFonts w:ascii="仿宋_GB2312" w:eastAsia="仿宋_GB2312" w:hAnsi="Times New Roman" w:cs="仿宋_GB2312"/>
          <w:kern w:val="0"/>
          <w:sz w:val="32"/>
          <w:szCs w:val="32"/>
        </w:rPr>
        <w:t>；单价100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台（套）。</w:t>
      </w:r>
    </w:p>
    <w:p w14:paraId="09A50ABC" w14:textId="77777777" w:rsidR="00031BBF"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14:paraId="1B998CB7" w14:textId="5242E451" w:rsidR="00031BBF"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根据预算绩效管理要求，我单位2022年度开展预算绩效评价项目</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个，全年预算数</w:t>
      </w:r>
      <w:r w:rsidR="00A33F7E">
        <w:rPr>
          <w:rFonts w:ascii="仿宋_GB2312" w:eastAsia="仿宋_GB2312" w:hAnsi="Times New Roman" w:cs="仿宋_GB2312"/>
          <w:kern w:val="0"/>
          <w:sz w:val="32"/>
          <w:szCs w:val="32"/>
        </w:rPr>
        <w:t>0.00</w:t>
      </w:r>
      <w:r>
        <w:rPr>
          <w:rFonts w:ascii="仿宋_GB2312" w:eastAsia="仿宋_GB2312" w:hAnsi="Times New Roman" w:cs="仿宋_GB2312"/>
          <w:kern w:val="0"/>
          <w:sz w:val="32"/>
          <w:szCs w:val="32"/>
        </w:rPr>
        <w:t>万元，全年执行数</w:t>
      </w:r>
      <w:r w:rsidR="00A33F7E">
        <w:rPr>
          <w:rFonts w:ascii="仿宋_GB2312" w:eastAsia="仿宋_GB2312" w:hAnsi="Times New Roman" w:cs="仿宋_GB2312"/>
          <w:kern w:val="0"/>
          <w:sz w:val="32"/>
          <w:szCs w:val="32"/>
        </w:rPr>
        <w:t>0.00</w:t>
      </w:r>
      <w:r>
        <w:rPr>
          <w:rFonts w:ascii="仿宋_GB2312" w:eastAsia="仿宋_GB2312" w:hAnsi="Times New Roman" w:cs="仿宋_GB2312"/>
          <w:kern w:val="0"/>
          <w:sz w:val="32"/>
          <w:szCs w:val="32"/>
        </w:rPr>
        <w:t>万元。预算绩效管理取得的成效：我单位无预算绩效管理的项目。发现的问题及原因：我单位无预算绩效管理的项目。下一步改进措施：我单位无预算绩效管理的项目。</w:t>
      </w:r>
    </w:p>
    <w:p w14:paraId="6CB807B8" w14:textId="77777777" w:rsidR="00031BBF" w:rsidRDefault="00000000">
      <w:pPr>
        <w:shd w:val="clear" w:color="auto" w:fill="FFFFFF"/>
        <w:autoSpaceDE w:val="0"/>
        <w:autoSpaceDN w:val="0"/>
        <w:adjustRightInd w:val="0"/>
        <w:spacing w:before="100" w:after="240"/>
        <w:jc w:val="center"/>
        <w:outlineLvl w:val="0"/>
        <w:rPr>
          <w:rFonts w:ascii="Times New Roman" w:eastAsia="黑体" w:hAnsi="Times New Roman" w:hint="default"/>
          <w:b/>
          <w:kern w:val="0"/>
          <w:sz w:val="28"/>
          <w:szCs w:val="28"/>
        </w:rPr>
      </w:pPr>
      <w:r>
        <w:rPr>
          <w:rFonts w:ascii="黑体" w:eastAsia="黑体" w:hAnsi="Times New Roman" w:cs="黑体"/>
          <w:kern w:val="0"/>
          <w:sz w:val="32"/>
          <w:szCs w:val="32"/>
        </w:rPr>
        <w:t>第三部分 专业名词解释</w:t>
      </w:r>
    </w:p>
    <w:p w14:paraId="6B0D035F"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财政拨款收入：指同级财政当年拨付的资金。</w:t>
      </w:r>
    </w:p>
    <w:p w14:paraId="6D473225"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14:paraId="5F5B9F2A"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事业收入：指事业单位开展专业业务活动及其辅助活动所取得的收入。</w:t>
      </w:r>
    </w:p>
    <w:p w14:paraId="58F5F37C"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14:paraId="6E8AC518"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14:paraId="5CB81CE2"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14:paraId="1E38EAFC"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089B9A12"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547253D1"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基本支出：指为保障机构正常运转、完成日常工作任务而发生的人员支出和公用支出。</w:t>
      </w:r>
    </w:p>
    <w:p w14:paraId="41066A5E"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项目支出：指在基本支出之外为完成特定行政任务和事业发展目标所发生的支出。</w:t>
      </w:r>
    </w:p>
    <w:p w14:paraId="2E2B7224"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14:paraId="53C68853" w14:textId="77777777" w:rsidR="00031BB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14:paraId="0268A94E" w14:textId="77777777" w:rsidR="00031BBF"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单位公务出国（境）的国际旅费、国外城市间交通费、住宿费、伙食费、培训费、公杂费等支出；公务用车购置</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公务用车购置支出（</w:t>
      </w:r>
      <w:proofErr w:type="gramStart"/>
      <w:r>
        <w:rPr>
          <w:rFonts w:ascii="仿宋_GB2312" w:eastAsia="仿宋_GB2312" w:hAnsi="Times New Roman" w:cs="仿宋_GB2312"/>
          <w:sz w:val="32"/>
          <w:szCs w:val="32"/>
        </w:rPr>
        <w:t>含车辆</w:t>
      </w:r>
      <w:proofErr w:type="gramEnd"/>
      <w:r>
        <w:rPr>
          <w:rFonts w:ascii="仿宋_GB2312" w:eastAsia="仿宋_GB2312" w:hAnsi="Times New Roman" w:cs="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单位按规定开支的各类公务接待（含外宾接待）费用。</w:t>
      </w:r>
    </w:p>
    <w:p w14:paraId="0433BDF3" w14:textId="77777777" w:rsidR="00031BBF"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仿宋_GB2312" w:eastAsia="仿宋_GB2312" w:hAnsi="Times New Roman" w:cs="仿宋_GB2312"/>
          <w:sz w:val="32"/>
          <w:szCs w:val="32"/>
        </w:rPr>
        <w:t>机关运行经费：行政单位和参照公务员法管理的事业单位财政拨款基本支出中的公用经费支出。</w:t>
      </w:r>
    </w:p>
    <w:p w14:paraId="500AD7FD" w14:textId="77777777" w:rsidR="00031BBF" w:rsidRDefault="00031BBF">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p>
    <w:p w14:paraId="4B0CE509" w14:textId="77777777" w:rsidR="00031BBF" w:rsidRDefault="00031BBF">
      <w:pPr>
        <w:shd w:val="clear" w:color="auto" w:fill="FFFFFF"/>
        <w:autoSpaceDE w:val="0"/>
        <w:autoSpaceDN w:val="0"/>
        <w:adjustRightInd w:val="0"/>
        <w:spacing w:before="100" w:line="520" w:lineRule="exact"/>
        <w:rPr>
          <w:rFonts w:ascii="Times New Roman" w:eastAsia="仿宋_GB2312" w:hAnsi="Times New Roman" w:hint="default"/>
          <w:kern w:val="0"/>
          <w:sz w:val="24"/>
          <w:szCs w:val="24"/>
        </w:rPr>
      </w:pPr>
    </w:p>
    <w:p w14:paraId="48BB568C" w14:textId="77777777" w:rsidR="00031BBF" w:rsidRDefault="00000000">
      <w:pPr>
        <w:shd w:val="clear" w:color="auto" w:fill="FFFFFF"/>
        <w:autoSpaceDE w:val="0"/>
        <w:autoSpaceDN w:val="0"/>
        <w:adjustRightInd w:val="0"/>
        <w:spacing w:before="100" w:after="240"/>
        <w:jc w:val="center"/>
        <w:outlineLvl w:val="0"/>
        <w:rPr>
          <w:rFonts w:ascii="Times New Roman" w:eastAsia="黑体" w:hAnsi="Times New Roman" w:hint="default"/>
          <w:kern w:val="0"/>
          <w:sz w:val="32"/>
          <w:szCs w:val="32"/>
        </w:rPr>
      </w:pPr>
      <w:r>
        <w:rPr>
          <w:rFonts w:ascii="黑体" w:eastAsia="黑体" w:hAnsi="Times New Roman" w:cs="黑体"/>
          <w:kern w:val="0"/>
          <w:sz w:val="32"/>
          <w:szCs w:val="32"/>
        </w:rPr>
        <w:t>第四部分 部门决算报表（见附表）</w:t>
      </w:r>
    </w:p>
    <w:p w14:paraId="55F40F40" w14:textId="77777777" w:rsidR="00031BBF"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一、《收入支出决算总表》</w:t>
      </w:r>
    </w:p>
    <w:p w14:paraId="0EF9F4A7" w14:textId="77777777" w:rsidR="00031BBF"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lastRenderedPageBreak/>
        <w:t>二、《收入决算表》</w:t>
      </w:r>
    </w:p>
    <w:p w14:paraId="262B5B73" w14:textId="77777777" w:rsidR="00031BBF"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14:paraId="686007C4" w14:textId="77777777" w:rsidR="00031BBF"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四、《财政拨款收入支出决算总表》</w:t>
      </w:r>
    </w:p>
    <w:p w14:paraId="4716E4DC" w14:textId="77777777" w:rsidR="00031BBF"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14:paraId="5456B306" w14:textId="77777777" w:rsidR="00031BBF"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六、《一般公共预算财政拨款基本支出决算表》</w:t>
      </w:r>
    </w:p>
    <w:p w14:paraId="1D1EC4A0" w14:textId="77777777" w:rsidR="00031BBF"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14:paraId="4069E0A1" w14:textId="77777777" w:rsidR="00031BBF"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14:paraId="38DB444D" w14:textId="77777777" w:rsidR="00031BBF"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14:paraId="4ED80035" w14:textId="77777777" w:rsidR="00031BBF" w:rsidRDefault="00031BBF">
      <w:pPr>
        <w:autoSpaceDE w:val="0"/>
        <w:autoSpaceDN w:val="0"/>
        <w:adjustRightInd w:val="0"/>
        <w:jc w:val="left"/>
        <w:rPr>
          <w:rFonts w:ascii="Times New Roman" w:eastAsia="黑体" w:hAnsi="Times New Roman" w:hint="default"/>
          <w:kern w:val="36"/>
          <w:sz w:val="40"/>
          <w:szCs w:val="40"/>
          <w:lang w:val="zh-CN"/>
        </w:rPr>
      </w:pPr>
    </w:p>
    <w:p w14:paraId="4F8CE0F9" w14:textId="77777777" w:rsidR="00031BBF" w:rsidRDefault="00031BBF">
      <w:pPr>
        <w:autoSpaceDE w:val="0"/>
        <w:autoSpaceDN w:val="0"/>
        <w:adjustRightInd w:val="0"/>
        <w:rPr>
          <w:rFonts w:ascii="Times New Roman" w:eastAsia="黑体" w:hAnsi="Times New Roman" w:hint="default"/>
          <w:szCs w:val="21"/>
        </w:rPr>
      </w:pPr>
    </w:p>
    <w:p w14:paraId="6A9F83A0" w14:textId="77777777" w:rsidR="00031BBF" w:rsidRDefault="00031BBF">
      <w:pPr>
        <w:autoSpaceDE w:val="0"/>
        <w:autoSpaceDN w:val="0"/>
        <w:adjustRightInd w:val="0"/>
        <w:jc w:val="left"/>
        <w:rPr>
          <w:rFonts w:ascii="Times New Roman" w:eastAsia="黑体" w:hAnsi="Times New Roman" w:hint="default"/>
          <w:kern w:val="36"/>
          <w:sz w:val="40"/>
          <w:szCs w:val="40"/>
          <w:lang w:val="zh-CN"/>
        </w:rPr>
      </w:pPr>
    </w:p>
    <w:p w14:paraId="048982CC" w14:textId="77777777" w:rsidR="00031BBF" w:rsidRDefault="00031BBF">
      <w:pPr>
        <w:autoSpaceDE w:val="0"/>
        <w:autoSpaceDN w:val="0"/>
        <w:adjustRightInd w:val="0"/>
        <w:rPr>
          <w:rFonts w:ascii="Times New Roman" w:eastAsia="黑体" w:hAnsi="Times New Roman" w:hint="default"/>
          <w:szCs w:val="21"/>
        </w:rPr>
      </w:pPr>
    </w:p>
    <w:p w14:paraId="2A6B6E47" w14:textId="77777777" w:rsidR="00031BBF" w:rsidRDefault="00031BBF">
      <w:pPr>
        <w:autoSpaceDE w:val="0"/>
        <w:autoSpaceDN w:val="0"/>
        <w:adjustRightInd w:val="0"/>
        <w:jc w:val="left"/>
        <w:rPr>
          <w:rFonts w:ascii="Times New Roman" w:eastAsia="黑体" w:hAnsi="Times New Roman" w:hint="default"/>
          <w:kern w:val="36"/>
          <w:sz w:val="40"/>
          <w:szCs w:val="40"/>
          <w:lang w:val="zh-CN"/>
        </w:rPr>
      </w:pPr>
    </w:p>
    <w:sectPr w:rsidR="00031BBF">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4FED2" w14:textId="77777777" w:rsidR="00163DF4" w:rsidRDefault="00163DF4">
      <w:pPr>
        <w:rPr>
          <w:rFonts w:hint="default"/>
        </w:rPr>
      </w:pPr>
      <w:r>
        <w:separator/>
      </w:r>
    </w:p>
  </w:endnote>
  <w:endnote w:type="continuationSeparator" w:id="0">
    <w:p w14:paraId="6F94D622" w14:textId="77777777" w:rsidR="00163DF4" w:rsidRDefault="00163DF4">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98231" w14:textId="77777777" w:rsidR="00163DF4" w:rsidRDefault="00163DF4">
      <w:pPr>
        <w:rPr>
          <w:rFonts w:hint="default"/>
        </w:rPr>
      </w:pPr>
      <w:r>
        <w:separator/>
      </w:r>
    </w:p>
  </w:footnote>
  <w:footnote w:type="continuationSeparator" w:id="0">
    <w:p w14:paraId="4FD02B7A" w14:textId="77777777" w:rsidR="00163DF4" w:rsidRDefault="00163DF4">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VhNGJiMWVmZTg4ZjFhYWZhYWFiMzBkODkwYWRkZmUifQ=="/>
  </w:docVars>
  <w:rsids>
    <w:rsidRoot w:val="00172A27"/>
    <w:rsid w:val="00031BBF"/>
    <w:rsid w:val="00163DF4"/>
    <w:rsid w:val="00172A27"/>
    <w:rsid w:val="00A33F7E"/>
    <w:rsid w:val="00C059DF"/>
    <w:rsid w:val="00F00ECA"/>
    <w:rsid w:val="4FA559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E7018A"/>
  <w15:docId w15:val="{AAB543CD-6C1F-4FBE-BDB4-BD5209EF3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qFormat="1"/>
    <w:lsdException w:name="heading 1" w:semiHidden="1" w:uiPriority="9" w:unhideWhenUsed="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59DF"/>
    <w:pPr>
      <w:tabs>
        <w:tab w:val="center" w:pos="4153"/>
        <w:tab w:val="right" w:pos="8306"/>
      </w:tabs>
      <w:snapToGrid w:val="0"/>
      <w:jc w:val="center"/>
    </w:pPr>
    <w:rPr>
      <w:sz w:val="18"/>
      <w:szCs w:val="18"/>
    </w:rPr>
  </w:style>
  <w:style w:type="character" w:customStyle="1" w:styleId="a4">
    <w:name w:val="页眉 字符"/>
    <w:basedOn w:val="a0"/>
    <w:link w:val="a3"/>
    <w:uiPriority w:val="99"/>
    <w:rsid w:val="00C059DF"/>
    <w:rPr>
      <w:rFonts w:ascii="等线" w:eastAsia="等线" w:hAnsi="等线"/>
      <w:kern w:val="2"/>
      <w:sz w:val="18"/>
      <w:szCs w:val="18"/>
    </w:rPr>
  </w:style>
  <w:style w:type="paragraph" w:styleId="a5">
    <w:name w:val="footer"/>
    <w:basedOn w:val="a"/>
    <w:link w:val="a6"/>
    <w:uiPriority w:val="99"/>
    <w:unhideWhenUsed/>
    <w:rsid w:val="00C059DF"/>
    <w:pPr>
      <w:tabs>
        <w:tab w:val="center" w:pos="4153"/>
        <w:tab w:val="right" w:pos="8306"/>
      </w:tabs>
      <w:snapToGrid w:val="0"/>
      <w:jc w:val="left"/>
    </w:pPr>
    <w:rPr>
      <w:sz w:val="18"/>
      <w:szCs w:val="18"/>
    </w:rPr>
  </w:style>
  <w:style w:type="character" w:customStyle="1" w:styleId="a6">
    <w:name w:val="页脚 字符"/>
    <w:basedOn w:val="a0"/>
    <w:link w:val="a5"/>
    <w:uiPriority w:val="99"/>
    <w:rsid w:val="00C059DF"/>
    <w:rPr>
      <w:rFonts w:ascii="等线" w:eastAsia="等线" w:hAnsi="等线"/>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13</Pages>
  <Words>774</Words>
  <Characters>4417</Characters>
  <Application>Microsoft Office Word</Application>
  <DocSecurity>0</DocSecurity>
  <Lines>36</Lines>
  <Paragraphs>10</Paragraphs>
  <ScaleCrop>false</ScaleCrop>
  <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虹 潘</cp:lastModifiedBy>
  <cp:revision>3</cp:revision>
  <dcterms:created xsi:type="dcterms:W3CDTF">2023-09-01T07:05:00Z</dcterms:created>
  <dcterms:modified xsi:type="dcterms:W3CDTF">2023-09-01T09:35:00Z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9D4A35F4CA8448FF9D0F9D432D04FD32_13</vt:lpwstr>
  </property>
</Properties>
</file>