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eastAsia"/>
          <w:kern w:val="36"/>
          <w:sz w:val="40"/>
          <w:szCs w:val="24"/>
          <w:lang w:val="zh-CN"/>
        </w:rPr>
      </w:pPr>
    </w:p>
    <w:p>
      <w:pPr>
        <w:shd w:val="clear" w:color="auto" w:fill="FFFFFF"/>
        <w:spacing w:before="240" w:after="240"/>
        <w:jc w:val="center"/>
        <w:rPr>
          <w:rFonts w:hint="eastAsia"/>
          <w:kern w:val="36"/>
          <w:sz w:val="40"/>
          <w:szCs w:val="24"/>
          <w:lang w:val="zh-CN"/>
        </w:rPr>
      </w:pPr>
    </w:p>
    <w:p>
      <w:pPr>
        <w:jc w:val="center"/>
        <w:outlineLvl w:val="0"/>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乌鲁木齐市米东区柏杨河卫生院（人口和计划生育生殖健康服务站）</w:t>
      </w:r>
    </w:p>
    <w:p>
      <w:pPr>
        <w:jc w:val="center"/>
        <w:rPr>
          <w:rFonts w:hint="eastAsia"/>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eastAsia"/>
          <w:kern w:val="36"/>
          <w:sz w:val="40"/>
          <w:szCs w:val="24"/>
          <w:lang w:val="zh-CN"/>
        </w:rPr>
      </w:pPr>
    </w:p>
    <w:p>
      <w:pPr>
        <w:spacing w:line="540" w:lineRule="exact"/>
        <w:jc w:val="center"/>
        <w:rPr>
          <w:rFonts w:hint="eastAsia"/>
          <w:b/>
          <w:kern w:val="0"/>
          <w:sz w:val="24"/>
          <w:szCs w:val="24"/>
          <w:lang w:val="en-US"/>
        </w:rPr>
      </w:pPr>
      <w:r>
        <w:rPr>
          <w:rFonts w:hint="eastAsia"/>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outlineLvl w:val="0"/>
        <w:rPr>
          <w:rFonts w:hint="eastAsia"/>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eastAsia"/>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eastAsia"/>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outlineLvl w:val="0"/>
        <w:rPr>
          <w:rFonts w:hint="eastAsia"/>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eastAsia"/>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eastAsia"/>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eastAsia"/>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eastAsia"/>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eastAsia"/>
          <w:sz w:val="32"/>
          <w:szCs w:val="24"/>
          <w:lang w:val="en-US"/>
        </w:rPr>
      </w:pPr>
      <w:r>
        <w:rPr>
          <w:rFonts w:hint="eastAsia" w:ascii="仿宋_GB2312" w:hAnsi="仿宋_GB2312" w:eastAsia="仿宋_GB2312"/>
          <w:sz w:val="32"/>
          <w:szCs w:val="24"/>
          <w:lang w:val="en-US"/>
        </w:rPr>
        <w:t>（二）政府采购情况</w:t>
      </w:r>
    </w:p>
    <w:p>
      <w:pPr>
        <w:spacing w:line="360" w:lineRule="auto"/>
        <w:rPr>
          <w:rFonts w:hint="eastAsia"/>
          <w:sz w:val="32"/>
          <w:szCs w:val="24"/>
          <w:lang w:val="en-US"/>
        </w:rPr>
      </w:pPr>
      <w:r>
        <w:rPr>
          <w:rFonts w:hint="eastAsia" w:ascii="仿宋_GB2312" w:hAnsi="仿宋_GB2312" w:eastAsia="仿宋_GB2312"/>
          <w:sz w:val="32"/>
          <w:szCs w:val="24"/>
          <w:lang w:val="en-US"/>
        </w:rPr>
        <w:t>（三）国有资产占用情况说明</w:t>
      </w:r>
    </w:p>
    <w:p>
      <w:pPr>
        <w:spacing w:line="360" w:lineRule="auto"/>
        <w:outlineLvl w:val="1"/>
        <w:rPr>
          <w:rFonts w:hint="eastAsia"/>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eastAsia"/>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eastAsia"/>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eastAsia"/>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eastAsia"/>
          <w:sz w:val="32"/>
          <w:szCs w:val="24"/>
          <w:lang w:val="en-US"/>
        </w:rPr>
      </w:pPr>
      <w:r>
        <w:rPr>
          <w:rFonts w:hint="eastAsia" w:ascii="仿宋_GB2312" w:hAnsi="仿宋_GB2312" w:eastAsia="仿宋_GB2312"/>
          <w:sz w:val="32"/>
          <w:szCs w:val="24"/>
          <w:lang w:val="en-US"/>
        </w:rPr>
        <w:t>二、《收入决算表》</w:t>
      </w:r>
    </w:p>
    <w:p>
      <w:pPr>
        <w:spacing w:line="360" w:lineRule="auto"/>
        <w:rPr>
          <w:rFonts w:hint="eastAsia"/>
          <w:sz w:val="32"/>
          <w:szCs w:val="24"/>
          <w:lang w:val="en-US"/>
        </w:rPr>
      </w:pPr>
      <w:r>
        <w:rPr>
          <w:rFonts w:hint="eastAsia" w:ascii="仿宋_GB2312" w:hAnsi="仿宋_GB2312" w:eastAsia="仿宋_GB2312"/>
          <w:sz w:val="32"/>
          <w:szCs w:val="24"/>
          <w:lang w:val="en-US"/>
        </w:rPr>
        <w:t>三、《支出决算表》</w:t>
      </w:r>
    </w:p>
    <w:p>
      <w:pPr>
        <w:spacing w:line="360" w:lineRule="auto"/>
        <w:rPr>
          <w:rFonts w:hint="eastAsia"/>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eastAsia"/>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eastAsia"/>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eastAsia"/>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eastAsia"/>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eastAsia"/>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eastAsia"/>
          <w:b/>
          <w:kern w:val="0"/>
          <w:sz w:val="28"/>
          <w:szCs w:val="24"/>
          <w:lang w:val="en-US"/>
        </w:rPr>
      </w:pPr>
    </w:p>
    <w:p>
      <w:pPr>
        <w:shd w:val="clear" w:color="auto" w:fill="FFFFFF"/>
        <w:spacing w:line="360" w:lineRule="auto"/>
        <w:jc w:val="center"/>
        <w:rPr>
          <w:rFonts w:hint="eastAsia"/>
          <w:kern w:val="0"/>
          <w:sz w:val="32"/>
          <w:szCs w:val="24"/>
          <w:lang w:val="en-US"/>
        </w:rPr>
      </w:pPr>
    </w:p>
    <w:p>
      <w:pPr>
        <w:shd w:val="clear" w:color="auto" w:fill="FFFFFF"/>
        <w:spacing w:line="360" w:lineRule="auto"/>
        <w:jc w:val="center"/>
        <w:outlineLvl w:val="0"/>
        <w:rPr>
          <w:rFonts w:hint="eastAsia" w:ascii="黑体" w:hAnsi="黑体" w:eastAsia="黑体"/>
          <w:kern w:val="0"/>
          <w:sz w:val="32"/>
          <w:szCs w:val="24"/>
          <w:lang w:val="ar-SA"/>
        </w:rPr>
      </w:pPr>
      <w:r>
        <w:rPr>
          <w:rFonts w:hint="eastAsia"/>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outlineLvl w:val="1"/>
        <w:rPr>
          <w:rFonts w:hint="eastAsia"/>
          <w:sz w:val="32"/>
          <w:szCs w:val="24"/>
          <w:lang w:val="zh-CN"/>
        </w:rPr>
      </w:pPr>
      <w:r>
        <w:rPr>
          <w:rFonts w:hint="eastAsia" w:ascii="黑体" w:hAnsi="黑体" w:eastAsia="黑体"/>
          <w:sz w:val="32"/>
          <w:szCs w:val="24"/>
          <w:lang w:val="zh-CN"/>
        </w:rPr>
        <w:t>一、主要职能</w:t>
      </w:r>
    </w:p>
    <w:p>
      <w:pPr>
        <w:shd w:val="clear" w:color="auto" w:fill="FFFFFF"/>
        <w:autoSpaceDE w:val="0"/>
        <w:autoSpaceDN w:val="0"/>
        <w:adjustRightInd w:val="0"/>
        <w:spacing w:beforeLines="0" w:afterLines="0"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lang w:val="en-US" w:eastAsia="zh-CN"/>
        </w:rPr>
        <w:t>(</w:t>
      </w:r>
      <w:r>
        <w:rPr>
          <w:rFonts w:hint="eastAsia" w:ascii="仿宋_GB2312" w:hAnsi="Times New Roman" w:eastAsia="仿宋_GB2312" w:cs="仿宋_GB2312"/>
          <w:kern w:val="0"/>
          <w:sz w:val="32"/>
          <w:szCs w:val="32"/>
        </w:rPr>
        <w:t>一</w:t>
      </w:r>
      <w:r>
        <w:rPr>
          <w:rFonts w:hint="eastAsia" w:ascii="仿宋_GB2312" w:hAnsi="Times New Roman" w:eastAsia="仿宋_GB2312" w:cs="仿宋_GB2312"/>
          <w:kern w:val="0"/>
          <w:sz w:val="32"/>
          <w:szCs w:val="32"/>
          <w:lang w:val="en-US" w:eastAsia="zh-CN"/>
        </w:rPr>
        <w:t>)</w:t>
      </w:r>
      <w:r>
        <w:rPr>
          <w:rFonts w:hint="eastAsia" w:ascii="仿宋_GB2312" w:hAnsi="Times New Roman" w:eastAsia="仿宋_GB2312" w:cs="仿宋_GB2312"/>
          <w:kern w:val="0"/>
          <w:sz w:val="32"/>
          <w:szCs w:val="32"/>
        </w:rPr>
        <w:t>以公共卫生服务为主，提供预防、保健、基本医疗、康复、健康教育和计划生育技术服务等为主要内容的综合性卫生服务。</w:t>
      </w:r>
    </w:p>
    <w:p>
      <w:pPr>
        <w:shd w:val="clear" w:color="auto" w:fill="FFFFFF"/>
        <w:autoSpaceDE w:val="0"/>
        <w:autoSpaceDN w:val="0"/>
        <w:adjustRightInd w:val="0"/>
        <w:spacing w:beforeLines="0" w:afterLines="0" w:line="360" w:lineRule="auto"/>
        <w:ind w:firstLine="640"/>
        <w:rPr>
          <w:rFonts w:hint="eastAsia" w:ascii="仿宋_GB2312" w:hAnsi="Times New Roman" w:eastAsia="仿宋_GB2312" w:cs="仿宋_GB2312"/>
          <w:kern w:val="0"/>
          <w:sz w:val="32"/>
          <w:szCs w:val="32"/>
          <w:lang w:eastAsia="zh-CN"/>
        </w:rPr>
      </w:pPr>
      <w:r>
        <w:rPr>
          <w:rFonts w:hint="eastAsia" w:ascii="仿宋_GB2312" w:hAnsi="Times New Roman" w:eastAsia="仿宋_GB2312" w:cs="仿宋_GB2312"/>
          <w:kern w:val="0"/>
          <w:sz w:val="32"/>
          <w:szCs w:val="32"/>
          <w:lang w:val="en-US" w:eastAsia="zh-CN"/>
        </w:rPr>
        <w:t>(</w:t>
      </w:r>
      <w:r>
        <w:rPr>
          <w:rFonts w:hint="eastAsia" w:ascii="仿宋_GB2312" w:eastAsia="仿宋_GB2312" w:cs="仿宋_GB2312"/>
          <w:kern w:val="0"/>
          <w:sz w:val="32"/>
          <w:szCs w:val="32"/>
          <w:lang w:val="en-US" w:eastAsia="zh-CN"/>
        </w:rPr>
        <w:t>二</w:t>
      </w:r>
      <w:r>
        <w:rPr>
          <w:rFonts w:hint="eastAsia" w:ascii="仿宋_GB2312" w:hAnsi="Times New Roman" w:eastAsia="仿宋_GB2312" w:cs="仿宋_GB2312"/>
          <w:kern w:val="0"/>
          <w:sz w:val="32"/>
          <w:szCs w:val="32"/>
          <w:lang w:val="en-US" w:eastAsia="zh-CN"/>
        </w:rPr>
        <w:t>)</w:t>
      </w:r>
      <w:r>
        <w:rPr>
          <w:rFonts w:hint="eastAsia" w:ascii="仿宋_GB2312" w:hAnsi="Times New Roman" w:eastAsia="仿宋_GB2312" w:cs="仿宋_GB2312"/>
          <w:kern w:val="0"/>
          <w:sz w:val="32"/>
          <w:szCs w:val="32"/>
        </w:rPr>
        <w:t>受区卫生行政主管部门的委托，承担所在乡（镇）的公共卫生管理工作</w:t>
      </w:r>
      <w:r>
        <w:rPr>
          <w:rFonts w:hint="eastAsia" w:ascii="仿宋_GB2312" w:hAnsi="Times New Roman" w:eastAsia="仿宋_GB2312" w:cs="仿宋_GB2312"/>
          <w:kern w:val="0"/>
          <w:sz w:val="32"/>
          <w:szCs w:val="32"/>
          <w:lang w:eastAsia="zh-CN"/>
        </w:rPr>
        <w:t>。</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rPr>
      </w:pPr>
      <w:r>
        <w:rPr>
          <w:rFonts w:hint="eastAsia" w:ascii="仿宋_GB2312" w:hAnsi="Times New Roman" w:eastAsia="仿宋_GB2312" w:cs="仿宋_GB2312"/>
          <w:kern w:val="0"/>
          <w:sz w:val="32"/>
          <w:szCs w:val="32"/>
          <w:lang w:eastAsia="zh-CN"/>
        </w:rPr>
        <w:t>（</w:t>
      </w:r>
      <w:r>
        <w:rPr>
          <w:rFonts w:hint="eastAsia" w:ascii="仿宋_GB2312" w:hAnsi="Times New Roman" w:eastAsia="仿宋_GB2312" w:cs="仿宋_GB2312"/>
          <w:kern w:val="0"/>
          <w:sz w:val="32"/>
          <w:szCs w:val="32"/>
          <w:lang w:val="en-US" w:eastAsia="zh-CN"/>
        </w:rPr>
        <w:t>三</w:t>
      </w:r>
      <w:r>
        <w:rPr>
          <w:rFonts w:hint="eastAsia" w:ascii="仿宋_GB2312" w:hAnsi="Times New Roman" w:eastAsia="仿宋_GB2312" w:cs="仿宋_GB2312"/>
          <w:kern w:val="0"/>
          <w:sz w:val="32"/>
          <w:szCs w:val="32"/>
          <w:lang w:eastAsia="zh-CN"/>
        </w:rPr>
        <w:t>）</w:t>
      </w:r>
      <w:r>
        <w:rPr>
          <w:rFonts w:hint="eastAsia" w:ascii="仿宋_GB2312" w:hAnsi="Times New Roman" w:eastAsia="仿宋_GB2312" w:cs="仿宋_GB2312"/>
          <w:kern w:val="0"/>
          <w:sz w:val="32"/>
          <w:szCs w:val="32"/>
        </w:rPr>
        <w:t>在抓好农村公共卫生、基础医疗、计生服务工作的同时积极开展农村社保医疗，改善农民的医疗保障体系，缓解看病难、看病贵、因病返贫等现象，提高卫生院的社会效益。</w:t>
      </w:r>
    </w:p>
    <w:p>
      <w:pPr>
        <w:spacing w:line="360" w:lineRule="auto"/>
        <w:ind w:firstLine="640"/>
        <w:outlineLvl w:val="1"/>
        <w:rPr>
          <w:rFonts w:hint="eastAsia"/>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乌鲁木齐市米东区柏杨河卫生院（人口和计划生育生殖健康服务站）2022年度，实有人数19人，其中：在职人员12人，离休人员0人，退休人员7人。</w:t>
      </w:r>
    </w:p>
    <w:p>
      <w:pPr>
        <w:shd w:val="clear" w:color="auto" w:fill="FFFFFF"/>
        <w:spacing w:line="360" w:lineRule="auto"/>
        <w:ind w:firstLine="640"/>
        <w:rPr>
          <w:rFonts w:hint="eastAsia"/>
          <w:kern w:val="0"/>
          <w:sz w:val="24"/>
          <w:szCs w:val="24"/>
          <w:lang w:val="ar-SA"/>
        </w:rPr>
      </w:pPr>
      <w:r>
        <w:rPr>
          <w:rFonts w:hint="eastAsia" w:ascii="仿宋_GB2312" w:hAnsi="仿宋_GB2312" w:eastAsia="仿宋_GB2312"/>
          <w:kern w:val="0"/>
          <w:sz w:val="32"/>
          <w:szCs w:val="24"/>
          <w:lang w:val="en-US"/>
        </w:rPr>
        <w:t>从部门决算单位构成看，乌鲁木齐市米东区柏杨河卫生院（人口和计划生育生殖健康服务站）部门决算包括：乌鲁木齐市米东区柏杨河卫生院（人口和计划生育生殖健康服务站）</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12</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highlight w:val="white"/>
          <w:lang w:val="zh-CN"/>
        </w:rPr>
        <w:t>：</w:t>
      </w:r>
      <w:r>
        <w:rPr>
          <w:rFonts w:hint="eastAsia" w:ascii="仿宋_GB2312" w:hAnsi="仿宋_GB2312" w:eastAsia="仿宋_GB2312" w:cs="Times New Roman"/>
          <w:kern w:val="0"/>
          <w:sz w:val="32"/>
          <w:szCs w:val="24"/>
          <w:lang w:val="zh-CN"/>
        </w:rPr>
        <w:t>护理科，药剂科、公共卫生科、检验科、内外儿综合科</w:t>
      </w:r>
      <w:r>
        <w:rPr>
          <w:rFonts w:hint="eastAsia" w:ascii="仿宋_GB2312" w:hAnsi="仿宋_GB2312" w:eastAsia="仿宋_GB2312" w:cs="Times New Roman"/>
          <w:kern w:val="0"/>
          <w:sz w:val="32"/>
          <w:szCs w:val="24"/>
          <w:lang w:val="zh-CN" w:eastAsia="zh-CN"/>
        </w:rPr>
        <w:t>、中医科、</w:t>
      </w:r>
      <w:r>
        <w:rPr>
          <w:rFonts w:hint="eastAsia" w:ascii="仿宋_GB2312" w:hAnsi="仿宋_GB2312" w:eastAsia="仿宋_GB2312" w:cs="Times New Roman"/>
          <w:kern w:val="0"/>
          <w:sz w:val="32"/>
          <w:szCs w:val="24"/>
          <w:lang w:val="en-US" w:eastAsia="zh-CN"/>
        </w:rPr>
        <w:t>B超心电科、</w:t>
      </w:r>
      <w:r>
        <w:rPr>
          <w:rFonts w:hint="eastAsia" w:ascii="仿宋_GB2312" w:hAnsi="仿宋_GB2312" w:eastAsia="仿宋_GB2312" w:cs="Times New Roman"/>
          <w:kern w:val="0"/>
          <w:sz w:val="32"/>
          <w:szCs w:val="24"/>
          <w:lang w:val="zh-CN"/>
        </w:rPr>
        <w:t>书记办、党</w:t>
      </w:r>
      <w:r>
        <w:rPr>
          <w:rFonts w:hint="eastAsia" w:ascii="仿宋_GB2312" w:hAnsi="仿宋_GB2312" w:eastAsia="仿宋_GB2312" w:cs="Times New Roman"/>
          <w:kern w:val="0"/>
          <w:sz w:val="32"/>
          <w:szCs w:val="24"/>
          <w:lang w:val="zh-CN" w:eastAsia="zh-CN"/>
        </w:rPr>
        <w:t>政</w:t>
      </w:r>
      <w:r>
        <w:rPr>
          <w:rFonts w:hint="eastAsia" w:ascii="仿宋_GB2312" w:hAnsi="仿宋_GB2312" w:eastAsia="仿宋_GB2312" w:cs="Times New Roman"/>
          <w:kern w:val="0"/>
          <w:sz w:val="32"/>
          <w:szCs w:val="24"/>
          <w:lang w:val="zh-CN"/>
        </w:rPr>
        <w:t>办、财务</w:t>
      </w:r>
      <w:r>
        <w:rPr>
          <w:rFonts w:hint="eastAsia" w:ascii="仿宋_GB2312" w:hAnsi="仿宋_GB2312" w:eastAsia="仿宋_GB2312" w:cs="Times New Roman"/>
          <w:kern w:val="0"/>
          <w:sz w:val="32"/>
          <w:szCs w:val="24"/>
          <w:lang w:val="zh-CN" w:eastAsia="zh-CN"/>
        </w:rPr>
        <w:t>科、放射科、预防接种科</w:t>
      </w:r>
      <w:r>
        <w:rPr>
          <w:rFonts w:hint="eastAsia" w:ascii="仿宋_GB2312" w:hAnsi="仿宋_GB2312" w:eastAsia="仿宋_GB2312" w:cs="Times New Roman"/>
          <w:kern w:val="0"/>
          <w:sz w:val="32"/>
          <w:szCs w:val="24"/>
          <w:lang w:val="zh-CN"/>
        </w:rPr>
        <w:t>。</w:t>
      </w:r>
      <w:bookmarkStart w:id="0" w:name="_GoBack"/>
      <w:bookmarkEnd w:id="0"/>
    </w:p>
    <w:p>
      <w:pPr>
        <w:shd w:val="clear" w:color="auto" w:fill="FFFFFF"/>
        <w:spacing w:before="100" w:after="240"/>
        <w:jc w:val="center"/>
        <w:outlineLvl w:val="0"/>
        <w:rPr>
          <w:rFonts w:hint="eastAsia"/>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outlineLvl w:val="1"/>
        <w:rPr>
          <w:rFonts w:hint="eastAsia"/>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316.73万元，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316.73</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与上年相比，减少19.96万元，下降5.93%，主要原因是：</w:t>
      </w:r>
      <w:r>
        <w:rPr>
          <w:rFonts w:hint="eastAsia" w:ascii="仿宋_GB2312" w:hAnsi="仿宋_GB2312" w:eastAsia="仿宋_GB2312"/>
          <w:kern w:val="0"/>
          <w:sz w:val="32"/>
          <w:szCs w:val="24"/>
          <w:lang w:val="en-US" w:eastAsia="zh-CN"/>
        </w:rPr>
        <w:t>一是本年度医疗收入减少；二是上级拨入基本公共卫生服务补助经费收入减少</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316.73万元，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313.23</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3.50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与上年相比，减少19.96万元，下降5.93%，主要原因是：</w:t>
      </w:r>
      <w:r>
        <w:rPr>
          <w:rFonts w:hint="eastAsia" w:ascii="仿宋_GB2312" w:hAnsi="仿宋_GB2312" w:eastAsia="仿宋_GB2312"/>
          <w:kern w:val="0"/>
          <w:sz w:val="32"/>
          <w:szCs w:val="24"/>
          <w:lang w:val="en-US" w:eastAsia="zh-CN"/>
        </w:rPr>
        <w:t>一是人员减少，人员费用支出减少；二是本年度基本公共卫生服务支出减少</w:t>
      </w:r>
      <w:r>
        <w:rPr>
          <w:rFonts w:hint="eastAsia" w:ascii="仿宋_GB2312" w:hAnsi="仿宋_GB2312" w:eastAsia="仿宋_GB2312"/>
          <w:kern w:val="0"/>
          <w:sz w:val="32"/>
          <w:szCs w:val="24"/>
          <w:lang w:val="en-US"/>
        </w:rPr>
        <w:t>。</w:t>
      </w:r>
    </w:p>
    <w:p>
      <w:pPr>
        <w:spacing w:line="360" w:lineRule="auto"/>
        <w:ind w:firstLine="640"/>
        <w:outlineLvl w:val="1"/>
        <w:rPr>
          <w:rFonts w:hint="eastAsia"/>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2022年度本年收入316.73万元，其中：财政拨款收入233.59万元，占73.75%；上级补助收入0.00万元，占0.00%；事业收入34.09万元，占10.76%；经营收入0.00万元，占0.00%；附属单位上缴收入0.00万元，占0.00%；其他收入49.05万元，占15.49%。</w:t>
      </w:r>
    </w:p>
    <w:p>
      <w:pPr>
        <w:spacing w:line="360" w:lineRule="auto"/>
        <w:ind w:firstLine="640"/>
        <w:outlineLvl w:val="1"/>
        <w:rPr>
          <w:rFonts w:hint="eastAsia"/>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2022年度本年支出313.23万元，其中：基本支出313.23万元，占100.00%；项目支出0.00万元，占0.00%；上缴上级支出0.00万元，占0.00%；经营支出0.00万元，占0.00%；对附属单位补助支出0.00万元，占0.00%。</w:t>
      </w:r>
    </w:p>
    <w:p>
      <w:pPr>
        <w:spacing w:line="360" w:lineRule="auto"/>
        <w:ind w:firstLine="640"/>
        <w:outlineLvl w:val="1"/>
        <w:rPr>
          <w:rFonts w:hint="eastAsia"/>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233.59万元，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233.59</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与上年相比，增加10.93万元，增长4.91%，主要原因是：</w:t>
      </w:r>
      <w:r>
        <w:rPr>
          <w:rFonts w:hint="eastAsia" w:ascii="仿宋_GB2312" w:hAnsi="仿宋_GB2312" w:eastAsia="仿宋_GB2312"/>
          <w:kern w:val="0"/>
          <w:sz w:val="32"/>
          <w:szCs w:val="24"/>
          <w:lang w:val="en-US" w:eastAsia="zh-CN"/>
        </w:rPr>
        <w:t>本年度人员工资调增，人员经费收入增加</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eastAsia"/>
          <w:kern w:val="0"/>
          <w:sz w:val="32"/>
          <w:szCs w:val="24"/>
          <w:highlight w:val="yellow"/>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233.59万元，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233.59</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与上年相比，增加10.93万元，增长4.91%，主要原因是：</w:t>
      </w:r>
      <w:r>
        <w:rPr>
          <w:rFonts w:hint="eastAsia" w:ascii="仿宋_GB2312" w:hAnsi="仿宋_GB2312" w:eastAsia="仿宋_GB2312"/>
          <w:kern w:val="0"/>
          <w:sz w:val="32"/>
          <w:szCs w:val="24"/>
          <w:lang w:val="en-US" w:eastAsia="zh-CN"/>
        </w:rPr>
        <w:t>本年度人员工资调增，人员经费支出增加</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年初预算数205.93万元，决算数233.59万元，预决算差异率13.43%，主要原因是：</w:t>
      </w:r>
      <w:r>
        <w:rPr>
          <w:rFonts w:hint="eastAsia" w:ascii="仿宋_GB2312" w:hAnsi="仿宋_GB2312" w:eastAsia="仿宋_GB2312"/>
          <w:kern w:val="0"/>
          <w:sz w:val="32"/>
          <w:szCs w:val="24"/>
          <w:lang w:val="en-US" w:eastAsia="zh-CN"/>
        </w:rPr>
        <w:t>本年度人员工资调增，人员经费收入增加，预算差异率较大</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年初预算数205.93万元，决算数233.59万元，预决算差异率13.43%，主要原因是：</w:t>
      </w:r>
      <w:r>
        <w:rPr>
          <w:rFonts w:hint="eastAsia" w:ascii="仿宋_GB2312" w:hAnsi="仿宋_GB2312" w:eastAsia="仿宋_GB2312"/>
          <w:kern w:val="0"/>
          <w:sz w:val="32"/>
          <w:szCs w:val="24"/>
          <w:lang w:val="en-US" w:eastAsia="zh-CN"/>
        </w:rPr>
        <w:t>本年度人员工资调增，人员经费支出增加，预算差异率较大</w:t>
      </w:r>
      <w:r>
        <w:rPr>
          <w:rFonts w:hint="eastAsia" w:ascii="仿宋_GB2312" w:hAnsi="仿宋_GB2312" w:eastAsia="仿宋_GB2312"/>
          <w:kern w:val="0"/>
          <w:sz w:val="32"/>
          <w:szCs w:val="24"/>
          <w:lang w:val="en-US"/>
        </w:rPr>
        <w:t>。</w:t>
      </w:r>
    </w:p>
    <w:p>
      <w:pPr>
        <w:spacing w:line="360" w:lineRule="auto"/>
        <w:ind w:firstLine="640"/>
        <w:outlineLvl w:val="1"/>
        <w:rPr>
          <w:rFonts w:hint="eastAsia"/>
          <w:sz w:val="32"/>
          <w:szCs w:val="24"/>
          <w:lang w:val="zh-CN"/>
        </w:rPr>
      </w:pPr>
      <w:r>
        <w:rPr>
          <w:rFonts w:hint="eastAsia" w:ascii="黑体" w:hAnsi="黑体" w:eastAsia="黑体"/>
          <w:sz w:val="32"/>
          <w:szCs w:val="24"/>
          <w:lang w:val="zh-CN"/>
        </w:rPr>
        <w:t>五、一般公共预算财政拨款支出决算情况说明</w:t>
      </w:r>
    </w:p>
    <w:p>
      <w:pPr>
        <w:ind w:firstLine="640"/>
        <w:outlineLvl w:val="2"/>
        <w:rPr>
          <w:rFonts w:hint="eastAsia"/>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233.59</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增加10.93万元，增长4.91%，主要原因是：</w:t>
      </w:r>
      <w:r>
        <w:rPr>
          <w:rFonts w:hint="eastAsia" w:ascii="仿宋_GB2312" w:hAnsi="仿宋_GB2312" w:eastAsia="仿宋_GB2312"/>
          <w:kern w:val="0"/>
          <w:sz w:val="32"/>
          <w:szCs w:val="24"/>
          <w:lang w:val="en-US" w:eastAsia="zh-CN"/>
        </w:rPr>
        <w:t>本年度人员工资调增，人员经费支出增加</w:t>
      </w:r>
      <w:r>
        <w:rPr>
          <w:rFonts w:hint="eastAsia" w:ascii="仿宋_GB2312" w:hAnsi="仿宋_GB2312" w:eastAsia="仿宋_GB2312"/>
          <w:kern w:val="0"/>
          <w:sz w:val="32"/>
          <w:szCs w:val="24"/>
          <w:lang w:val="en-US"/>
        </w:rPr>
        <w:t>。</w:t>
      </w:r>
    </w:p>
    <w:p>
      <w:pPr>
        <w:ind w:firstLine="640"/>
        <w:outlineLvl w:val="2"/>
        <w:rPr>
          <w:rFonts w:hint="eastAsia"/>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eastAsia" w:ascii="仿宋_GB2312" w:hAnsi="仿宋_GB2312" w:eastAsia="仿宋_GB2312"/>
          <w:sz w:val="32"/>
          <w:szCs w:val="24"/>
          <w:lang w:val="en-US"/>
        </w:rPr>
      </w:pPr>
      <w:r>
        <w:rPr>
          <w:rFonts w:hint="eastAsia" w:ascii="仿宋_GB2312" w:hAnsi="仿宋_GB2312" w:eastAsia="仿宋_GB2312"/>
          <w:sz w:val="32"/>
          <w:szCs w:val="24"/>
          <w:lang w:val="en-US"/>
        </w:rPr>
        <w:t>1.社会保障和就业支出（类）18.16万元，占7.77%；</w:t>
      </w:r>
    </w:p>
    <w:p>
      <w:pPr>
        <w:spacing w:line="600" w:lineRule="exact"/>
        <w:ind w:firstLine="640"/>
        <w:rPr>
          <w:rFonts w:hint="eastAsia"/>
          <w:kern w:val="0"/>
          <w:sz w:val="32"/>
          <w:szCs w:val="24"/>
          <w:lang w:val="en-US"/>
        </w:rPr>
      </w:pPr>
      <w:r>
        <w:rPr>
          <w:rFonts w:hint="eastAsia" w:ascii="仿宋_GB2312" w:hAnsi="仿宋_GB2312" w:eastAsia="仿宋_GB2312"/>
          <w:sz w:val="32"/>
          <w:szCs w:val="24"/>
          <w:lang w:val="en-US" w:eastAsia="zh-CN"/>
        </w:rPr>
        <w:t>2.</w:t>
      </w:r>
      <w:r>
        <w:rPr>
          <w:rFonts w:hint="eastAsia" w:ascii="仿宋_GB2312" w:hAnsi="仿宋_GB2312" w:eastAsia="仿宋_GB2312"/>
          <w:sz w:val="32"/>
          <w:szCs w:val="24"/>
          <w:lang w:val="en-US"/>
        </w:rPr>
        <w:t>卫生健康支出（类）215.43万元，占92.23%</w:t>
      </w:r>
      <w:r>
        <w:rPr>
          <w:rFonts w:hint="eastAsia" w:ascii="仿宋_GB2312" w:hAnsi="仿宋_GB2312" w:eastAsia="仿宋_GB2312"/>
          <w:kern w:val="0"/>
          <w:sz w:val="32"/>
          <w:szCs w:val="24"/>
          <w:lang w:val="en-US"/>
        </w:rPr>
        <w:t>。</w:t>
      </w:r>
    </w:p>
    <w:p>
      <w:pPr>
        <w:ind w:firstLine="640"/>
        <w:outlineLvl w:val="2"/>
        <w:rPr>
          <w:rFonts w:hint="eastAsia"/>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eastAsia"/>
          <w:kern w:val="0"/>
          <w:sz w:val="32"/>
          <w:szCs w:val="24"/>
          <w:lang w:val="en-US"/>
        </w:rPr>
      </w:pPr>
      <w:r>
        <w:rPr>
          <w:rFonts w:hint="eastAsia" w:ascii="仿宋_GB2312" w:hAnsi="仿宋_GB2312" w:eastAsia="仿宋_GB2312"/>
          <w:kern w:val="0"/>
          <w:sz w:val="32"/>
          <w:szCs w:val="24"/>
          <w:lang w:val="en-US"/>
        </w:rPr>
        <w:t>1.社会保障和就业支出（类）行政事业单位养老支出（款）机关事业单位基本养老保险缴费支出（项）:支出决算数为18.16万元，比上年决算减少0.90万元，下降4.72%，主要原因是：</w:t>
      </w:r>
      <w:r>
        <w:rPr>
          <w:rFonts w:hint="eastAsia" w:ascii="仿宋_GB2312" w:hAnsi="仿宋_GB2312" w:eastAsia="仿宋_GB2312"/>
          <w:kern w:val="0"/>
          <w:sz w:val="32"/>
          <w:szCs w:val="24"/>
          <w:lang w:val="en-US" w:eastAsia="zh-CN"/>
        </w:rPr>
        <w:t>本年度退休1人，养老保险缴费支出减少，</w:t>
      </w:r>
      <w:r>
        <w:rPr>
          <w:rFonts w:hint="eastAsia" w:ascii="仿宋_GB2312" w:hAnsi="仿宋_GB2312" w:eastAsia="仿宋_GB2312"/>
          <w:kern w:val="0"/>
          <w:sz w:val="32"/>
          <w:szCs w:val="24"/>
          <w:lang w:val="en-US"/>
        </w:rPr>
        <w:t>机关事业单位基本养老保险缴费支出</w:t>
      </w:r>
      <w:r>
        <w:rPr>
          <w:rFonts w:hint="eastAsia" w:ascii="仿宋_GB2312" w:hAnsi="仿宋_GB2312" w:eastAsia="仿宋_GB2312"/>
          <w:kern w:val="0"/>
          <w:sz w:val="32"/>
          <w:szCs w:val="24"/>
          <w:lang w:val="en-US" w:eastAsia="zh-CN"/>
        </w:rPr>
        <w:t>款项较上年较少；</w:t>
      </w:r>
    </w:p>
    <w:p>
      <w:pPr>
        <w:spacing w:line="600" w:lineRule="exact"/>
        <w:ind w:firstLine="640"/>
        <w:rPr>
          <w:rFonts w:hint="eastAsia"/>
          <w:sz w:val="32"/>
          <w:szCs w:val="24"/>
          <w:lang w:val="en-US"/>
        </w:rPr>
      </w:pPr>
      <w:r>
        <w:rPr>
          <w:rFonts w:hint="eastAsia" w:ascii="仿宋_GB2312" w:hAnsi="仿宋_GB2312" w:eastAsia="仿宋_GB2312"/>
          <w:kern w:val="0"/>
          <w:sz w:val="32"/>
          <w:szCs w:val="24"/>
          <w:lang w:val="en-US"/>
        </w:rPr>
        <w:t>2.卫生健康支出（类）基层医疗卫生机构（款）乡镇卫生院（项）:支出决算数为215.43万元，比上年决算增加11.83万元，增长5.81%，主要原因是：</w:t>
      </w:r>
      <w:r>
        <w:rPr>
          <w:rFonts w:hint="eastAsia" w:ascii="仿宋_GB2312" w:hAnsi="仿宋_GB2312" w:eastAsia="仿宋_GB2312"/>
          <w:kern w:val="0"/>
          <w:sz w:val="32"/>
          <w:szCs w:val="24"/>
          <w:lang w:val="en-US" w:eastAsia="zh-CN"/>
        </w:rPr>
        <w:t>本年度人员工资调增，人员经费支出增加，乡镇卫生院支出款项较上年增加</w:t>
      </w:r>
      <w:r>
        <w:rPr>
          <w:rFonts w:hint="eastAsia" w:ascii="仿宋_GB2312" w:hAnsi="仿宋_GB2312" w:eastAsia="仿宋_GB2312"/>
          <w:kern w:val="0"/>
          <w:sz w:val="32"/>
          <w:szCs w:val="24"/>
          <w:lang w:val="en-US"/>
        </w:rPr>
        <w:t>。</w:t>
      </w:r>
    </w:p>
    <w:p>
      <w:pPr>
        <w:spacing w:line="360" w:lineRule="auto"/>
        <w:ind w:firstLine="640"/>
        <w:outlineLvl w:val="1"/>
        <w:rPr>
          <w:rFonts w:hint="eastAsia"/>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2022年度一般公共预算财政拨款基本支出233.59万元，其中：人员经费228.29万元，包括：基本工资、津贴补贴、绩效工资、机关事业单位基本养老保险缴费、职业年金缴费、职工基本医疗保险缴费、公务员医疗补助缴费、其他社会保障缴费、住房公积金、其他工资福利支出、抚恤金、生活补助、奖励金。</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公用经费5.30万元，包括：取暖费、劳务费、公务用车运行维护费。</w:t>
      </w:r>
    </w:p>
    <w:p>
      <w:pPr>
        <w:spacing w:line="360" w:lineRule="auto"/>
        <w:ind w:firstLine="640"/>
        <w:outlineLvl w:val="1"/>
        <w:rPr>
          <w:rFonts w:hint="eastAsia"/>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“三公”经费支出决算0.90万元，比上年减少1.60万元，下降64.00%，主要原因是：</w:t>
      </w:r>
      <w:r>
        <w:rPr>
          <w:rFonts w:hint="eastAsia" w:ascii="仿宋_GB2312" w:hAnsi="仿宋_GB2312" w:eastAsia="仿宋_GB2312"/>
          <w:kern w:val="0"/>
          <w:sz w:val="32"/>
          <w:szCs w:val="24"/>
          <w:lang w:val="en-US" w:eastAsia="zh-CN"/>
        </w:rPr>
        <w:t>本年度我单位车辆出行次数减少，车辆维修维护费、燃油费减少</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0.90万元，占100.00%，比上年减少1.60万元，下降64.00%，主要原因是：</w:t>
      </w:r>
      <w:r>
        <w:rPr>
          <w:rFonts w:hint="eastAsia" w:ascii="仿宋_GB2312" w:hAnsi="仿宋_GB2312" w:eastAsia="仿宋_GB2312"/>
          <w:kern w:val="0"/>
          <w:sz w:val="32"/>
          <w:szCs w:val="24"/>
          <w:lang w:val="en-US" w:eastAsia="zh-CN"/>
        </w:rPr>
        <w:t>本年度我单位车辆出行次数减少，车辆维修维护费、燃油费减少</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hAnsi="仿宋_GB2312" w:eastAsia="仿宋_GB2312"/>
          <w:kern w:val="0"/>
          <w:sz w:val="32"/>
          <w:szCs w:val="24"/>
          <w:lang w:val="en-US" w:eastAsia="zh-CN"/>
        </w:rPr>
        <w:t>本年单位无公务接待费支出</w:t>
      </w:r>
      <w:r>
        <w:rPr>
          <w:rFonts w:hint="eastAsia" w:ascii="仿宋_GB2312" w:hAnsi="仿宋_GB2312" w:eastAsia="仿宋_GB2312"/>
          <w:kern w:val="0"/>
          <w:sz w:val="32"/>
          <w:szCs w:val="24"/>
          <w:lang w:val="en-US"/>
        </w:rPr>
        <w:t>。具体情况如下：</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公务用车购置及运行维护费0.90万元，其中：公务用车购置费0.00万元，公务用车运行维护费0.90万元。公务用车运行维护费开支内容包括公务用车维修维护费、燃油费、保险费、过路费等。公务用车购置数0辆，公务用车保有量2辆。</w:t>
      </w:r>
    </w:p>
    <w:p>
      <w:pPr>
        <w:shd w:val="clear" w:color="auto" w:fill="FFFFFF"/>
        <w:spacing w:line="360" w:lineRule="auto"/>
        <w:ind w:firstLine="640"/>
        <w:rPr>
          <w:rFonts w:hint="eastAsia"/>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宋体" w:eastAsia="仿宋_GB2312"/>
          <w:kern w:val="0"/>
          <w:sz w:val="32"/>
          <w:szCs w:val="24"/>
          <w:lang w:eastAsia="zh-CN"/>
        </w:rPr>
        <w:t>本年度单位无公务接待费支出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eastAsia"/>
          <w:kern w:val="0"/>
          <w:sz w:val="32"/>
          <w:szCs w:val="24"/>
          <w:highlight w:val="yellow"/>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eastAsia"/>
          <w:kern w:val="0"/>
          <w:sz w:val="32"/>
          <w:szCs w:val="24"/>
          <w:lang w:val="en-US"/>
        </w:rPr>
        <w:t>“</w:t>
      </w:r>
      <w:r>
        <w:rPr>
          <w:rFonts w:hint="eastAsia" w:ascii="仿宋_GB2312" w:hAnsi="仿宋_GB2312" w:eastAsia="仿宋_GB2312"/>
          <w:kern w:val="0"/>
          <w:sz w:val="32"/>
          <w:szCs w:val="24"/>
          <w:lang w:val="en-US"/>
        </w:rPr>
        <w:t>三公</w:t>
      </w:r>
      <w:r>
        <w:rPr>
          <w:rFonts w:hint="eastAsia"/>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0.90万元，决算数0.90万元，预决算差异率0.00%，主要原因是：</w:t>
      </w:r>
      <w:r>
        <w:rPr>
          <w:rFonts w:hint="eastAsia" w:ascii="仿宋_GB2312" w:hAnsi="仿宋_GB2312" w:eastAsia="仿宋_GB2312"/>
          <w:kern w:val="0"/>
          <w:sz w:val="32"/>
          <w:szCs w:val="24"/>
          <w:lang w:val="en-US" w:eastAsia="zh-CN"/>
        </w:rPr>
        <w:t>严格按照预算执行，控制费用支出</w:t>
      </w:r>
      <w:r>
        <w:rPr>
          <w:rFonts w:hint="eastAsia" w:ascii="仿宋_GB2312" w:hAnsi="仿宋_GB2312" w:eastAsia="仿宋_GB2312"/>
          <w:kern w:val="0"/>
          <w:sz w:val="32"/>
          <w:szCs w:val="24"/>
          <w:lang w:val="en-US"/>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宋体" w:eastAsia="仿宋_GB2312"/>
          <w:kern w:val="0"/>
          <w:sz w:val="32"/>
          <w:szCs w:val="24"/>
          <w:lang w:eastAsia="zh-CN"/>
        </w:rPr>
        <w:t>本年单位无公务用车购置费支出</w:t>
      </w:r>
      <w:r>
        <w:rPr>
          <w:rFonts w:hint="eastAsia" w:ascii="仿宋_GB2312" w:hAnsi="仿宋_GB2312" w:eastAsia="仿宋_GB2312"/>
          <w:kern w:val="0"/>
          <w:sz w:val="32"/>
          <w:szCs w:val="24"/>
          <w:lang w:val="en-US"/>
        </w:rPr>
        <w:t>；公务用车运行费全年预算数0.90万元，决算数0.90万元，预决算差异率0.00%，主要原因是：</w:t>
      </w:r>
      <w:r>
        <w:rPr>
          <w:rFonts w:hint="eastAsia" w:ascii="仿宋_GB2312" w:hAnsi="仿宋_GB2312" w:eastAsia="仿宋_GB2312"/>
          <w:kern w:val="0"/>
          <w:sz w:val="32"/>
          <w:szCs w:val="24"/>
          <w:lang w:val="en-US" w:eastAsia="zh-CN"/>
        </w:rPr>
        <w:t>严格按照预算执行，控制费用支出</w:t>
      </w:r>
      <w:r>
        <w:rPr>
          <w:rFonts w:hint="eastAsia" w:ascii="仿宋_GB2312" w:hAnsi="仿宋_GB2312" w:eastAsia="仿宋_GB2312"/>
          <w:kern w:val="0"/>
          <w:sz w:val="32"/>
          <w:szCs w:val="24"/>
          <w:lang w:val="en-US"/>
        </w:rPr>
        <w:t>；公务接待费全年预算数0.00万元，决算数0.00万元，预决算差异率0.00%，主要原因是：</w:t>
      </w:r>
      <w:r>
        <w:rPr>
          <w:rFonts w:hint="eastAsia" w:ascii="仿宋_GB2312" w:hAnsi="仿宋_GB2312" w:eastAsia="仿宋_GB2312"/>
          <w:kern w:val="0"/>
          <w:sz w:val="32"/>
          <w:szCs w:val="24"/>
          <w:lang w:val="en-US" w:eastAsia="zh-CN"/>
        </w:rPr>
        <w:t>本年单位无公务接待费支出</w:t>
      </w:r>
      <w:r>
        <w:rPr>
          <w:rFonts w:hint="eastAsia" w:ascii="仿宋_GB2312" w:hAnsi="仿宋_GB2312" w:eastAsia="仿宋_GB2312"/>
          <w:kern w:val="0"/>
          <w:sz w:val="32"/>
          <w:szCs w:val="24"/>
          <w:lang w:val="en-US"/>
        </w:rPr>
        <w:t>。</w:t>
      </w:r>
    </w:p>
    <w:p>
      <w:pPr>
        <w:spacing w:line="360" w:lineRule="auto"/>
        <w:ind w:firstLine="640"/>
        <w:outlineLvl w:val="1"/>
        <w:rPr>
          <w:rFonts w:hint="eastAsia"/>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outlineLvl w:val="1"/>
        <w:rPr>
          <w:rFonts w:hint="eastAsia"/>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outlineLvl w:val="1"/>
        <w:rPr>
          <w:rFonts w:hint="eastAsia"/>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outlineLvl w:val="2"/>
        <w:rPr>
          <w:rFonts w:hint="eastAsia"/>
          <w:color w:val="auto"/>
          <w:sz w:val="32"/>
          <w:szCs w:val="24"/>
          <w:lang w:val="zh-CN"/>
        </w:rPr>
      </w:pPr>
      <w:r>
        <w:rPr>
          <w:rFonts w:hint="eastAsia" w:ascii="黑体" w:hAnsi="黑体" w:eastAsia="黑体"/>
          <w:color w:val="auto"/>
          <w:sz w:val="32"/>
          <w:szCs w:val="24"/>
          <w:lang w:val="zh-CN"/>
        </w:rPr>
        <w:t>（一）机关运行经费支出情况</w:t>
      </w:r>
    </w:p>
    <w:p>
      <w:pPr>
        <w:shd w:val="clear" w:color="auto" w:fill="FFFFFF"/>
        <w:spacing w:line="360" w:lineRule="auto"/>
        <w:ind w:firstLine="640"/>
        <w:rPr>
          <w:rFonts w:hint="eastAsia" w:ascii="仿宋_GB2312" w:hAnsi="仿宋_GB2312" w:eastAsia="仿宋_GB2312"/>
          <w:color w:val="auto"/>
          <w:kern w:val="0"/>
          <w:sz w:val="32"/>
          <w:szCs w:val="24"/>
          <w:lang w:val="en-US"/>
        </w:rPr>
      </w:pPr>
      <w:r>
        <w:rPr>
          <w:rFonts w:hint="eastAsia" w:ascii="仿宋_GB2312" w:hAnsi="仿宋_GB2312" w:eastAsia="仿宋_GB2312"/>
          <w:color w:val="auto"/>
          <w:kern w:val="0"/>
          <w:sz w:val="32"/>
          <w:szCs w:val="24"/>
          <w:lang w:val="en-US"/>
        </w:rPr>
        <w:t>2022年度乌鲁木齐市米东区柏杨河卫生院（人口和计划生育生殖健康服务站）单位公用经费5.30万元，比上年减少1.70万元，下降24.29%，主要原因是：</w:t>
      </w:r>
      <w:r>
        <w:rPr>
          <w:rFonts w:hint="eastAsia" w:ascii="仿宋_GB2312" w:hAnsi="仿宋_GB2312" w:eastAsia="仿宋_GB2312"/>
          <w:color w:val="auto"/>
          <w:kern w:val="0"/>
          <w:sz w:val="32"/>
          <w:szCs w:val="24"/>
          <w:lang w:val="en-US" w:eastAsia="zh-CN"/>
        </w:rPr>
        <w:t>因本年业务量减少，车辆出行次数减少，车辆油料费，维修维护费减少</w:t>
      </w:r>
      <w:r>
        <w:rPr>
          <w:rFonts w:hint="eastAsia" w:ascii="仿宋_GB2312" w:hAnsi="仿宋_GB2312" w:eastAsia="仿宋_GB2312"/>
          <w:color w:val="auto"/>
          <w:kern w:val="0"/>
          <w:sz w:val="32"/>
          <w:szCs w:val="24"/>
          <w:lang w:val="en-US"/>
        </w:rPr>
        <w:t>。</w:t>
      </w:r>
    </w:p>
    <w:p>
      <w:pPr>
        <w:spacing w:line="360" w:lineRule="auto"/>
        <w:ind w:firstLine="640"/>
        <w:outlineLvl w:val="2"/>
        <w:rPr>
          <w:rFonts w:hint="eastAsia"/>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2022年度政府采购支出总额0.00万元，其中：政府采购货物支出0.00万元、政府采购工程支出0.00万元、政府采购服务支出0.00万元。</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授予中小企业合同金额0.00万元，占政府采购支出总额的0.00%，其中：授予小微企业合同金额0.00万元，占政府采购支出总额的0.00%。</w:t>
      </w:r>
    </w:p>
    <w:p>
      <w:pPr>
        <w:spacing w:line="360" w:lineRule="auto"/>
        <w:ind w:firstLine="640"/>
        <w:outlineLvl w:val="2"/>
        <w:rPr>
          <w:rFonts w:hint="eastAsia"/>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183.88</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1,030.00平方米，价值13.95万元。车辆2辆，价值23.10万元，其中：副部（省）级及以上领导用车0辆、主要领导干部用车0辆、机要通信用车0辆、应急保障用车0辆、执法执勤用车0辆、特种专业技术用车1辆、离退休干部用车0辆、其他用车1辆，其他用车主要是：</w:t>
      </w:r>
      <w:r>
        <w:rPr>
          <w:rFonts w:hint="eastAsia" w:ascii="仿宋_GB2312" w:hAnsi="仿宋_GB2312" w:eastAsia="仿宋_GB2312"/>
          <w:color w:val="auto"/>
          <w:kern w:val="0"/>
          <w:sz w:val="32"/>
          <w:szCs w:val="24"/>
          <w:lang w:val="en-US" w:eastAsia="zh-CN"/>
        </w:rPr>
        <w:t>单位业务用车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outlineLvl w:val="1"/>
        <w:rPr>
          <w:rFonts w:hint="eastAsia"/>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w:t>
      </w:r>
      <w:r>
        <w:rPr>
          <w:rFonts w:hint="default" w:ascii="仿宋_GB2312" w:eastAsia="仿宋_GB2312"/>
          <w:sz w:val="32"/>
          <w:szCs w:val="24"/>
        </w:rPr>
        <w:t>我单位2022年度无预算绩效项目</w:t>
      </w:r>
      <w:r>
        <w:rPr>
          <w:rFonts w:hint="default" w:ascii="仿宋_GB2312" w:eastAsia="仿宋_GB2312"/>
          <w:sz w:val="32"/>
          <w:szCs w:val="24"/>
          <w:lang w:eastAsia="zh-CN"/>
        </w:rPr>
        <w:t>。</w:t>
      </w:r>
      <w:r>
        <w:rPr>
          <w:rFonts w:hint="eastAsia" w:ascii="仿宋_GB2312" w:hAnsi="仿宋_GB2312" w:eastAsia="仿宋_GB2312"/>
          <w:color w:val="auto"/>
          <w:kern w:val="0"/>
          <w:sz w:val="32"/>
          <w:szCs w:val="24"/>
          <w:lang w:val="en-US"/>
        </w:rPr>
        <w:t>发现的问题及原因：</w:t>
      </w:r>
      <w:r>
        <w:rPr>
          <w:rFonts w:hint="default" w:ascii="仿宋_GB2312" w:eastAsia="仿宋_GB2312"/>
          <w:sz w:val="32"/>
          <w:szCs w:val="24"/>
        </w:rPr>
        <w:t>我单位2022年度无预算绩效项目</w:t>
      </w:r>
      <w:r>
        <w:rPr>
          <w:rFonts w:hint="eastAsia" w:ascii="仿宋_GB2312" w:hAnsi="仿宋_GB2312" w:eastAsia="仿宋_GB2312"/>
          <w:color w:val="auto"/>
          <w:kern w:val="0"/>
          <w:sz w:val="32"/>
          <w:szCs w:val="24"/>
          <w:lang w:val="en-US"/>
        </w:rPr>
        <w:t>。下一步改进措施：</w:t>
      </w:r>
      <w:r>
        <w:rPr>
          <w:rFonts w:hint="default" w:ascii="仿宋_GB2312" w:eastAsia="仿宋_GB2312"/>
          <w:sz w:val="32"/>
          <w:szCs w:val="24"/>
        </w:rPr>
        <w:t>我单位2022年度无预算绩效项目</w:t>
      </w:r>
      <w:r>
        <w:rPr>
          <w:rFonts w:hint="eastAsia" w:ascii="仿宋_GB2312" w:hAnsi="仿宋_GB2312" w:eastAsia="仿宋_GB2312"/>
          <w:color w:val="auto"/>
          <w:kern w:val="0"/>
          <w:sz w:val="32"/>
          <w:szCs w:val="24"/>
          <w:lang w:val="en-US"/>
        </w:rPr>
        <w:t>。</w:t>
      </w:r>
    </w:p>
    <w:p>
      <w:pPr>
        <w:shd w:val="clear" w:color="auto" w:fill="FFFFFF"/>
        <w:spacing w:before="100" w:after="240"/>
        <w:jc w:val="center"/>
        <w:outlineLvl w:val="0"/>
        <w:rPr>
          <w:rFonts w:hint="eastAsia"/>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eastAsia"/>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eastAsia"/>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eastAsia"/>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before="100" w:after="240"/>
        <w:jc w:val="center"/>
        <w:outlineLvl w:val="0"/>
        <w:rPr>
          <w:rFonts w:hint="eastAsia"/>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eastAsia"/>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eastAsia"/>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eastAsia"/>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eastAsia"/>
          <w:color w:val="auto"/>
          <w:kern w:val="36"/>
          <w:sz w:val="40"/>
          <w:szCs w:val="24"/>
          <w:lang w:val="zh-CN"/>
        </w:rPr>
      </w:pPr>
    </w:p>
    <w:p>
      <w:pPr>
        <w:rPr>
          <w:rFonts w:hint="eastAsia"/>
          <w:color w:val="auto"/>
          <w:sz w:val="21"/>
          <w:szCs w:val="24"/>
          <w:lang w:val="en-US"/>
        </w:rPr>
      </w:pPr>
    </w:p>
    <w:p>
      <w:pPr>
        <w:jc w:val="left"/>
        <w:rPr>
          <w:rFonts w:hint="eastAsia"/>
          <w:color w:val="auto"/>
          <w:kern w:val="36"/>
          <w:sz w:val="40"/>
          <w:szCs w:val="24"/>
          <w:lang w:val="zh-CN"/>
        </w:rPr>
      </w:pPr>
    </w:p>
    <w:p>
      <w:pPr>
        <w:rPr>
          <w:rFonts w:hint="eastAsia"/>
          <w:color w:val="auto"/>
          <w:sz w:val="21"/>
          <w:szCs w:val="24"/>
          <w:lang w:val="en-US"/>
        </w:rPr>
      </w:pPr>
    </w:p>
    <w:p>
      <w:pPr>
        <w:jc w:val="left"/>
        <w:rPr>
          <w:rFonts w:hint="eastAsia"/>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3FE4D5D"/>
    <w:rsid w:val="0E0B38F0"/>
    <w:rsid w:val="107F457B"/>
    <w:rsid w:val="28C4041B"/>
    <w:rsid w:val="6CD42366"/>
    <w:rsid w:val="7CC27E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eastAsia" w:ascii="Times New Roman" w:hAnsi="Times New Roman" w:eastAsia="Times New Roman" w:cs="Times New Roman"/>
      <w:kern w:val="2"/>
      <w:sz w:val="21"/>
      <w:szCs w:val="24"/>
    </w:rPr>
  </w:style>
  <w:style w:type="character" w:default="1" w:styleId="3">
    <w:name w:val="Default Paragraph Font"/>
    <w:unhideWhenUsed/>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4701</Words>
  <Characters>5237</Characters>
  <TotalTime>1</TotalTime>
  <ScaleCrop>false</ScaleCrop>
  <LinksUpToDate>false</LinksUpToDate>
  <CharactersWithSpaces>5247</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2023-08-28T08:20:00Z</dcterms:created>
  <dc:creator>asus</dc:creator>
  <cp:lastModifiedBy>逐梦令</cp:lastModifiedBy>
  <dcterms:modified xsi:type="dcterms:W3CDTF">2023-08-31T06:55:52Z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26504A2A89D14B2ABF61E6B5672F025C_13</vt:lpwstr>
  </property>
</Properties>
</file>