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highlight w:val="none"/>
          <w:lang w:val="zh-CN"/>
        </w:rPr>
      </w:pPr>
      <w:bookmarkStart w:id="0" w:name="_GoBack"/>
      <w:bookmarkEnd w:id="0"/>
    </w:p>
    <w:p>
      <w:pPr>
        <w:shd w:val="clear" w:color="auto" w:fill="FFFFFF"/>
        <w:spacing w:before="240" w:after="240"/>
        <w:jc w:val="center"/>
        <w:rPr>
          <w:rFonts w:hint="default" w:eastAsia="Times New Roman"/>
          <w:kern w:val="36"/>
          <w:sz w:val="40"/>
          <w:szCs w:val="24"/>
          <w:highlight w:val="none"/>
          <w:lang w:val="zh-CN"/>
        </w:rPr>
      </w:pPr>
    </w:p>
    <w:p>
      <w:pPr>
        <w:jc w:val="center"/>
        <w:rPr>
          <w:rFonts w:hint="eastAsia" w:ascii="方正小标宋_GBK" w:hAnsi="方正小标宋_GBK" w:eastAsia="方正小标宋_GBK"/>
          <w:sz w:val="44"/>
          <w:szCs w:val="24"/>
          <w:highlight w:val="none"/>
          <w:lang w:val="en-US" w:eastAsia="zh-CN"/>
        </w:rPr>
      </w:pPr>
      <w:r>
        <w:rPr>
          <w:rFonts w:hint="eastAsia" w:ascii="方正小标宋_GBK" w:hAnsi="方正小标宋_GBK" w:eastAsia="方正小标宋_GBK"/>
          <w:sz w:val="44"/>
          <w:szCs w:val="24"/>
          <w:highlight w:val="none"/>
          <w:lang w:val="en-US"/>
        </w:rPr>
        <w:t>乌鲁木齐市米东区柏杨河哈萨克</w:t>
      </w:r>
      <w:r>
        <w:rPr>
          <w:rFonts w:hint="eastAsia" w:ascii="方正小标宋_GBK" w:hAnsi="方正小标宋_GBK" w:eastAsia="方正小标宋_GBK"/>
          <w:sz w:val="44"/>
          <w:szCs w:val="24"/>
          <w:highlight w:val="none"/>
          <w:lang w:val="en-US" w:eastAsia="zh-CN"/>
        </w:rPr>
        <w:t>族乡</w:t>
      </w:r>
    </w:p>
    <w:p>
      <w:pPr>
        <w:jc w:val="center"/>
        <w:rPr>
          <w:rFonts w:hint="eastAsia" w:ascii="方正小标宋_GBK" w:hAnsi="方正小标宋_GBK" w:eastAsia="方正小标宋_GBK"/>
          <w:sz w:val="44"/>
          <w:szCs w:val="24"/>
          <w:highlight w:val="none"/>
          <w:lang w:val="en-US"/>
        </w:rPr>
      </w:pPr>
      <w:r>
        <w:rPr>
          <w:rFonts w:hint="eastAsia" w:ascii="方正小标宋_GBK" w:hAnsi="方正小标宋_GBK" w:eastAsia="方正小标宋_GBK"/>
          <w:sz w:val="44"/>
          <w:szCs w:val="24"/>
          <w:highlight w:val="none"/>
          <w:lang w:val="en-US"/>
        </w:rPr>
        <w:t>人民政府</w:t>
      </w:r>
    </w:p>
    <w:p>
      <w:pPr>
        <w:jc w:val="center"/>
        <w:rPr>
          <w:rFonts w:hint="default" w:eastAsia="Times New Roman"/>
          <w:kern w:val="36"/>
          <w:sz w:val="40"/>
          <w:szCs w:val="24"/>
          <w:highlight w:val="none"/>
          <w:lang w:val="zh-CN"/>
        </w:rPr>
      </w:pPr>
      <w:r>
        <w:rPr>
          <w:rFonts w:hint="eastAsia" w:ascii="方正小标宋_GBK" w:hAnsi="方正小标宋_GBK" w:eastAsia="方正小标宋_GBK"/>
          <w:sz w:val="44"/>
          <w:szCs w:val="24"/>
          <w:highlight w:val="none"/>
          <w:lang w:val="en-US"/>
        </w:rPr>
        <w:t>2022年度部门决算公开说明</w:t>
      </w:r>
    </w:p>
    <w:p>
      <w:pPr>
        <w:shd w:val="clear" w:color="auto" w:fill="FFFFFF"/>
        <w:spacing w:before="240" w:after="240"/>
        <w:jc w:val="center"/>
        <w:rPr>
          <w:rFonts w:hint="default" w:eastAsia="Times New Roman"/>
          <w:kern w:val="36"/>
          <w:sz w:val="40"/>
          <w:szCs w:val="24"/>
          <w:highlight w:val="none"/>
          <w:lang w:val="zh-CN"/>
        </w:rPr>
      </w:pPr>
    </w:p>
    <w:p>
      <w:pPr>
        <w:spacing w:line="540" w:lineRule="exact"/>
        <w:jc w:val="center"/>
        <w:rPr>
          <w:rFonts w:hint="eastAsia" w:ascii="仿宋_GB2312" w:hAnsi="仿宋_GB2312" w:eastAsia="仿宋_GB2312" w:cs="仿宋_GB2312"/>
          <w:b/>
          <w:sz w:val="32"/>
          <w:szCs w:val="32"/>
          <w:highlight w:val="none"/>
          <w:lang w:val="en-US" w:eastAsia="zh-CN" w:bidi="ar-SA"/>
        </w:rPr>
      </w:pPr>
      <w:r>
        <w:rPr>
          <w:rFonts w:hint="default" w:eastAsia="Times New Roman"/>
          <w:b/>
          <w:kern w:val="36"/>
          <w:sz w:val="36"/>
          <w:szCs w:val="24"/>
          <w:highlight w:val="none"/>
          <w:lang w:val="en-US"/>
        </w:rPr>
        <w:br w:type="page"/>
      </w:r>
      <w:r>
        <w:rPr>
          <w:rFonts w:hint="eastAsia" w:ascii="仿宋_GB2312" w:hAnsi="仿宋_GB2312" w:eastAsia="仿宋_GB2312" w:cs="仿宋_GB2312"/>
          <w:b/>
          <w:sz w:val="32"/>
          <w:szCs w:val="32"/>
          <w:highlight w:val="none"/>
          <w:lang w:val="en-US" w:eastAsia="zh-CN" w:bidi="ar-SA"/>
        </w:rPr>
        <w:t>目  录</w:t>
      </w:r>
    </w:p>
    <w:p>
      <w:pPr>
        <w:spacing w:line="360" w:lineRule="auto"/>
        <w:rPr>
          <w:rFonts w:hint="default" w:eastAsia="Times New Roman"/>
          <w:kern w:val="0"/>
          <w:sz w:val="32"/>
          <w:szCs w:val="24"/>
          <w:highlight w:val="none"/>
          <w:lang w:val="en-US"/>
        </w:rPr>
      </w:pPr>
      <w:r>
        <w:rPr>
          <w:rFonts w:hint="eastAsia" w:ascii="仿宋_GB2312" w:hAnsi="仿宋_GB2312" w:eastAsia="仿宋_GB2312"/>
          <w:b/>
          <w:kern w:val="0"/>
          <w:sz w:val="32"/>
          <w:szCs w:val="24"/>
          <w:highlight w:val="none"/>
          <w:lang w:val="en-US"/>
        </w:rPr>
        <w:t>第一部分 单位概况</w:t>
      </w:r>
    </w:p>
    <w:p>
      <w:pPr>
        <w:spacing w:line="360" w:lineRule="auto"/>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一、主要职能</w:t>
      </w:r>
    </w:p>
    <w:p>
      <w:pPr>
        <w:spacing w:line="360" w:lineRule="auto"/>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二、</w:t>
      </w:r>
      <w:r>
        <w:rPr>
          <w:rFonts w:hint="eastAsia" w:ascii="仿宋_GB2312" w:hAnsi="仿宋_GB2312" w:eastAsia="仿宋_GB2312"/>
          <w:sz w:val="32"/>
          <w:szCs w:val="24"/>
          <w:highlight w:val="none"/>
          <w:lang w:val="en-US"/>
        </w:rPr>
        <w:t>机构设置及人员情况</w:t>
      </w:r>
    </w:p>
    <w:p>
      <w:pPr>
        <w:spacing w:line="360" w:lineRule="auto"/>
        <w:rPr>
          <w:rFonts w:hint="default" w:eastAsia="Times New Roman"/>
          <w:kern w:val="0"/>
          <w:sz w:val="32"/>
          <w:szCs w:val="24"/>
          <w:highlight w:val="none"/>
          <w:lang w:val="en-US"/>
        </w:rPr>
      </w:pPr>
      <w:r>
        <w:rPr>
          <w:rFonts w:hint="eastAsia" w:ascii="仿宋_GB2312" w:hAnsi="仿宋_GB2312" w:eastAsia="仿宋_GB2312"/>
          <w:b/>
          <w:kern w:val="0"/>
          <w:sz w:val="32"/>
          <w:szCs w:val="24"/>
          <w:highlight w:val="none"/>
          <w:lang w:val="en-US"/>
        </w:rPr>
        <w:t>第二部分 部门决算情况说明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一、收入支出决算总体情况说明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二、收入决算情况说明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三、支出决算情况说明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四、财政拨款收入支出决算总体情况说明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五、一般公共预算财政拨款支出决算情况说明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六、一般公共预算财政拨款基本支出决算情况说明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七、财政拨款“三公”经费支出决算情况说明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八、政府性基金预算</w:t>
      </w:r>
      <w:r>
        <w:rPr>
          <w:rFonts w:hint="eastAsia" w:ascii="仿宋_GB2312" w:hAnsi="仿宋_GB2312" w:eastAsia="仿宋_GB2312"/>
          <w:sz w:val="32"/>
          <w:szCs w:val="24"/>
          <w:highlight w:val="none"/>
          <w:lang w:val="zh-CN"/>
        </w:rPr>
        <w:t>财政拨款</w:t>
      </w:r>
      <w:r>
        <w:rPr>
          <w:rFonts w:hint="eastAsia" w:ascii="仿宋_GB2312" w:hAnsi="仿宋_GB2312" w:eastAsia="仿宋_GB2312"/>
          <w:sz w:val="32"/>
          <w:szCs w:val="24"/>
          <w:highlight w:val="none"/>
          <w:lang w:val="en-US"/>
        </w:rPr>
        <w:t>收入支出决算情况说明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九、国有资本经营预算财政拨款收入支出决算情况说明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十、其他重要事项的情况说明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（一）机关运行经费支出情况</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（二）政府采购情况</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（三）国有资产占用情况说明</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十</w:t>
      </w:r>
      <w:r>
        <w:rPr>
          <w:rFonts w:hint="eastAsia" w:ascii="仿宋_GB2312" w:hAnsi="仿宋_GB2312" w:eastAsia="仿宋_GB2312"/>
          <w:sz w:val="32"/>
          <w:szCs w:val="24"/>
          <w:highlight w:val="none"/>
          <w:lang w:val="zh-CN"/>
        </w:rPr>
        <w:t>一</w:t>
      </w:r>
      <w:r>
        <w:rPr>
          <w:rFonts w:hint="eastAsia" w:ascii="仿宋_GB2312" w:hAnsi="仿宋_GB2312" w:eastAsia="仿宋_GB2312"/>
          <w:sz w:val="32"/>
          <w:szCs w:val="24"/>
          <w:highlight w:val="none"/>
          <w:lang w:val="en-US"/>
        </w:rPr>
        <w:t>、预算绩效的情况说明</w:t>
      </w:r>
    </w:p>
    <w:p>
      <w:pPr>
        <w:spacing w:line="360" w:lineRule="auto"/>
        <w:rPr>
          <w:rFonts w:hint="default" w:eastAsia="Times New Roman"/>
          <w:b/>
          <w:kern w:val="0"/>
          <w:sz w:val="32"/>
          <w:szCs w:val="24"/>
          <w:highlight w:val="none"/>
          <w:lang w:val="en-US"/>
        </w:rPr>
      </w:pPr>
      <w:r>
        <w:rPr>
          <w:rFonts w:hint="eastAsia" w:ascii="仿宋_GB2312" w:hAnsi="仿宋_GB2312" w:eastAsia="仿宋_GB2312"/>
          <w:b/>
          <w:kern w:val="0"/>
          <w:sz w:val="32"/>
          <w:szCs w:val="24"/>
          <w:highlight w:val="none"/>
          <w:lang w:val="en-US"/>
        </w:rPr>
        <w:t>第三部分 专业名词解释</w:t>
      </w:r>
    </w:p>
    <w:p>
      <w:pPr>
        <w:spacing w:line="360" w:lineRule="auto"/>
        <w:rPr>
          <w:rFonts w:hint="default" w:eastAsia="Times New Roman"/>
          <w:b/>
          <w:kern w:val="0"/>
          <w:sz w:val="32"/>
          <w:szCs w:val="24"/>
          <w:highlight w:val="none"/>
          <w:lang w:val="en-US"/>
        </w:rPr>
      </w:pPr>
      <w:r>
        <w:rPr>
          <w:rFonts w:hint="eastAsia" w:ascii="仿宋_GB2312" w:hAnsi="仿宋_GB2312" w:eastAsia="仿宋_GB2312"/>
          <w:b/>
          <w:kern w:val="0"/>
          <w:sz w:val="32"/>
          <w:szCs w:val="24"/>
          <w:highlight w:val="none"/>
          <w:lang w:val="en-US"/>
        </w:rPr>
        <w:t>第四部分 部</w:t>
      </w:r>
      <w:r>
        <w:rPr>
          <w:rFonts w:hint="eastAsia" w:ascii="仿宋_GB2312" w:hAnsi="仿宋_GB2312" w:eastAsia="仿宋_GB2312"/>
          <w:b/>
          <w:sz w:val="32"/>
          <w:szCs w:val="24"/>
          <w:highlight w:val="none"/>
          <w:lang w:val="en-US"/>
        </w:rPr>
        <w:t>门决算报表（见附表）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一、《收入支出决算总表》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二、《收入决算表》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三、《支出决算表》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四、《财政拨款收入支出决算总表》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五、《一般公共预算财政拨款支出决算表》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六、《一般公共预算财政拨款基本支出决算表》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七、《财政拨款“三公”经费支出决算表》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八、《政府性基金预算财政拨款收入支出决算表》</w:t>
      </w:r>
    </w:p>
    <w:p>
      <w:pPr>
        <w:spacing w:line="360" w:lineRule="auto"/>
        <w:rPr>
          <w:rFonts w:hint="default" w:eastAsia="Times New Roman"/>
          <w:sz w:val="32"/>
          <w:szCs w:val="24"/>
          <w:highlight w:val="none"/>
          <w:lang w:val="en-US"/>
        </w:rPr>
      </w:pPr>
      <w:r>
        <w:rPr>
          <w:rFonts w:hint="eastAsia" w:ascii="仿宋_GB2312" w:hAnsi="仿宋_GB2312" w:eastAsia="仿宋_GB2312"/>
          <w:sz w:val="32"/>
          <w:szCs w:val="24"/>
          <w:highlight w:val="none"/>
          <w:lang w:val="en-US"/>
        </w:rPr>
        <w:t>九、《国有资本经营预算财政拨款收入支出决算表》</w:t>
      </w:r>
    </w:p>
    <w:p>
      <w:pPr>
        <w:spacing w:line="360" w:lineRule="auto"/>
        <w:ind w:firstLine="640"/>
        <w:rPr>
          <w:rFonts w:hint="default" w:eastAsia="Times New Roman"/>
          <w:b/>
          <w:kern w:val="0"/>
          <w:sz w:val="28"/>
          <w:szCs w:val="24"/>
          <w:highlight w:val="none"/>
          <w:lang w:val="en-US"/>
        </w:rPr>
      </w:pPr>
    </w:p>
    <w:p>
      <w:pPr>
        <w:shd w:val="clear" w:color="auto" w:fill="FFFFFF"/>
        <w:spacing w:line="360" w:lineRule="auto"/>
        <w:jc w:val="center"/>
        <w:rPr>
          <w:rFonts w:hint="default" w:eastAsia="Times New Roman"/>
          <w:kern w:val="0"/>
          <w:sz w:val="32"/>
          <w:szCs w:val="24"/>
          <w:highlight w:val="none"/>
          <w:lang w:val="en-US"/>
        </w:rPr>
      </w:pPr>
    </w:p>
    <w:p>
      <w:pPr>
        <w:shd w:val="clear" w:color="auto" w:fill="FFFFFF"/>
        <w:spacing w:line="360" w:lineRule="auto"/>
        <w:jc w:val="center"/>
        <w:rPr>
          <w:rFonts w:hint="eastAsia" w:ascii="黑体" w:hAnsi="黑体" w:eastAsia="黑体"/>
          <w:kern w:val="0"/>
          <w:sz w:val="32"/>
          <w:szCs w:val="24"/>
          <w:highlight w:val="none"/>
          <w:lang w:val="ar-SA"/>
        </w:rPr>
      </w:pPr>
      <w:r>
        <w:rPr>
          <w:rFonts w:hint="default" w:eastAsia="Times New Roman"/>
          <w:kern w:val="0"/>
          <w:sz w:val="32"/>
          <w:szCs w:val="24"/>
          <w:highlight w:val="none"/>
          <w:lang w:val="en-US"/>
        </w:rPr>
        <w:br w:type="page"/>
      </w:r>
      <w:r>
        <w:rPr>
          <w:rFonts w:hint="eastAsia" w:ascii="黑体" w:hAnsi="黑体" w:eastAsia="黑体"/>
          <w:kern w:val="0"/>
          <w:sz w:val="32"/>
          <w:szCs w:val="24"/>
          <w:highlight w:val="none"/>
          <w:lang w:val="en-US"/>
        </w:rPr>
        <w:t>第一部分 单位概况</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一、主要职能</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(1)贯彻执行国家和自治区、乌鲁木齐市有关财政、税收、行政事业单位国有资产管理的法规、制度和方针政策；组织拟定财政、财务、会计管理、行政事业单位国有资产管理等方面的规章、办法，并监督实施；参与有关税收制度和办法的拟定。</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(2)根据我区国民经济和社会发展战略，拟订财政发展战略和中长期规划，提出运用财税政策实施宏观经济调控和综合平衡社会财力的建议。</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(3)承担我乡各项财政收支管理责任；负责编制乡本级预决算草案并组织执行；受乡人民政府委托向镇人民代表大会报告乡本级和我乡预算及其执行情况，向乡人大常委会报告决算；组织实施专项资金绩效考核工作；组织实施经费开支标准、定额，负责财政预决算工作。</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(4)根据预算安排，拟定财政税收收入计划，并组织实施、管理和监督；负责政府非税收入和政府性基金管理；监管财政票据。</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(5)组织实施国库管理和国库集中收付制度，按规定开展本级国库现金管理工作，管理监督各部门国库资金缴拨使用；负责制定全镇政府采购制度并监督管理；管理财政统一发放工资工作。</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(6)负责制定我乡行政事业单位国有资产管理规章制度，按规定管理行政事业单位国有资产，拟定和执行需要全镇统一规定的开支标准和支出政策。</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(7)负责做好政府债务管理，合理安排偿债资金预算。</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(8)参与制定全乡基本建设财务管理制度，负责政府性投资项目财政资金管理工作；承担有关政策性补贴和专项储备资金财政管理工作。</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(9)会同有关部门管理乡财政社会保障和就业及医疗卫生资金管理工作，会同有关部门研究制定社会保障资金有关的财务管理制度。</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(10)管理和指导全乡会计工作，规范会计行为；组织执行国家统一的会计制度和自治区相关补充规定；组织会计人员的业务培训和会计人员从业资格证书。</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(11)监督检查财税法规、政策的执行情况，反映财政收支管理中的重大问题，提出加强财政管理的政策建议。</w:t>
      </w:r>
    </w:p>
    <w:p>
      <w:pPr>
        <w:shd w:val="clear" w:color="auto" w:fill="FFFFFF"/>
        <w:spacing w:line="360" w:lineRule="auto"/>
        <w:ind w:firstLine="640"/>
        <w:rPr>
          <w:rFonts w:hint="default" w:ascii="仿宋_GB2312" w:hAnsi="仿宋_GB2312" w:eastAsia="仿宋_GB2312" w:cs="Times New Roman"/>
          <w:kern w:val="0"/>
          <w:sz w:val="32"/>
          <w:szCs w:val="24"/>
          <w:highlight w:val="none"/>
          <w:lang w:val="zh-CN"/>
        </w:rPr>
      </w:pPr>
      <w:r>
        <w:rPr>
          <w:rFonts w:hint="default" w:ascii="仿宋_GB2312" w:hAnsi="仿宋_GB2312" w:eastAsia="仿宋_GB2312" w:cs="Times New Roman"/>
          <w:kern w:val="0"/>
          <w:sz w:val="32"/>
          <w:szCs w:val="24"/>
          <w:highlight w:val="none"/>
          <w:lang w:val="zh-CN"/>
        </w:rPr>
        <w:t>(12)承办镇人民政府交办的其他事项。</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二、机构设置及人员情况</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乌鲁木齐市米东区柏杨河哈萨克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人民政府2022年度，实有人数83人，其中：在职人员73人，离休人员0人，退休人员10人。</w:t>
      </w:r>
    </w:p>
    <w:p>
      <w:pPr>
        <w:shd w:val="clear" w:color="auto" w:fill="FFFFFF"/>
        <w:spacing w:line="360" w:lineRule="auto"/>
        <w:ind w:firstLine="640"/>
        <w:rPr>
          <w:rFonts w:hint="default" w:eastAsia="Times New Roman"/>
          <w:kern w:val="0"/>
          <w:sz w:val="24"/>
          <w:szCs w:val="24"/>
          <w:highlight w:val="none"/>
          <w:lang w:val="ar-SA"/>
        </w:rPr>
      </w:pPr>
      <w:r>
        <w:rPr>
          <w:rFonts w:hint="eastAsia" w:ascii="仿宋_GB2312" w:hAnsi="仿宋_GB2312" w:eastAsia="仿宋_GB2312"/>
          <w:kern w:val="0"/>
          <w:sz w:val="32"/>
          <w:szCs w:val="24"/>
          <w:highlight w:val="none"/>
          <w:lang w:val="en-US"/>
        </w:rPr>
        <w:t>从部门决算单位构成看，乌鲁木齐市米东区柏杨河哈萨克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人民政府部门决算包括：乌鲁木齐市米东区柏杨河哈萨克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人民政府</w:t>
      </w:r>
      <w:r>
        <w:rPr>
          <w:rFonts w:hint="eastAsia" w:ascii="仿宋_GB2312" w:hAnsi="仿宋_GB2312" w:eastAsia="仿宋_GB2312"/>
          <w:kern w:val="0"/>
          <w:sz w:val="32"/>
          <w:szCs w:val="24"/>
          <w:highlight w:val="none"/>
          <w:lang w:val="zh-CN"/>
        </w:rPr>
        <w:t>决算。单位无下属预算单位，下设</w:t>
      </w:r>
      <w:r>
        <w:rPr>
          <w:rFonts w:hint="eastAsia" w:ascii="仿宋_GB2312" w:hAnsi="仿宋_GB2312" w:eastAsia="仿宋_GB2312"/>
          <w:kern w:val="0"/>
          <w:sz w:val="32"/>
          <w:szCs w:val="24"/>
          <w:highlight w:val="none"/>
          <w:lang w:val="en-US" w:eastAsia="zh-CN"/>
        </w:rPr>
        <w:t>7</w:t>
      </w:r>
      <w:r>
        <w:rPr>
          <w:rFonts w:hint="eastAsia" w:ascii="仿宋_GB2312" w:hAnsi="仿宋_GB2312" w:eastAsia="仿宋_GB2312"/>
          <w:kern w:val="0"/>
          <w:sz w:val="32"/>
          <w:szCs w:val="24"/>
          <w:highlight w:val="none"/>
          <w:lang w:val="zh-CN"/>
        </w:rPr>
        <w:t>个科室，分别是：</w:t>
      </w:r>
      <w:r>
        <w:rPr>
          <w:rFonts w:hint="eastAsia" w:ascii="仿宋_GB2312" w:hAnsi="仿宋_GB2312" w:eastAsia="仿宋_GB2312"/>
          <w:kern w:val="0"/>
          <w:sz w:val="32"/>
          <w:szCs w:val="24"/>
          <w:highlight w:val="none"/>
          <w:lang w:val="en-US"/>
        </w:rPr>
        <w:t>米东区柏杨河哈萨克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人民政府机关、柏杨河哈萨克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财政所、柏杨河哈萨克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产业发展服务中心、柏杨河哈萨克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教育文体广电服务中心、柏杨河哈萨克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社会保障（民政）服务中心、柏杨河哈萨克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和瑞社区、柏杨河哈萨克</w:t>
      </w:r>
      <w:r>
        <w:rPr>
          <w:rFonts w:hint="eastAsia" w:ascii="仿宋_GB2312" w:hAnsi="仿宋_GB2312" w:eastAsia="仿宋_GB2312"/>
          <w:kern w:val="0"/>
          <w:sz w:val="32"/>
          <w:szCs w:val="24"/>
          <w:highlight w:val="none"/>
          <w:lang w:val="en-US" w:eastAsia="zh-CN"/>
        </w:rPr>
        <w:t>族乡</w:t>
      </w:r>
      <w:r>
        <w:rPr>
          <w:rFonts w:hint="eastAsia" w:ascii="仿宋_GB2312" w:hAnsi="仿宋_GB2312" w:eastAsia="仿宋_GB2312"/>
          <w:kern w:val="0"/>
          <w:sz w:val="32"/>
          <w:szCs w:val="24"/>
          <w:highlight w:val="none"/>
          <w:lang w:val="en-US"/>
        </w:rPr>
        <w:t>防疫专员办公室</w:t>
      </w:r>
      <w:r>
        <w:rPr>
          <w:rFonts w:hint="eastAsia" w:ascii="仿宋_GB2312" w:hAnsi="仿宋_GB2312" w:eastAsia="仿宋_GB2312"/>
          <w:kern w:val="0"/>
          <w:sz w:val="32"/>
          <w:szCs w:val="24"/>
          <w:highlight w:val="none"/>
          <w:lang w:val="zh-CN"/>
        </w:rPr>
        <w:t>。</w:t>
      </w:r>
    </w:p>
    <w:p>
      <w:pPr>
        <w:shd w:val="clear" w:color="auto" w:fill="FFFFFF"/>
        <w:spacing w:before="100" w:after="240"/>
        <w:jc w:val="center"/>
        <w:rPr>
          <w:rFonts w:hint="default" w:eastAsia="Times New Roman"/>
          <w:kern w:val="0"/>
          <w:sz w:val="28"/>
          <w:szCs w:val="24"/>
          <w:highlight w:val="none"/>
          <w:lang w:val="ar-SA"/>
        </w:rPr>
      </w:pPr>
      <w:r>
        <w:rPr>
          <w:rFonts w:hint="eastAsia" w:ascii="黑体" w:hAnsi="黑体" w:eastAsia="黑体"/>
          <w:kern w:val="0"/>
          <w:sz w:val="32"/>
          <w:szCs w:val="24"/>
          <w:highlight w:val="none"/>
          <w:lang w:val="en-US"/>
        </w:rPr>
        <w:t>第二部分 部门决算情况说明</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rPr>
        <w:t>2022年度收入</w:t>
      </w:r>
      <w:r>
        <w:rPr>
          <w:rFonts w:hint="eastAsia" w:ascii="仿宋_GB2312" w:hAnsi="仿宋_GB2312" w:eastAsia="仿宋_GB2312"/>
          <w:sz w:val="32"/>
          <w:szCs w:val="24"/>
          <w:highlight w:val="none"/>
          <w:lang w:val="en-US"/>
        </w:rPr>
        <w:t>总计</w:t>
      </w:r>
      <w:r>
        <w:rPr>
          <w:rFonts w:hint="eastAsia" w:ascii="仿宋_GB2312" w:hAnsi="仿宋_GB2312" w:eastAsia="仿宋_GB2312"/>
          <w:kern w:val="0"/>
          <w:sz w:val="32"/>
          <w:szCs w:val="24"/>
          <w:highlight w:val="none"/>
          <w:lang w:val="en-US"/>
        </w:rPr>
        <w:t>2,483.79万元，</w:t>
      </w:r>
      <w:r>
        <w:rPr>
          <w:rFonts w:hint="eastAsia" w:ascii="仿宋_GB2312" w:hAnsi="仿宋_GB2312" w:eastAsia="仿宋_GB2312"/>
          <w:sz w:val="32"/>
          <w:szCs w:val="24"/>
          <w:highlight w:val="none"/>
          <w:lang w:val="en-US"/>
        </w:rPr>
        <w:t>其中：本年收入合计</w:t>
      </w:r>
      <w:r>
        <w:rPr>
          <w:rFonts w:hint="eastAsia" w:ascii="仿宋_GB2312" w:hAnsi="仿宋_GB2312" w:eastAsia="仿宋_GB2312"/>
          <w:kern w:val="0"/>
          <w:sz w:val="32"/>
          <w:szCs w:val="24"/>
          <w:highlight w:val="none"/>
          <w:lang w:val="en-US"/>
        </w:rPr>
        <w:t>2,483.79</w:t>
      </w:r>
      <w:r>
        <w:rPr>
          <w:rFonts w:hint="eastAsia" w:ascii="仿宋_GB2312" w:hAnsi="仿宋_GB2312" w:eastAsia="仿宋_GB2312"/>
          <w:sz w:val="32"/>
          <w:szCs w:val="24"/>
          <w:highlight w:val="none"/>
          <w:lang w:val="en-US"/>
        </w:rPr>
        <w:t>万元，使用非财政拨款结余</w:t>
      </w:r>
      <w:r>
        <w:rPr>
          <w:rFonts w:hint="eastAsia" w:ascii="仿宋_GB2312" w:hAnsi="仿宋_GB2312" w:eastAsia="仿宋_GB2312"/>
          <w:kern w:val="0"/>
          <w:sz w:val="32"/>
          <w:szCs w:val="24"/>
          <w:highlight w:val="none"/>
          <w:lang w:val="en-US"/>
        </w:rPr>
        <w:t>0.00</w:t>
      </w:r>
      <w:r>
        <w:rPr>
          <w:rFonts w:hint="eastAsia" w:ascii="仿宋_GB2312" w:hAnsi="仿宋_GB2312" w:eastAsia="仿宋_GB2312"/>
          <w:sz w:val="32"/>
          <w:szCs w:val="24"/>
          <w:highlight w:val="none"/>
          <w:lang w:val="en-US"/>
        </w:rPr>
        <w:t>万元，年初结转和结余</w:t>
      </w:r>
      <w:r>
        <w:rPr>
          <w:rFonts w:hint="eastAsia" w:ascii="仿宋_GB2312" w:hAnsi="仿宋_GB2312" w:eastAsia="仿宋_GB2312"/>
          <w:kern w:val="0"/>
          <w:sz w:val="32"/>
          <w:szCs w:val="24"/>
          <w:highlight w:val="none"/>
          <w:lang w:val="en-US"/>
        </w:rPr>
        <w:t>0.00</w:t>
      </w:r>
      <w:r>
        <w:rPr>
          <w:rFonts w:hint="eastAsia" w:ascii="仿宋_GB2312" w:hAnsi="仿宋_GB2312" w:eastAsia="仿宋_GB2312"/>
          <w:sz w:val="32"/>
          <w:szCs w:val="24"/>
          <w:highlight w:val="none"/>
          <w:lang w:val="en-US"/>
        </w:rPr>
        <w:t>万元。收入总计</w:t>
      </w:r>
      <w:r>
        <w:rPr>
          <w:rFonts w:hint="eastAsia" w:ascii="仿宋_GB2312" w:hAnsi="仿宋_GB2312" w:eastAsia="仿宋_GB2312"/>
          <w:kern w:val="0"/>
          <w:sz w:val="32"/>
          <w:szCs w:val="24"/>
          <w:highlight w:val="none"/>
          <w:lang w:val="en-US"/>
        </w:rPr>
        <w:t>与上年相比，减少56.30万元，下降2.22%，主要原因是：</w:t>
      </w:r>
      <w:r>
        <w:rPr>
          <w:rFonts w:hint="eastAsia" w:ascii="仿宋_GB2312" w:hAnsi="仿宋_GB2312" w:eastAsia="仿宋_GB2312"/>
          <w:kern w:val="0"/>
          <w:sz w:val="32"/>
          <w:szCs w:val="24"/>
          <w:highlight w:val="none"/>
          <w:lang w:val="en-US" w:eastAsia="zh-CN"/>
        </w:rPr>
        <w:t>本年减少</w:t>
      </w:r>
      <w:r>
        <w:rPr>
          <w:rFonts w:hint="eastAsia" w:ascii="仿宋_GB2312" w:hAnsi="仿宋_GB2312" w:eastAsia="仿宋_GB2312"/>
          <w:kern w:val="0"/>
          <w:sz w:val="32"/>
          <w:szCs w:val="24"/>
          <w:highlight w:val="none"/>
          <w:lang w:val="en-US"/>
        </w:rPr>
        <w:t>公交站点工作人员劳务费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寺管会工作经费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梧桐窝子村5名村民补偿费</w:t>
      </w:r>
      <w:r>
        <w:rPr>
          <w:rFonts w:hint="eastAsia" w:ascii="仿宋_GB2312" w:hAnsi="仿宋_GB2312" w:eastAsia="仿宋_GB2312"/>
          <w:kern w:val="0"/>
          <w:sz w:val="32"/>
          <w:szCs w:val="24"/>
          <w:highlight w:val="none"/>
          <w:lang w:val="en-US" w:eastAsia="zh-CN"/>
        </w:rPr>
        <w:t>等项目资金，收入减少</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sz w:val="32"/>
          <w:szCs w:val="24"/>
          <w:highlight w:val="none"/>
          <w:lang w:val="en-US"/>
        </w:rPr>
        <w:t>本年支出总计</w:t>
      </w:r>
      <w:r>
        <w:rPr>
          <w:rFonts w:hint="eastAsia" w:ascii="仿宋_GB2312" w:hAnsi="仿宋_GB2312" w:eastAsia="仿宋_GB2312"/>
          <w:kern w:val="0"/>
          <w:sz w:val="32"/>
          <w:szCs w:val="24"/>
          <w:highlight w:val="none"/>
          <w:lang w:val="en-US"/>
        </w:rPr>
        <w:t>2,483.79万元，</w:t>
      </w:r>
      <w:r>
        <w:rPr>
          <w:rFonts w:hint="eastAsia" w:ascii="仿宋_GB2312" w:hAnsi="仿宋_GB2312" w:eastAsia="仿宋_GB2312"/>
          <w:sz w:val="32"/>
          <w:szCs w:val="24"/>
          <w:highlight w:val="none"/>
          <w:lang w:val="en-US"/>
        </w:rPr>
        <w:t>其中：本年支出合计</w:t>
      </w:r>
      <w:r>
        <w:rPr>
          <w:rFonts w:hint="eastAsia" w:ascii="仿宋_GB2312" w:hAnsi="仿宋_GB2312" w:eastAsia="仿宋_GB2312"/>
          <w:kern w:val="0"/>
          <w:sz w:val="32"/>
          <w:szCs w:val="24"/>
          <w:highlight w:val="none"/>
          <w:lang w:val="en-US"/>
        </w:rPr>
        <w:t>2,483.79</w:t>
      </w:r>
      <w:r>
        <w:rPr>
          <w:rFonts w:hint="eastAsia" w:ascii="仿宋_GB2312" w:hAnsi="仿宋_GB2312" w:eastAsia="仿宋_GB2312"/>
          <w:sz w:val="32"/>
          <w:szCs w:val="24"/>
          <w:highlight w:val="none"/>
          <w:lang w:val="en-US"/>
        </w:rPr>
        <w:t>万元，结余分配</w:t>
      </w:r>
      <w:r>
        <w:rPr>
          <w:rFonts w:hint="eastAsia" w:ascii="仿宋_GB2312" w:hAnsi="仿宋_GB2312" w:eastAsia="仿宋_GB2312"/>
          <w:kern w:val="0"/>
          <w:sz w:val="32"/>
          <w:szCs w:val="24"/>
          <w:highlight w:val="none"/>
          <w:lang w:val="en-US"/>
        </w:rPr>
        <w:t>0.00</w:t>
      </w:r>
      <w:r>
        <w:rPr>
          <w:rFonts w:hint="eastAsia" w:ascii="仿宋_GB2312" w:hAnsi="仿宋_GB2312" w:eastAsia="仿宋_GB2312"/>
          <w:sz w:val="32"/>
          <w:szCs w:val="24"/>
          <w:highlight w:val="none"/>
          <w:lang w:val="en-US"/>
        </w:rPr>
        <w:t>万元，年末结转和结余</w:t>
      </w:r>
      <w:r>
        <w:rPr>
          <w:rFonts w:hint="eastAsia" w:ascii="仿宋_GB2312" w:hAnsi="仿宋_GB2312" w:eastAsia="仿宋_GB2312"/>
          <w:kern w:val="0"/>
          <w:sz w:val="32"/>
          <w:szCs w:val="24"/>
          <w:highlight w:val="none"/>
          <w:lang w:val="en-US"/>
        </w:rPr>
        <w:t>0.00</w:t>
      </w:r>
      <w:r>
        <w:rPr>
          <w:rFonts w:hint="eastAsia" w:ascii="仿宋_GB2312" w:hAnsi="仿宋_GB2312" w:eastAsia="仿宋_GB2312"/>
          <w:sz w:val="32"/>
          <w:szCs w:val="24"/>
          <w:highlight w:val="none"/>
          <w:lang w:val="en-US"/>
        </w:rPr>
        <w:t>万元。支出总计</w:t>
      </w:r>
      <w:r>
        <w:rPr>
          <w:rFonts w:hint="eastAsia" w:ascii="仿宋_GB2312" w:hAnsi="仿宋_GB2312" w:eastAsia="仿宋_GB2312"/>
          <w:kern w:val="0"/>
          <w:sz w:val="32"/>
          <w:szCs w:val="24"/>
          <w:highlight w:val="none"/>
          <w:lang w:val="en-US"/>
        </w:rPr>
        <w:t>与上年相比，减少56.30万元，下降2.22%，主要原因是：</w:t>
      </w:r>
      <w:r>
        <w:rPr>
          <w:rFonts w:hint="eastAsia" w:ascii="仿宋_GB2312" w:hAnsi="仿宋_GB2312" w:eastAsia="仿宋_GB2312"/>
          <w:kern w:val="0"/>
          <w:sz w:val="32"/>
          <w:szCs w:val="24"/>
          <w:highlight w:val="none"/>
          <w:lang w:val="en-US" w:eastAsia="zh-CN"/>
        </w:rPr>
        <w:t>本年减少</w:t>
      </w:r>
      <w:r>
        <w:rPr>
          <w:rFonts w:hint="eastAsia" w:ascii="仿宋_GB2312" w:hAnsi="仿宋_GB2312" w:eastAsia="仿宋_GB2312"/>
          <w:kern w:val="0"/>
          <w:sz w:val="32"/>
          <w:szCs w:val="24"/>
          <w:highlight w:val="none"/>
          <w:lang w:val="en-US"/>
        </w:rPr>
        <w:t>公交站点工作人员劳务费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寺管会工作经费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梧桐窝子村5名村民补偿费</w:t>
      </w:r>
      <w:r>
        <w:rPr>
          <w:rFonts w:hint="eastAsia" w:ascii="仿宋_GB2312" w:hAnsi="仿宋_GB2312" w:eastAsia="仿宋_GB2312"/>
          <w:kern w:val="0"/>
          <w:sz w:val="32"/>
          <w:szCs w:val="24"/>
          <w:highlight w:val="none"/>
          <w:lang w:val="en-US" w:eastAsia="zh-CN"/>
        </w:rPr>
        <w:t>等项目资金，支出减少</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highlight w:val="none"/>
          <w:lang w:val="en-US"/>
        </w:rPr>
      </w:pPr>
      <w:r>
        <w:rPr>
          <w:rFonts w:hint="eastAsia" w:ascii="黑体" w:hAnsi="黑体" w:eastAsia="黑体"/>
          <w:sz w:val="32"/>
          <w:szCs w:val="24"/>
          <w:highlight w:val="none"/>
          <w:lang w:val="zh-CN"/>
        </w:rPr>
        <w:t>二、收入决算情况说明</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2022年度本年收入2,483.79万元，其中：财政拨款收入2,483.79万元，占100.00%；上级补助收入0.00万元，占0.00%；事业收入0.00万元，占0.00%；经营收入0.00万元，占0.00%；附属单位上缴收入0.00万元，占0.00%；其他收入0.00万元，占0.00%。</w:t>
      </w:r>
    </w:p>
    <w:p>
      <w:pPr>
        <w:spacing w:line="360" w:lineRule="auto"/>
        <w:ind w:firstLine="640"/>
        <w:rPr>
          <w:rFonts w:hint="default" w:eastAsia="Times New Roman"/>
          <w:sz w:val="32"/>
          <w:szCs w:val="24"/>
          <w:highlight w:val="none"/>
          <w:lang w:val="en-US"/>
        </w:rPr>
      </w:pPr>
      <w:r>
        <w:rPr>
          <w:rFonts w:hint="eastAsia" w:ascii="黑体" w:hAnsi="黑体" w:eastAsia="黑体"/>
          <w:sz w:val="32"/>
          <w:szCs w:val="24"/>
          <w:highlight w:val="none"/>
          <w:lang w:val="zh-CN"/>
        </w:rPr>
        <w:t>三、支出决算情况说明</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2022年度本年支出2,483.79万元，其中：基本支出2,477.87万元，占99.76%；项目支出5.92万元，占0.24%；上缴上级支出0.00万元，占0.00%；经营支出0.00万元，占0.00%；对附属单位补助支出0.00万元，占0.00%。</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rPr>
        <w:t>2022年度财政拨款收入</w:t>
      </w:r>
      <w:r>
        <w:rPr>
          <w:rFonts w:hint="eastAsia" w:ascii="仿宋_GB2312" w:hAnsi="仿宋_GB2312" w:eastAsia="仿宋_GB2312"/>
          <w:sz w:val="32"/>
          <w:szCs w:val="24"/>
          <w:highlight w:val="none"/>
          <w:lang w:val="en-US"/>
        </w:rPr>
        <w:t>总计</w:t>
      </w:r>
      <w:r>
        <w:rPr>
          <w:rFonts w:hint="eastAsia" w:ascii="仿宋_GB2312" w:hAnsi="仿宋_GB2312" w:eastAsia="仿宋_GB2312"/>
          <w:kern w:val="0"/>
          <w:sz w:val="32"/>
          <w:szCs w:val="24"/>
          <w:highlight w:val="none"/>
          <w:lang w:val="en-US"/>
        </w:rPr>
        <w:t>2,483.79万元，</w:t>
      </w:r>
      <w:r>
        <w:rPr>
          <w:rFonts w:hint="eastAsia" w:ascii="仿宋_GB2312" w:hAnsi="仿宋_GB2312" w:eastAsia="仿宋_GB2312"/>
          <w:sz w:val="32"/>
          <w:szCs w:val="24"/>
          <w:highlight w:val="none"/>
          <w:lang w:val="en-US"/>
        </w:rPr>
        <w:t>其中：年初财政拨款结转和结余</w:t>
      </w:r>
      <w:r>
        <w:rPr>
          <w:rFonts w:hint="eastAsia" w:ascii="仿宋_GB2312" w:hAnsi="仿宋_GB2312" w:eastAsia="仿宋_GB2312"/>
          <w:kern w:val="0"/>
          <w:sz w:val="32"/>
          <w:szCs w:val="24"/>
          <w:highlight w:val="none"/>
          <w:lang w:val="en-US"/>
        </w:rPr>
        <w:t>0.00</w:t>
      </w:r>
      <w:r>
        <w:rPr>
          <w:rFonts w:hint="eastAsia" w:ascii="仿宋_GB2312" w:hAnsi="仿宋_GB2312" w:eastAsia="仿宋_GB2312"/>
          <w:sz w:val="32"/>
          <w:szCs w:val="24"/>
          <w:highlight w:val="none"/>
          <w:lang w:val="en-US"/>
        </w:rPr>
        <w:t>万元，财政拨款本年收入</w:t>
      </w:r>
      <w:r>
        <w:rPr>
          <w:rFonts w:hint="eastAsia" w:ascii="仿宋_GB2312" w:hAnsi="仿宋_GB2312" w:eastAsia="仿宋_GB2312"/>
          <w:kern w:val="0"/>
          <w:sz w:val="32"/>
          <w:szCs w:val="24"/>
          <w:highlight w:val="none"/>
          <w:lang w:val="en-US"/>
        </w:rPr>
        <w:t>2,483.79</w:t>
      </w:r>
      <w:r>
        <w:rPr>
          <w:rFonts w:hint="eastAsia" w:ascii="仿宋_GB2312" w:hAnsi="仿宋_GB2312" w:eastAsia="仿宋_GB2312"/>
          <w:sz w:val="32"/>
          <w:szCs w:val="24"/>
          <w:highlight w:val="none"/>
          <w:lang w:val="en-US"/>
        </w:rPr>
        <w:t>万元。财政拨款收入总计</w:t>
      </w:r>
      <w:r>
        <w:rPr>
          <w:rFonts w:hint="eastAsia" w:ascii="仿宋_GB2312" w:hAnsi="仿宋_GB2312" w:eastAsia="仿宋_GB2312"/>
          <w:kern w:val="0"/>
          <w:sz w:val="32"/>
          <w:szCs w:val="24"/>
          <w:highlight w:val="none"/>
          <w:lang w:val="en-US"/>
        </w:rPr>
        <w:t>与上年相比，减少56.30万元，下降2.22%，主要原因是：</w:t>
      </w:r>
      <w:r>
        <w:rPr>
          <w:rFonts w:hint="eastAsia" w:ascii="仿宋_GB2312" w:hAnsi="仿宋_GB2312" w:eastAsia="仿宋_GB2312"/>
          <w:kern w:val="0"/>
          <w:sz w:val="32"/>
          <w:szCs w:val="24"/>
          <w:highlight w:val="none"/>
          <w:lang w:val="en-US" w:eastAsia="zh-CN"/>
        </w:rPr>
        <w:t>本年减少</w:t>
      </w:r>
      <w:r>
        <w:rPr>
          <w:rFonts w:hint="eastAsia" w:ascii="仿宋_GB2312" w:hAnsi="仿宋_GB2312" w:eastAsia="仿宋_GB2312"/>
          <w:kern w:val="0"/>
          <w:sz w:val="32"/>
          <w:szCs w:val="24"/>
          <w:highlight w:val="none"/>
          <w:lang w:val="en-US"/>
        </w:rPr>
        <w:t>公交站点工作人员劳务费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寺管会工作经费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梧桐窝子村5名村民补偿费</w:t>
      </w:r>
      <w:r>
        <w:rPr>
          <w:rFonts w:hint="eastAsia" w:ascii="仿宋_GB2312" w:hAnsi="仿宋_GB2312" w:eastAsia="仿宋_GB2312"/>
          <w:kern w:val="0"/>
          <w:sz w:val="32"/>
          <w:szCs w:val="24"/>
          <w:highlight w:val="none"/>
          <w:lang w:val="en-US" w:eastAsia="zh-CN"/>
        </w:rPr>
        <w:t>等项目资金，收入减少</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财政拨款支出</w:t>
      </w:r>
      <w:r>
        <w:rPr>
          <w:rFonts w:hint="eastAsia" w:ascii="仿宋_GB2312" w:hAnsi="仿宋_GB2312" w:eastAsia="仿宋_GB2312"/>
          <w:sz w:val="32"/>
          <w:szCs w:val="24"/>
          <w:highlight w:val="none"/>
          <w:lang w:val="en-US"/>
        </w:rPr>
        <w:t>总计</w:t>
      </w:r>
      <w:r>
        <w:rPr>
          <w:rFonts w:hint="eastAsia" w:ascii="仿宋_GB2312" w:hAnsi="仿宋_GB2312" w:eastAsia="仿宋_GB2312"/>
          <w:kern w:val="0"/>
          <w:sz w:val="32"/>
          <w:szCs w:val="24"/>
          <w:highlight w:val="none"/>
          <w:lang w:val="en-US"/>
        </w:rPr>
        <w:t>2,483.79万元，</w:t>
      </w:r>
      <w:r>
        <w:rPr>
          <w:rFonts w:hint="eastAsia" w:ascii="仿宋_GB2312" w:hAnsi="仿宋_GB2312" w:eastAsia="仿宋_GB2312"/>
          <w:sz w:val="32"/>
          <w:szCs w:val="24"/>
          <w:highlight w:val="none"/>
          <w:lang w:val="en-US"/>
        </w:rPr>
        <w:t>其中：年末财政拨款结转和结余</w:t>
      </w:r>
      <w:r>
        <w:rPr>
          <w:rFonts w:hint="eastAsia" w:ascii="仿宋_GB2312" w:hAnsi="仿宋_GB2312" w:eastAsia="仿宋_GB2312"/>
          <w:kern w:val="0"/>
          <w:sz w:val="32"/>
          <w:szCs w:val="24"/>
          <w:highlight w:val="none"/>
          <w:lang w:val="en-US"/>
        </w:rPr>
        <w:t>0.00</w:t>
      </w:r>
      <w:r>
        <w:rPr>
          <w:rFonts w:hint="eastAsia" w:ascii="仿宋_GB2312" w:hAnsi="仿宋_GB2312" w:eastAsia="仿宋_GB2312"/>
          <w:sz w:val="32"/>
          <w:szCs w:val="24"/>
          <w:highlight w:val="none"/>
          <w:lang w:val="en-US"/>
        </w:rPr>
        <w:t>万元，财政拨款本年支出</w:t>
      </w:r>
      <w:r>
        <w:rPr>
          <w:rFonts w:hint="eastAsia" w:ascii="仿宋_GB2312" w:hAnsi="仿宋_GB2312" w:eastAsia="仿宋_GB2312"/>
          <w:kern w:val="0"/>
          <w:sz w:val="32"/>
          <w:szCs w:val="24"/>
          <w:highlight w:val="none"/>
          <w:lang w:val="en-US"/>
        </w:rPr>
        <w:t>2,483.79</w:t>
      </w:r>
      <w:r>
        <w:rPr>
          <w:rFonts w:hint="eastAsia" w:ascii="仿宋_GB2312" w:hAnsi="仿宋_GB2312" w:eastAsia="仿宋_GB2312"/>
          <w:sz w:val="32"/>
          <w:szCs w:val="24"/>
          <w:highlight w:val="none"/>
          <w:lang w:val="en-US"/>
        </w:rPr>
        <w:t>万元。财政拨款支出总计</w:t>
      </w:r>
      <w:r>
        <w:rPr>
          <w:rFonts w:hint="eastAsia" w:ascii="仿宋_GB2312" w:hAnsi="仿宋_GB2312" w:eastAsia="仿宋_GB2312"/>
          <w:kern w:val="0"/>
          <w:sz w:val="32"/>
          <w:szCs w:val="24"/>
          <w:highlight w:val="none"/>
          <w:lang w:val="en-US"/>
        </w:rPr>
        <w:t>与上年相比，减少56.30万元，下降2.22%，主要原因是：</w:t>
      </w:r>
      <w:r>
        <w:rPr>
          <w:rFonts w:hint="eastAsia" w:ascii="仿宋_GB2312" w:hAnsi="仿宋_GB2312" w:eastAsia="仿宋_GB2312"/>
          <w:kern w:val="0"/>
          <w:sz w:val="32"/>
          <w:szCs w:val="24"/>
          <w:highlight w:val="none"/>
          <w:lang w:val="en-US" w:eastAsia="zh-CN"/>
        </w:rPr>
        <w:t>本年减少</w:t>
      </w:r>
      <w:r>
        <w:rPr>
          <w:rFonts w:hint="eastAsia" w:ascii="仿宋_GB2312" w:hAnsi="仿宋_GB2312" w:eastAsia="仿宋_GB2312"/>
          <w:kern w:val="0"/>
          <w:sz w:val="32"/>
          <w:szCs w:val="24"/>
          <w:highlight w:val="none"/>
          <w:lang w:val="en-US"/>
        </w:rPr>
        <w:t>公交站点工作人员劳务费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寺管会工作经费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梧桐窝子村5名村民补偿费</w:t>
      </w:r>
      <w:r>
        <w:rPr>
          <w:rFonts w:hint="eastAsia" w:ascii="仿宋_GB2312" w:hAnsi="仿宋_GB2312" w:eastAsia="仿宋_GB2312"/>
          <w:kern w:val="0"/>
          <w:sz w:val="32"/>
          <w:szCs w:val="24"/>
          <w:highlight w:val="none"/>
          <w:lang w:val="en-US" w:eastAsia="zh-CN"/>
        </w:rPr>
        <w:t>等项目资金，支出减少</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与年初预算数相比情况：财政拨款收入</w:t>
      </w:r>
      <w:r>
        <w:rPr>
          <w:rFonts w:hint="eastAsia" w:ascii="仿宋_GB2312" w:hAnsi="仿宋_GB2312" w:eastAsia="仿宋_GB2312"/>
          <w:sz w:val="32"/>
          <w:szCs w:val="24"/>
          <w:highlight w:val="none"/>
          <w:lang w:val="en-US"/>
        </w:rPr>
        <w:t>总计</w:t>
      </w:r>
      <w:r>
        <w:rPr>
          <w:rFonts w:hint="eastAsia" w:ascii="仿宋_GB2312" w:hAnsi="仿宋_GB2312" w:eastAsia="仿宋_GB2312"/>
          <w:kern w:val="0"/>
          <w:sz w:val="32"/>
          <w:szCs w:val="24"/>
          <w:highlight w:val="none"/>
          <w:lang w:val="en-US"/>
        </w:rPr>
        <w:t>年初预算数3,022.95万元，决算数2,483.79万元，预决算差异率-17.84%，主要原因是：</w:t>
      </w:r>
      <w:r>
        <w:rPr>
          <w:rFonts w:hint="eastAsia" w:ascii="仿宋_GB2312" w:hAnsi="仿宋_GB2312" w:eastAsia="仿宋_GB2312"/>
          <w:kern w:val="0"/>
          <w:sz w:val="32"/>
          <w:szCs w:val="24"/>
          <w:highlight w:val="none"/>
          <w:lang w:val="en-US" w:eastAsia="zh-CN"/>
        </w:rPr>
        <w:t>本年业务量较上年减少，调减办公经费及办公设备购置、租赁费及其他交通费用，导致预决算有差异</w:t>
      </w:r>
      <w:r>
        <w:rPr>
          <w:rFonts w:hint="eastAsia" w:ascii="仿宋_GB2312" w:hAnsi="仿宋_GB2312" w:eastAsia="仿宋_GB2312"/>
          <w:kern w:val="0"/>
          <w:sz w:val="32"/>
          <w:szCs w:val="24"/>
          <w:highlight w:val="none"/>
          <w:lang w:val="en-US"/>
        </w:rPr>
        <w:t>。财政拨款支出</w:t>
      </w:r>
      <w:r>
        <w:rPr>
          <w:rFonts w:hint="eastAsia" w:ascii="仿宋_GB2312" w:hAnsi="仿宋_GB2312" w:eastAsia="仿宋_GB2312"/>
          <w:sz w:val="32"/>
          <w:szCs w:val="24"/>
          <w:highlight w:val="none"/>
          <w:lang w:val="en-US"/>
        </w:rPr>
        <w:t>总计</w:t>
      </w:r>
      <w:r>
        <w:rPr>
          <w:rFonts w:hint="eastAsia" w:ascii="仿宋_GB2312" w:hAnsi="仿宋_GB2312" w:eastAsia="仿宋_GB2312"/>
          <w:kern w:val="0"/>
          <w:sz w:val="32"/>
          <w:szCs w:val="24"/>
          <w:highlight w:val="none"/>
          <w:lang w:val="en-US"/>
        </w:rPr>
        <w:t>年初预算数3,022.95万元，决算数2,483.79万元，预决算差异率-17.84%，主要原因是：本年业务量较上年减少，调减办公经费及办公设备购置、租赁费及其他交通费用，</w:t>
      </w:r>
      <w:r>
        <w:rPr>
          <w:rFonts w:hint="eastAsia" w:ascii="仿宋_GB2312" w:hAnsi="仿宋_GB2312" w:eastAsia="仿宋_GB2312"/>
          <w:kern w:val="0"/>
          <w:sz w:val="32"/>
          <w:szCs w:val="24"/>
          <w:highlight w:val="none"/>
          <w:lang w:val="en-US" w:eastAsia="zh-CN"/>
        </w:rPr>
        <w:t>支出减少，导致预决算有差异</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五、一般公共预算财政拨款支出决算情况说明</w:t>
      </w:r>
    </w:p>
    <w:p>
      <w:pPr>
        <w:ind w:firstLine="640"/>
        <w:rPr>
          <w:rFonts w:hint="default" w:eastAsia="Times New Roman"/>
          <w:sz w:val="32"/>
          <w:szCs w:val="24"/>
          <w:highlight w:val="none"/>
          <w:lang w:val="en-US"/>
        </w:rPr>
      </w:pPr>
      <w:r>
        <w:rPr>
          <w:rFonts w:hint="eastAsia" w:ascii="黑体" w:hAnsi="黑体" w:eastAsia="黑体"/>
          <w:sz w:val="32"/>
          <w:szCs w:val="24"/>
          <w:highlight w:val="none"/>
          <w:lang w:val="en-US"/>
        </w:rPr>
        <w:t>（一）一般公共预算财政拨款支出决算总体情况</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sz w:val="32"/>
          <w:szCs w:val="24"/>
          <w:highlight w:val="none"/>
          <w:lang w:val="en-US"/>
        </w:rPr>
        <w:t>2022年度一般公共预算财政拨款支出</w:t>
      </w:r>
      <w:r>
        <w:rPr>
          <w:rFonts w:hint="eastAsia" w:ascii="仿宋_GB2312" w:hAnsi="仿宋_GB2312" w:eastAsia="仿宋_GB2312"/>
          <w:kern w:val="0"/>
          <w:sz w:val="32"/>
          <w:szCs w:val="24"/>
          <w:highlight w:val="none"/>
          <w:lang w:val="en-US"/>
        </w:rPr>
        <w:t>2,483.79</w:t>
      </w:r>
      <w:r>
        <w:rPr>
          <w:rFonts w:hint="eastAsia" w:ascii="仿宋_GB2312" w:hAnsi="仿宋_GB2312" w:eastAsia="仿宋_GB2312"/>
          <w:sz w:val="32"/>
          <w:szCs w:val="24"/>
          <w:highlight w:val="none"/>
          <w:lang w:val="en-US"/>
        </w:rPr>
        <w:t>万元，占本年支出合计的</w:t>
      </w:r>
      <w:r>
        <w:rPr>
          <w:rFonts w:hint="eastAsia" w:ascii="仿宋_GB2312" w:hAnsi="仿宋_GB2312" w:eastAsia="仿宋_GB2312"/>
          <w:kern w:val="0"/>
          <w:sz w:val="32"/>
          <w:szCs w:val="24"/>
          <w:highlight w:val="none"/>
          <w:lang w:val="en-US"/>
        </w:rPr>
        <w:t>100.00%</w:t>
      </w:r>
      <w:r>
        <w:rPr>
          <w:rFonts w:hint="eastAsia" w:ascii="仿宋_GB2312" w:hAnsi="仿宋_GB2312" w:eastAsia="仿宋_GB2312"/>
          <w:sz w:val="32"/>
          <w:szCs w:val="24"/>
          <w:highlight w:val="none"/>
          <w:lang w:val="en-US"/>
        </w:rPr>
        <w:t>，与上年相比，</w:t>
      </w:r>
      <w:r>
        <w:rPr>
          <w:rFonts w:hint="eastAsia" w:ascii="仿宋_GB2312" w:hAnsi="仿宋_GB2312" w:eastAsia="仿宋_GB2312"/>
          <w:kern w:val="0"/>
          <w:sz w:val="32"/>
          <w:szCs w:val="24"/>
          <w:highlight w:val="none"/>
          <w:lang w:val="en-US"/>
        </w:rPr>
        <w:t>减少56.30万元，下降2.22%，主要原因是：</w:t>
      </w:r>
      <w:r>
        <w:rPr>
          <w:rFonts w:hint="eastAsia" w:ascii="仿宋_GB2312" w:hAnsi="仿宋_GB2312" w:eastAsia="仿宋_GB2312"/>
          <w:kern w:val="0"/>
          <w:sz w:val="32"/>
          <w:szCs w:val="24"/>
          <w:highlight w:val="none"/>
          <w:lang w:val="en-US" w:eastAsia="zh-CN"/>
        </w:rPr>
        <w:t>本年减少</w:t>
      </w:r>
      <w:r>
        <w:rPr>
          <w:rFonts w:hint="eastAsia" w:ascii="仿宋_GB2312" w:hAnsi="仿宋_GB2312" w:eastAsia="仿宋_GB2312"/>
          <w:kern w:val="0"/>
          <w:sz w:val="32"/>
          <w:szCs w:val="24"/>
          <w:highlight w:val="none"/>
          <w:lang w:val="en-US"/>
        </w:rPr>
        <w:t>公交站点工作人员劳务费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寺管会工作经费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梧桐窝子村5名村民补偿费</w:t>
      </w:r>
      <w:r>
        <w:rPr>
          <w:rFonts w:hint="eastAsia" w:ascii="仿宋_GB2312" w:hAnsi="仿宋_GB2312" w:eastAsia="仿宋_GB2312"/>
          <w:kern w:val="0"/>
          <w:sz w:val="32"/>
          <w:szCs w:val="24"/>
          <w:highlight w:val="none"/>
          <w:lang w:val="en-US" w:eastAsia="zh-CN"/>
        </w:rPr>
        <w:t>等项目资金，支出减少</w:t>
      </w:r>
      <w:r>
        <w:rPr>
          <w:rFonts w:hint="eastAsia" w:ascii="仿宋_GB2312" w:hAnsi="仿宋_GB2312" w:eastAsia="仿宋_GB2312"/>
          <w:kern w:val="0"/>
          <w:sz w:val="32"/>
          <w:szCs w:val="24"/>
          <w:highlight w:val="none"/>
          <w:lang w:val="en-US"/>
        </w:rPr>
        <w:t>。</w:t>
      </w:r>
    </w:p>
    <w:p>
      <w:pPr>
        <w:ind w:firstLine="640"/>
        <w:rPr>
          <w:rFonts w:hint="default" w:eastAsia="Times New Roman"/>
          <w:sz w:val="32"/>
          <w:szCs w:val="24"/>
          <w:highlight w:val="none"/>
          <w:lang w:val="en-US"/>
        </w:rPr>
      </w:pPr>
      <w:r>
        <w:rPr>
          <w:rFonts w:hint="eastAsia" w:ascii="黑体" w:hAnsi="黑体" w:eastAsia="黑体"/>
          <w:sz w:val="32"/>
          <w:szCs w:val="24"/>
          <w:highlight w:val="none"/>
          <w:lang w:val="en-US"/>
        </w:rPr>
        <w:t>（二）一般公共预算财政拨款支出决算结构情况</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sz w:val="32"/>
          <w:szCs w:val="24"/>
          <w:highlight w:val="none"/>
          <w:lang w:val="en-US"/>
        </w:rPr>
        <w:t>1.一般公共服务支出（类）1,615.95万元，占65.06%；</w:t>
      </w:r>
      <w:r>
        <w:rPr>
          <w:rFonts w:hint="eastAsia" w:ascii="仿宋_GB2312" w:hAnsi="仿宋_GB2312" w:eastAsia="仿宋_GB2312"/>
          <w:kern w:val="0"/>
          <w:sz w:val="32"/>
          <w:szCs w:val="24"/>
          <w:highlight w:val="none"/>
          <w:lang w:val="en-US"/>
        </w:rPr>
        <w:t>。</w:t>
      </w:r>
    </w:p>
    <w:p>
      <w:pPr>
        <w:spacing w:line="600" w:lineRule="exact"/>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rPr>
        <w:t>2.社会保障和就业支出（类）388.50万元，占15.64%；</w:t>
      </w:r>
    </w:p>
    <w:p>
      <w:pPr>
        <w:spacing w:line="600" w:lineRule="exact"/>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eastAsia="zh-CN"/>
        </w:rPr>
        <w:t>3.</w:t>
      </w:r>
      <w:r>
        <w:rPr>
          <w:rFonts w:hint="eastAsia" w:ascii="仿宋_GB2312" w:hAnsi="仿宋_GB2312" w:eastAsia="仿宋_GB2312"/>
          <w:kern w:val="0"/>
          <w:sz w:val="32"/>
          <w:szCs w:val="24"/>
          <w:highlight w:val="none"/>
          <w:lang w:val="en-US"/>
        </w:rPr>
        <w:t>卫生健康支出（类）33.92万元，占1.37%；</w:t>
      </w:r>
    </w:p>
    <w:p>
      <w:pPr>
        <w:spacing w:line="600" w:lineRule="exact"/>
        <w:ind w:firstLine="640"/>
        <w:rPr>
          <w:rFonts w:hint="eastAsia" w:ascii="仿宋_GB2312" w:hAnsi="仿宋_GB2312" w:eastAsia="仿宋_GB2312"/>
          <w:kern w:val="0"/>
          <w:sz w:val="32"/>
          <w:szCs w:val="24"/>
          <w:highlight w:val="none"/>
          <w:lang w:val="en-US" w:eastAsia="zh-CN"/>
        </w:rPr>
      </w:pPr>
      <w:r>
        <w:rPr>
          <w:rFonts w:hint="eastAsia" w:ascii="仿宋_GB2312" w:hAnsi="仿宋_GB2312" w:eastAsia="仿宋_GB2312"/>
          <w:kern w:val="0"/>
          <w:sz w:val="32"/>
          <w:szCs w:val="24"/>
          <w:highlight w:val="none"/>
          <w:lang w:val="en-US" w:eastAsia="zh-CN"/>
        </w:rPr>
        <w:t>4.农林水支出（类）445.42万元，占17.93%。</w:t>
      </w:r>
    </w:p>
    <w:p>
      <w:pPr>
        <w:ind w:firstLine="640"/>
        <w:rPr>
          <w:rFonts w:hint="default" w:eastAsia="Times New Roman"/>
          <w:sz w:val="32"/>
          <w:szCs w:val="24"/>
          <w:highlight w:val="none"/>
          <w:lang w:val="en-US"/>
        </w:rPr>
      </w:pPr>
      <w:r>
        <w:rPr>
          <w:rFonts w:hint="eastAsia" w:ascii="黑体" w:hAnsi="黑体" w:eastAsia="黑体"/>
          <w:sz w:val="32"/>
          <w:szCs w:val="24"/>
          <w:highlight w:val="none"/>
          <w:lang w:val="en-US"/>
        </w:rPr>
        <w:t>（三）一般公共预算财政拨款支出决算具体情况</w:t>
      </w:r>
    </w:p>
    <w:p>
      <w:pPr>
        <w:spacing w:line="600" w:lineRule="exact"/>
        <w:ind w:firstLine="640"/>
        <w:rPr>
          <w:rFonts w:hint="eastAsia" w:eastAsia="仿宋_GB2312"/>
          <w:kern w:val="0"/>
          <w:sz w:val="32"/>
          <w:szCs w:val="24"/>
          <w:highlight w:val="none"/>
          <w:lang w:val="en-US" w:eastAsia="zh-CN"/>
        </w:rPr>
      </w:pPr>
      <w:r>
        <w:rPr>
          <w:rFonts w:hint="eastAsia" w:ascii="仿宋_GB2312" w:hAnsi="仿宋_GB2312" w:eastAsia="仿宋_GB2312"/>
          <w:kern w:val="0"/>
          <w:sz w:val="32"/>
          <w:szCs w:val="24"/>
          <w:highlight w:val="none"/>
          <w:lang w:val="en-US"/>
        </w:rPr>
        <w:t>1.一般公共服务支出（类）政府办公厅（室）及相关机构事务（款）行政运行（项）:支出决算数为1,615.95万元，比上年决算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104.11万元，下降</w:t>
      </w:r>
      <w:r>
        <w:rPr>
          <w:rFonts w:hint="eastAsia" w:ascii="仿宋_GB2312" w:hAnsi="仿宋_GB2312" w:eastAsia="仿宋_GB2312"/>
          <w:kern w:val="0"/>
          <w:sz w:val="32"/>
          <w:szCs w:val="24"/>
          <w:highlight w:val="none"/>
          <w:lang w:val="en-US" w:eastAsia="zh-CN"/>
        </w:rPr>
        <w:t>6.05</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本年部分人员工资、津贴补贴调至计划生育服务和事业运行列支，此功能科目支出减少；</w:t>
      </w:r>
    </w:p>
    <w:p>
      <w:pPr>
        <w:spacing w:line="600" w:lineRule="exact"/>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rPr>
        <w:t>2.一般公共服务支出（类）政府办公厅（室）及相关机构事务（款）一般行政管理事务（项）:支出决算数为0.00万元，比上年决算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12.12万元，下降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3</w:t>
      </w:r>
      <w:r>
        <w:rPr>
          <w:rFonts w:hint="eastAsia" w:ascii="仿宋_GB2312" w:hAnsi="仿宋_GB2312" w:eastAsia="仿宋_GB2312"/>
          <w:kern w:val="0"/>
          <w:sz w:val="32"/>
          <w:szCs w:val="24"/>
          <w:highlight w:val="none"/>
          <w:lang w:val="en-US"/>
        </w:rPr>
        <w:t>.一般公共服务支出（类）政府办公厅（室）及相关机构事务（款）事业运行（项）:支出决算数为0.00万元，比上年决算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91.22万元，下降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4</w:t>
      </w:r>
      <w:r>
        <w:rPr>
          <w:rFonts w:hint="eastAsia" w:ascii="仿宋_GB2312" w:hAnsi="仿宋_GB2312" w:eastAsia="仿宋_GB2312"/>
          <w:kern w:val="0"/>
          <w:sz w:val="32"/>
          <w:szCs w:val="24"/>
          <w:highlight w:val="none"/>
          <w:lang w:val="en-US"/>
        </w:rPr>
        <w:t>.一般公共服务支出（类）统战事务（款）其他统战事务支出（项）:支出决算数为0.00万元，比上年决算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0.02万元，下降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5</w:t>
      </w:r>
      <w:r>
        <w:rPr>
          <w:rFonts w:hint="eastAsia" w:ascii="仿宋_GB2312" w:hAnsi="仿宋_GB2312" w:eastAsia="仿宋_GB2312"/>
          <w:kern w:val="0"/>
          <w:sz w:val="32"/>
          <w:szCs w:val="24"/>
          <w:highlight w:val="none"/>
          <w:lang w:val="en-US"/>
        </w:rPr>
        <w:t>.公共安全支出（类）其他公共安全支出（款）其他公共安全支出（项）:支出决算数为0.00万元，比上年决算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3.15万元，下降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6</w:t>
      </w:r>
      <w:r>
        <w:rPr>
          <w:rFonts w:hint="eastAsia" w:ascii="仿宋_GB2312" w:hAnsi="仿宋_GB2312" w:eastAsia="仿宋_GB2312"/>
          <w:kern w:val="0"/>
          <w:sz w:val="32"/>
          <w:szCs w:val="24"/>
          <w:highlight w:val="none"/>
          <w:lang w:val="en-US"/>
        </w:rPr>
        <w:t>.文化旅游体育与传媒支出（类）文化和旅游（款）机关服务（项）:支出决算数为0.00万元，比上年决算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62.04万元，下降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eastAsia" w:ascii="仿宋_GB2312" w:hAnsi="仿宋_GB2312" w:eastAsia="仿宋_GB2312"/>
          <w:kern w:val="0"/>
          <w:sz w:val="32"/>
          <w:szCs w:val="24"/>
          <w:highlight w:val="none"/>
          <w:lang w:val="en-US" w:eastAsia="zh-CN"/>
        </w:rPr>
      </w:pPr>
      <w:r>
        <w:rPr>
          <w:rFonts w:hint="eastAsia" w:ascii="仿宋_GB2312" w:hAnsi="仿宋_GB2312" w:eastAsia="仿宋_GB2312"/>
          <w:kern w:val="0"/>
          <w:sz w:val="32"/>
          <w:szCs w:val="24"/>
          <w:highlight w:val="none"/>
          <w:lang w:val="en-US" w:eastAsia="zh-CN"/>
        </w:rPr>
        <w:t>7</w:t>
      </w:r>
      <w:r>
        <w:rPr>
          <w:rFonts w:hint="eastAsia" w:ascii="仿宋_GB2312" w:hAnsi="仿宋_GB2312" w:eastAsia="仿宋_GB2312"/>
          <w:kern w:val="0"/>
          <w:sz w:val="32"/>
          <w:szCs w:val="24"/>
          <w:highlight w:val="none"/>
          <w:lang w:val="en-US"/>
        </w:rPr>
        <w:t>.社会保障和就业支出（类）人力资源和社会保障管理事务（款）机关服务（项）:支出决算数为0.00万元，比上年决算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61.85万元，下降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8</w:t>
      </w:r>
      <w:r>
        <w:rPr>
          <w:rFonts w:hint="eastAsia" w:ascii="仿宋_GB2312" w:hAnsi="仿宋_GB2312" w:eastAsia="仿宋_GB2312"/>
          <w:kern w:val="0"/>
          <w:sz w:val="32"/>
          <w:szCs w:val="24"/>
          <w:highlight w:val="none"/>
          <w:lang w:val="en-US"/>
        </w:rPr>
        <w:t>.社会保障和就业支出（类）民政管理事务（款）基层政权建设和社区治理（项）:支出决算数为281.85万元，比上年决算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18.03万元，下降</w:t>
      </w:r>
      <w:r>
        <w:rPr>
          <w:rFonts w:hint="eastAsia" w:ascii="仿宋_GB2312" w:hAnsi="仿宋_GB2312" w:eastAsia="仿宋_GB2312"/>
          <w:kern w:val="0"/>
          <w:sz w:val="32"/>
          <w:szCs w:val="24"/>
          <w:highlight w:val="none"/>
          <w:lang w:val="en-US" w:eastAsia="zh-CN"/>
        </w:rPr>
        <w:t>6.01</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本年单位此项功能科目列支的临聘人员劳务费调至行政运行发放，此项支出减少；</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9</w:t>
      </w:r>
      <w:r>
        <w:rPr>
          <w:rFonts w:hint="eastAsia" w:ascii="仿宋_GB2312" w:hAnsi="仿宋_GB2312" w:eastAsia="仿宋_GB2312"/>
          <w:kern w:val="0"/>
          <w:sz w:val="32"/>
          <w:szCs w:val="24"/>
          <w:highlight w:val="none"/>
          <w:lang w:val="en-US"/>
        </w:rPr>
        <w:t>.社会保障和就业支出（类）行政事业单位养老支出（款）机关事业单位基本养老保险缴费支出（项）:支出决算数为104.65万元，比上年决算</w:t>
      </w:r>
      <w:r>
        <w:rPr>
          <w:rFonts w:hint="eastAsia" w:ascii="仿宋_GB2312" w:hAnsi="仿宋_GB2312" w:eastAsia="仿宋_GB2312"/>
          <w:kern w:val="0"/>
          <w:sz w:val="32"/>
          <w:szCs w:val="24"/>
          <w:highlight w:val="none"/>
          <w:lang w:val="en-US" w:eastAsia="zh-CN"/>
        </w:rPr>
        <w:t>增加</w:t>
      </w:r>
      <w:r>
        <w:rPr>
          <w:rFonts w:hint="eastAsia" w:ascii="仿宋_GB2312" w:hAnsi="仿宋_GB2312" w:eastAsia="仿宋_GB2312"/>
          <w:kern w:val="0"/>
          <w:sz w:val="32"/>
          <w:szCs w:val="24"/>
          <w:highlight w:val="none"/>
          <w:lang w:val="en-US"/>
        </w:rPr>
        <w:t>44.15万元，</w:t>
      </w:r>
      <w:r>
        <w:rPr>
          <w:rFonts w:hint="eastAsia" w:ascii="仿宋_GB2312" w:hAnsi="仿宋_GB2312" w:eastAsia="仿宋_GB2312"/>
          <w:kern w:val="0"/>
          <w:sz w:val="32"/>
          <w:szCs w:val="24"/>
          <w:highlight w:val="none"/>
          <w:lang w:val="en-US" w:eastAsia="zh-CN"/>
        </w:rPr>
        <w:t>增长72.98</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本年工资及社保基数上调，养老保险缴费增加，此项支出增加；</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10</w:t>
      </w:r>
      <w:r>
        <w:rPr>
          <w:rFonts w:hint="eastAsia" w:ascii="仿宋_GB2312" w:hAnsi="仿宋_GB2312" w:eastAsia="仿宋_GB2312"/>
          <w:kern w:val="0"/>
          <w:sz w:val="32"/>
          <w:szCs w:val="24"/>
          <w:highlight w:val="none"/>
          <w:lang w:val="en-US"/>
        </w:rPr>
        <w:t>.社会保障和就业支出（类）其他生活救助（款）其他城市生活救助（项）:支出决算数为2.00万元，比上年决算</w:t>
      </w:r>
      <w:r>
        <w:rPr>
          <w:rFonts w:hint="eastAsia" w:ascii="仿宋_GB2312" w:hAnsi="仿宋_GB2312" w:eastAsia="仿宋_GB2312"/>
          <w:kern w:val="0"/>
          <w:sz w:val="32"/>
          <w:szCs w:val="24"/>
          <w:highlight w:val="none"/>
          <w:lang w:val="en-US" w:eastAsia="zh-CN"/>
        </w:rPr>
        <w:t>增加</w:t>
      </w:r>
      <w:r>
        <w:rPr>
          <w:rFonts w:hint="eastAsia" w:ascii="仿宋_GB2312" w:hAnsi="仿宋_GB2312" w:eastAsia="仿宋_GB2312"/>
          <w:kern w:val="0"/>
          <w:sz w:val="32"/>
          <w:szCs w:val="24"/>
          <w:highlight w:val="none"/>
          <w:lang w:val="en-US"/>
        </w:rPr>
        <w:t>2.00万元，下降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本年增加</w:t>
      </w:r>
      <w:r>
        <w:rPr>
          <w:rFonts w:hint="eastAsia" w:ascii="仿宋_GB2312" w:hAnsi="仿宋_GB2312" w:eastAsia="仿宋_GB2312"/>
          <w:kern w:val="0"/>
          <w:sz w:val="32"/>
          <w:szCs w:val="24"/>
          <w:highlight w:val="none"/>
          <w:lang w:val="en-US"/>
        </w:rPr>
        <w:t>疫情影响生活困难人员一次性救助金</w:t>
      </w:r>
      <w:r>
        <w:rPr>
          <w:rFonts w:hint="eastAsia" w:ascii="仿宋_GB2312" w:hAnsi="仿宋_GB2312" w:eastAsia="仿宋_GB2312"/>
          <w:kern w:val="0"/>
          <w:sz w:val="32"/>
          <w:szCs w:val="24"/>
          <w:highlight w:val="none"/>
          <w:lang w:val="en-US" w:eastAsia="zh-CN"/>
        </w:rPr>
        <w:t>，此项支出增加；</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11</w:t>
      </w:r>
      <w:r>
        <w:rPr>
          <w:rFonts w:hint="eastAsia" w:ascii="仿宋_GB2312" w:hAnsi="仿宋_GB2312" w:eastAsia="仿宋_GB2312"/>
          <w:kern w:val="0"/>
          <w:sz w:val="32"/>
          <w:szCs w:val="24"/>
          <w:highlight w:val="none"/>
          <w:lang w:val="en-US"/>
        </w:rPr>
        <w:t>.卫生健康支出（类）公共卫生（款）其他专业公共卫生机构（项）:支出决算数为0.00万元，比上年决算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22.98万元，下降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12</w:t>
      </w:r>
      <w:r>
        <w:rPr>
          <w:rFonts w:hint="eastAsia" w:ascii="仿宋_GB2312" w:hAnsi="仿宋_GB2312" w:eastAsia="仿宋_GB2312"/>
          <w:kern w:val="0"/>
          <w:sz w:val="32"/>
          <w:szCs w:val="24"/>
          <w:highlight w:val="none"/>
          <w:lang w:val="en-US"/>
        </w:rPr>
        <w:t>.卫生健康支出（类）公共卫生（款）突发公共卫生事件应急处理（项）:支出决算数为3.92万元，比上年决算</w:t>
      </w:r>
      <w:r>
        <w:rPr>
          <w:rFonts w:hint="eastAsia" w:ascii="仿宋_GB2312" w:hAnsi="仿宋_GB2312" w:eastAsia="仿宋_GB2312"/>
          <w:kern w:val="0"/>
          <w:sz w:val="32"/>
          <w:szCs w:val="24"/>
          <w:highlight w:val="none"/>
          <w:lang w:val="en-US" w:eastAsia="zh-CN"/>
        </w:rPr>
        <w:t>增加</w:t>
      </w:r>
      <w:r>
        <w:rPr>
          <w:rFonts w:hint="eastAsia" w:ascii="仿宋_GB2312" w:hAnsi="仿宋_GB2312" w:eastAsia="仿宋_GB2312"/>
          <w:kern w:val="0"/>
          <w:sz w:val="32"/>
          <w:szCs w:val="24"/>
          <w:highlight w:val="none"/>
          <w:lang w:val="en-US"/>
        </w:rPr>
        <w:t>3.92万元，</w:t>
      </w:r>
      <w:r>
        <w:rPr>
          <w:rFonts w:hint="eastAsia" w:ascii="仿宋_GB2312" w:hAnsi="仿宋_GB2312" w:eastAsia="仿宋_GB2312"/>
          <w:kern w:val="0"/>
          <w:sz w:val="32"/>
          <w:szCs w:val="24"/>
          <w:highlight w:val="none"/>
          <w:lang w:val="en-US" w:eastAsia="zh-CN"/>
        </w:rPr>
        <w:t>增长100.00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本年增加因疫情滞留外地人员补助资金项目，此项支出增加；</w:t>
      </w:r>
    </w:p>
    <w:p>
      <w:pPr>
        <w:spacing w:line="600" w:lineRule="exact"/>
        <w:ind w:firstLine="640"/>
        <w:rPr>
          <w:rFonts w:hint="eastAsia" w:eastAsia="仿宋_GB2312"/>
          <w:sz w:val="32"/>
          <w:szCs w:val="24"/>
          <w:highlight w:val="none"/>
          <w:lang w:val="en-US" w:eastAsia="zh-CN"/>
        </w:rPr>
      </w:pPr>
      <w:r>
        <w:rPr>
          <w:rFonts w:hint="eastAsia" w:ascii="仿宋_GB2312" w:hAnsi="仿宋_GB2312" w:eastAsia="仿宋_GB2312"/>
          <w:kern w:val="0"/>
          <w:sz w:val="32"/>
          <w:szCs w:val="24"/>
          <w:highlight w:val="none"/>
          <w:lang w:val="en-US" w:eastAsia="zh-CN"/>
        </w:rPr>
        <w:t>13</w:t>
      </w:r>
      <w:r>
        <w:rPr>
          <w:rFonts w:hint="eastAsia" w:ascii="仿宋_GB2312" w:hAnsi="仿宋_GB2312" w:eastAsia="仿宋_GB2312"/>
          <w:kern w:val="0"/>
          <w:sz w:val="32"/>
          <w:szCs w:val="24"/>
          <w:highlight w:val="none"/>
          <w:lang w:val="en-US"/>
        </w:rPr>
        <w:t>.卫生健康支出（类）计划生育事务（款）计划生育服务（项）:支出决算数为30.00万元，比上年决算</w:t>
      </w:r>
      <w:r>
        <w:rPr>
          <w:rFonts w:hint="eastAsia" w:ascii="仿宋_GB2312" w:hAnsi="仿宋_GB2312" w:eastAsia="仿宋_GB2312"/>
          <w:kern w:val="0"/>
          <w:sz w:val="32"/>
          <w:szCs w:val="24"/>
          <w:highlight w:val="none"/>
          <w:lang w:val="en-US" w:eastAsia="zh-CN"/>
        </w:rPr>
        <w:t>增加</w:t>
      </w:r>
      <w:r>
        <w:rPr>
          <w:rFonts w:hint="eastAsia" w:ascii="仿宋_GB2312" w:hAnsi="仿宋_GB2312" w:eastAsia="仿宋_GB2312"/>
          <w:kern w:val="0"/>
          <w:sz w:val="32"/>
          <w:szCs w:val="24"/>
          <w:highlight w:val="none"/>
          <w:lang w:val="en-US"/>
        </w:rPr>
        <w:t>30.00万元，</w:t>
      </w:r>
      <w:r>
        <w:rPr>
          <w:rFonts w:hint="eastAsia" w:ascii="仿宋_GB2312" w:hAnsi="仿宋_GB2312" w:eastAsia="仿宋_GB2312"/>
          <w:kern w:val="0"/>
          <w:sz w:val="32"/>
          <w:szCs w:val="24"/>
          <w:highlight w:val="none"/>
          <w:lang w:val="en-US" w:eastAsia="zh-CN"/>
        </w:rPr>
        <w:t>增长100.00</w:t>
      </w:r>
      <w:r>
        <w:rPr>
          <w:rFonts w:hint="eastAsia" w:ascii="仿宋_GB2312" w:hAnsi="仿宋_GB2312" w:eastAsia="仿宋_GB2312"/>
          <w:kern w:val="0"/>
          <w:sz w:val="32"/>
          <w:szCs w:val="24"/>
          <w:highlight w:val="none"/>
          <w:lang w:val="en-US"/>
        </w:rPr>
        <w:t>%，主要原因是：本年部分事业编制干部人员工资从行政运行调至此科目列支，导致此功能科目支出增加</w:t>
      </w:r>
      <w:r>
        <w:rPr>
          <w:rFonts w:hint="eastAsia" w:ascii="仿宋_GB2312" w:hAnsi="仿宋_GB2312" w:eastAsia="仿宋_GB2312"/>
          <w:kern w:val="0"/>
          <w:sz w:val="32"/>
          <w:szCs w:val="24"/>
          <w:highlight w:val="none"/>
          <w:lang w:val="en-US" w:eastAsia="zh-CN"/>
        </w:rPr>
        <w:t>；</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14</w:t>
      </w:r>
      <w:r>
        <w:rPr>
          <w:rFonts w:hint="eastAsia" w:ascii="仿宋_GB2312" w:hAnsi="仿宋_GB2312" w:eastAsia="仿宋_GB2312"/>
          <w:kern w:val="0"/>
          <w:sz w:val="32"/>
          <w:szCs w:val="24"/>
          <w:highlight w:val="none"/>
          <w:lang w:val="en-US"/>
        </w:rPr>
        <w:t>.城乡社区支出（类）城乡社区管理事务（款）其他城乡社区管理事务支出（项）:支出决算数为0.00万元，比上年决算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10.00万元，</w:t>
      </w:r>
      <w:r>
        <w:rPr>
          <w:rFonts w:hint="eastAsia" w:ascii="仿宋_GB2312" w:hAnsi="仿宋_GB2312" w:eastAsia="仿宋_GB2312"/>
          <w:kern w:val="0"/>
          <w:sz w:val="32"/>
          <w:szCs w:val="24"/>
          <w:highlight w:val="none"/>
          <w:lang w:val="en-US" w:eastAsia="zh-CN"/>
        </w:rPr>
        <w:t>下降100.00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highlight w:val="none"/>
          <w:lang w:val="en-US" w:eastAsia="zh-CN"/>
        </w:rPr>
        <w:t>15</w:t>
      </w:r>
      <w:r>
        <w:rPr>
          <w:rFonts w:hint="eastAsia" w:ascii="仿宋_GB2312" w:hAnsi="仿宋_GB2312" w:eastAsia="仿宋_GB2312"/>
          <w:kern w:val="0"/>
          <w:sz w:val="32"/>
          <w:szCs w:val="24"/>
          <w:highlight w:val="none"/>
          <w:lang w:val="en-US"/>
        </w:rPr>
        <w:t>.城乡社区支出（类）城乡社区环境卫生（款）城乡社区环境卫生（项）:支出决算数为0.00万元，比上年决算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39.66万元，</w:t>
      </w:r>
      <w:r>
        <w:rPr>
          <w:rFonts w:hint="eastAsia" w:ascii="仿宋_GB2312" w:hAnsi="仿宋_GB2312" w:eastAsia="仿宋_GB2312"/>
          <w:kern w:val="0"/>
          <w:sz w:val="32"/>
          <w:szCs w:val="24"/>
          <w:highlight w:val="none"/>
          <w:lang w:val="en-US" w:eastAsia="zh-CN"/>
        </w:rPr>
        <w:t>下降100.00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600" w:lineRule="exact"/>
        <w:ind w:firstLine="640"/>
        <w:rPr>
          <w:rFonts w:hint="eastAsia" w:eastAsia="仿宋_GB2312"/>
          <w:sz w:val="32"/>
          <w:szCs w:val="24"/>
          <w:highlight w:val="none"/>
          <w:lang w:val="en-US" w:eastAsia="zh-CN"/>
        </w:rPr>
      </w:pPr>
      <w:r>
        <w:rPr>
          <w:rFonts w:hint="eastAsia" w:ascii="仿宋_GB2312" w:hAnsi="仿宋_GB2312" w:eastAsia="仿宋_GB2312"/>
          <w:kern w:val="0"/>
          <w:sz w:val="32"/>
          <w:szCs w:val="24"/>
          <w:highlight w:val="none"/>
          <w:lang w:val="en-US" w:eastAsia="zh-CN"/>
        </w:rPr>
        <w:t>16</w:t>
      </w:r>
      <w:r>
        <w:rPr>
          <w:rFonts w:hint="eastAsia" w:ascii="仿宋_GB2312" w:hAnsi="仿宋_GB2312" w:eastAsia="仿宋_GB2312"/>
          <w:kern w:val="0"/>
          <w:sz w:val="32"/>
          <w:szCs w:val="24"/>
          <w:highlight w:val="none"/>
          <w:lang w:val="en-US"/>
        </w:rPr>
        <w:t>.城乡社区支出（类）其他城乡社区支出（款）其他城乡社区支出（项）:支出决算数为</w:t>
      </w:r>
      <w:r>
        <w:rPr>
          <w:rFonts w:hint="eastAsia" w:ascii="仿宋_GB2312" w:hAnsi="仿宋_GB2312" w:eastAsia="仿宋_GB2312"/>
          <w:kern w:val="0"/>
          <w:sz w:val="32"/>
          <w:szCs w:val="24"/>
          <w:highlight w:val="none"/>
          <w:lang w:val="en-US" w:eastAsia="zh-CN"/>
        </w:rPr>
        <w:t>0.00</w:t>
      </w:r>
      <w:r>
        <w:rPr>
          <w:rFonts w:hint="eastAsia" w:ascii="仿宋_GB2312" w:hAnsi="仿宋_GB2312" w:eastAsia="仿宋_GB2312"/>
          <w:kern w:val="0"/>
          <w:sz w:val="32"/>
          <w:szCs w:val="24"/>
          <w:highlight w:val="none"/>
          <w:lang w:val="en-US"/>
        </w:rPr>
        <w:t>万元，比上年决算</w:t>
      </w:r>
      <w:r>
        <w:rPr>
          <w:rFonts w:hint="eastAsia" w:ascii="仿宋_GB2312" w:hAnsi="仿宋_GB2312" w:eastAsia="仿宋_GB2312"/>
          <w:kern w:val="0"/>
          <w:sz w:val="32"/>
          <w:szCs w:val="24"/>
          <w:highlight w:val="none"/>
          <w:lang w:val="en-US" w:eastAsia="zh-CN"/>
        </w:rPr>
        <w:t>减少</w:t>
      </w:r>
      <w:r>
        <w:rPr>
          <w:rFonts w:hint="eastAsia" w:ascii="仿宋_GB2312" w:hAnsi="仿宋_GB2312" w:eastAsia="仿宋_GB2312"/>
          <w:kern w:val="0"/>
          <w:sz w:val="32"/>
          <w:szCs w:val="24"/>
          <w:highlight w:val="none"/>
          <w:lang w:val="en-US"/>
        </w:rPr>
        <w:t>13.41万元，</w:t>
      </w:r>
      <w:r>
        <w:rPr>
          <w:rFonts w:hint="eastAsia" w:ascii="仿宋_GB2312" w:hAnsi="仿宋_GB2312" w:eastAsia="仿宋_GB2312"/>
          <w:kern w:val="0"/>
          <w:sz w:val="32"/>
          <w:szCs w:val="24"/>
          <w:highlight w:val="none"/>
          <w:lang w:val="en-US" w:eastAsia="zh-CN"/>
        </w:rPr>
        <w:t>下降100.00</w:t>
      </w:r>
      <w:r>
        <w:rPr>
          <w:rFonts w:hint="eastAsia" w:ascii="仿宋_GB2312" w:hAnsi="仿宋_GB2312" w:eastAsia="仿宋_GB2312"/>
          <w:kern w:val="0"/>
          <w:sz w:val="32"/>
          <w:szCs w:val="24"/>
          <w:highlight w:val="none"/>
          <w:lang w:val="en-US"/>
        </w:rPr>
        <w:t>%，主要原因是：本年此功能科目未支出</w:t>
      </w:r>
      <w:r>
        <w:rPr>
          <w:rFonts w:hint="eastAsia" w:ascii="仿宋_GB2312" w:hAnsi="仿宋_GB2312" w:eastAsia="仿宋_GB2312"/>
          <w:kern w:val="0"/>
          <w:sz w:val="32"/>
          <w:szCs w:val="24"/>
          <w:highlight w:val="none"/>
          <w:lang w:val="en-US" w:eastAsia="zh-CN"/>
        </w:rPr>
        <w:t>；</w:t>
      </w:r>
    </w:p>
    <w:p>
      <w:pPr>
        <w:spacing w:line="600" w:lineRule="exact"/>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eastAsia="zh-CN"/>
        </w:rPr>
        <w:t>17</w:t>
      </w:r>
      <w:r>
        <w:rPr>
          <w:rFonts w:hint="eastAsia" w:ascii="仿宋_GB2312" w:hAnsi="仿宋_GB2312" w:eastAsia="仿宋_GB2312"/>
          <w:kern w:val="0"/>
          <w:sz w:val="32"/>
          <w:szCs w:val="24"/>
          <w:highlight w:val="none"/>
          <w:lang w:val="en-US"/>
        </w:rPr>
        <w:t>.农林水支出（类）农业农村（款）事业运行（项）:支出决算数为445.42万元，比上年决算</w:t>
      </w:r>
      <w:r>
        <w:rPr>
          <w:rFonts w:hint="eastAsia" w:ascii="仿宋_GB2312" w:hAnsi="仿宋_GB2312" w:eastAsia="仿宋_GB2312"/>
          <w:kern w:val="0"/>
          <w:sz w:val="32"/>
          <w:szCs w:val="24"/>
          <w:highlight w:val="none"/>
          <w:lang w:val="en-US" w:eastAsia="zh-CN"/>
        </w:rPr>
        <w:t>增加</w:t>
      </w:r>
      <w:r>
        <w:rPr>
          <w:rFonts w:hint="eastAsia" w:ascii="仿宋_GB2312" w:hAnsi="仿宋_GB2312" w:eastAsia="仿宋_GB2312"/>
          <w:kern w:val="0"/>
          <w:sz w:val="32"/>
          <w:szCs w:val="24"/>
          <w:highlight w:val="none"/>
          <w:lang w:val="en-US"/>
        </w:rPr>
        <w:t>302.22万元，</w:t>
      </w:r>
      <w:r>
        <w:rPr>
          <w:rFonts w:hint="eastAsia" w:ascii="仿宋_GB2312" w:hAnsi="仿宋_GB2312" w:eastAsia="仿宋_GB2312"/>
          <w:kern w:val="0"/>
          <w:sz w:val="32"/>
          <w:szCs w:val="24"/>
          <w:highlight w:val="none"/>
          <w:lang w:val="en-US" w:eastAsia="zh-CN"/>
        </w:rPr>
        <w:t>增长211.05</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本年部分事业编制干部人员工资从行政运行调至此科目列支，导致此功能科目支出增加</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六、一般公共预算财政拨款基本支出决算情况说明</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rPr>
        <w:t>2022年度一般公共预算财政拨款基本支出2,477.87万元，其中：</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人员经费1,608.96万元，包括：基本工资、津贴补贴、奖金、机关事业单位基本养老保险缴费、职工基本医疗保险缴费、公务员医疗补助缴费、其他社会保障缴费、住房公积金、其他工资福利支出、生活补助。</w:t>
      </w:r>
    </w:p>
    <w:p>
      <w:pPr>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rPr>
        <w:t>公用经费868.91万元，包括：办公费、印刷费、电费、邮电费、取暖费、维修（护）费、劳务费、福利费、其他交通费用、其他商品和服务支出。</w:t>
      </w:r>
    </w:p>
    <w:p>
      <w:pPr>
        <w:spacing w:line="360" w:lineRule="auto"/>
        <w:ind w:firstLine="640"/>
        <w:rPr>
          <w:rFonts w:hint="default" w:eastAsia="Times New Roman"/>
          <w:sz w:val="32"/>
          <w:szCs w:val="24"/>
          <w:highlight w:val="none"/>
          <w:lang w:val="en-US"/>
        </w:rPr>
      </w:pPr>
      <w:r>
        <w:rPr>
          <w:rFonts w:hint="eastAsia" w:ascii="黑体" w:hAnsi="黑体" w:eastAsia="黑体"/>
          <w:sz w:val="32"/>
          <w:szCs w:val="24"/>
          <w:highlight w:val="none"/>
          <w:lang w:val="zh-CN"/>
        </w:rPr>
        <w:t>七、财政拨款</w:t>
      </w:r>
      <w:r>
        <w:rPr>
          <w:rFonts w:hint="eastAsia" w:ascii="黑体" w:hAnsi="黑体" w:eastAsia="黑体"/>
          <w:kern w:val="0"/>
          <w:sz w:val="32"/>
          <w:szCs w:val="24"/>
          <w:highlight w:val="none"/>
          <w:lang w:val="en-US"/>
        </w:rPr>
        <w:t>“三公”</w:t>
      </w:r>
      <w:r>
        <w:rPr>
          <w:rFonts w:hint="eastAsia" w:ascii="黑体" w:hAnsi="黑体" w:eastAsia="黑体"/>
          <w:sz w:val="32"/>
          <w:szCs w:val="24"/>
          <w:highlight w:val="none"/>
          <w:lang w:val="zh-CN"/>
        </w:rPr>
        <w:t>经费支出决算情况说明</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2022年度</w:t>
      </w:r>
      <w:r>
        <w:rPr>
          <w:rFonts w:hint="eastAsia" w:ascii="仿宋_GB2312" w:hAnsi="仿宋_GB2312" w:eastAsia="仿宋_GB2312"/>
          <w:sz w:val="32"/>
          <w:szCs w:val="24"/>
          <w:highlight w:val="none"/>
          <w:lang w:val="en-US"/>
        </w:rPr>
        <w:t>财政拨款</w:t>
      </w:r>
      <w:r>
        <w:rPr>
          <w:rFonts w:hint="eastAsia" w:ascii="仿宋_GB2312" w:hAnsi="仿宋_GB2312" w:eastAsia="仿宋_GB2312"/>
          <w:kern w:val="0"/>
          <w:sz w:val="32"/>
          <w:szCs w:val="24"/>
          <w:highlight w:val="none"/>
          <w:lang w:val="en-US"/>
        </w:rPr>
        <w:t>“三公”经费支出决算0.00万元，比上年减少5.00万元，下降100.00%，主要原因是：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其中：因公出国（境）费支出0.00万元，占0.00%，比上年增加0.00万元，增长0.00%，主要原因是：本年单位无因公出国（境）费支出；公务用车购置及运行维护费支出0.00万元，占0.00%，比上年减少5.00万元，下降100.00%，主要原因是：</w:t>
      </w:r>
      <w:r>
        <w:rPr>
          <w:rFonts w:hint="eastAsia" w:ascii="仿宋_GB2312" w:hAnsi="仿宋_GB2312" w:eastAsia="仿宋_GB2312"/>
          <w:kern w:val="0"/>
          <w:sz w:val="32"/>
          <w:szCs w:val="24"/>
          <w:highlight w:val="none"/>
          <w:lang w:val="en-US" w:eastAsia="zh-CN"/>
        </w:rPr>
        <w:t>本年业务量减少，相关车辆维修维护费、燃油费减少</w:t>
      </w:r>
      <w:r>
        <w:rPr>
          <w:rFonts w:hint="eastAsia" w:ascii="仿宋_GB2312" w:hAnsi="仿宋_GB2312" w:eastAsia="仿宋_GB2312"/>
          <w:kern w:val="0"/>
          <w:sz w:val="32"/>
          <w:szCs w:val="24"/>
          <w:highlight w:val="none"/>
          <w:lang w:val="en-US"/>
        </w:rPr>
        <w:t>；公务接待费支出0.00万元，占0.00%，比上年增加0.00万元，增长0.00%，主要原因是：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。具体情况如下：</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公务用车购置及运行维护费0.00万元，其中：公务用车购置费0.00万元，公务用车运行维护费0.00万元。公务用车运行维护费开支内容包括</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。公务用车购置数0辆，公务用车保有量0辆。</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公务接待费0.00万元，开支内容包括</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。单位全年安排的国内公务接待0批次，0人次。</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与</w:t>
      </w:r>
      <w:r>
        <w:rPr>
          <w:rFonts w:hint="eastAsia" w:ascii="仿宋_GB2312" w:hAnsi="仿宋_GB2312" w:eastAsia="仿宋_GB2312"/>
          <w:sz w:val="32"/>
          <w:szCs w:val="24"/>
          <w:highlight w:val="none"/>
          <w:lang w:val="en-US"/>
        </w:rPr>
        <w:t>全年</w:t>
      </w:r>
      <w:r>
        <w:rPr>
          <w:rFonts w:hint="eastAsia" w:ascii="仿宋_GB2312" w:hAnsi="仿宋_GB2312" w:eastAsia="仿宋_GB2312"/>
          <w:kern w:val="0"/>
          <w:sz w:val="32"/>
          <w:szCs w:val="24"/>
          <w:highlight w:val="none"/>
          <w:lang w:val="en-US"/>
        </w:rPr>
        <w:t>预算</w:t>
      </w:r>
      <w:r>
        <w:rPr>
          <w:rFonts w:hint="eastAsia" w:ascii="仿宋_GB2312" w:hAnsi="仿宋_GB2312" w:eastAsia="仿宋_GB2312"/>
          <w:kern w:val="0"/>
          <w:sz w:val="32"/>
          <w:szCs w:val="24"/>
          <w:highlight w:val="none"/>
          <w:lang w:val="zh-CN"/>
        </w:rPr>
        <w:t>数</w:t>
      </w:r>
      <w:r>
        <w:rPr>
          <w:rFonts w:hint="eastAsia" w:ascii="仿宋_GB2312" w:hAnsi="仿宋_GB2312" w:eastAsia="仿宋_GB2312"/>
          <w:kern w:val="0"/>
          <w:sz w:val="32"/>
          <w:szCs w:val="24"/>
          <w:highlight w:val="none"/>
          <w:lang w:val="en-US"/>
        </w:rPr>
        <w:t>相比情况</w:t>
      </w:r>
      <w:r>
        <w:rPr>
          <w:rFonts w:hint="eastAsia" w:ascii="仿宋_GB2312" w:hAnsi="仿宋_GB2312" w:eastAsia="仿宋_GB2312"/>
          <w:sz w:val="32"/>
          <w:szCs w:val="24"/>
          <w:highlight w:val="none"/>
          <w:lang w:val="en-US"/>
        </w:rPr>
        <w:t>：</w:t>
      </w:r>
      <w:r>
        <w:rPr>
          <w:rFonts w:hint="default" w:eastAsia="Times New Roman"/>
          <w:kern w:val="0"/>
          <w:sz w:val="32"/>
          <w:szCs w:val="24"/>
          <w:highlight w:val="none"/>
          <w:lang w:val="en-US"/>
        </w:rPr>
        <w:t>“</w:t>
      </w:r>
      <w:r>
        <w:rPr>
          <w:rFonts w:hint="eastAsia" w:ascii="仿宋_GB2312" w:hAnsi="仿宋_GB2312" w:eastAsia="仿宋_GB2312"/>
          <w:kern w:val="0"/>
          <w:sz w:val="32"/>
          <w:szCs w:val="24"/>
          <w:highlight w:val="none"/>
          <w:lang w:val="en-US"/>
        </w:rPr>
        <w:t>三公</w:t>
      </w:r>
      <w:r>
        <w:rPr>
          <w:rFonts w:hint="default" w:eastAsia="Times New Roman"/>
          <w:kern w:val="0"/>
          <w:sz w:val="32"/>
          <w:szCs w:val="24"/>
          <w:highlight w:val="none"/>
          <w:lang w:val="en-US"/>
        </w:rPr>
        <w:t>”</w:t>
      </w:r>
      <w:r>
        <w:rPr>
          <w:rFonts w:hint="eastAsia" w:ascii="仿宋_GB2312" w:hAnsi="仿宋_GB2312" w:eastAsia="仿宋_GB2312"/>
          <w:kern w:val="0"/>
          <w:sz w:val="32"/>
          <w:szCs w:val="24"/>
          <w:highlight w:val="none"/>
          <w:lang w:val="en-US"/>
        </w:rPr>
        <w:t>经费支出</w:t>
      </w:r>
      <w:r>
        <w:rPr>
          <w:rFonts w:hint="eastAsia" w:ascii="仿宋_GB2312" w:hAnsi="仿宋_GB2312" w:eastAsia="仿宋_GB2312"/>
          <w:sz w:val="32"/>
          <w:szCs w:val="24"/>
          <w:highlight w:val="none"/>
          <w:lang w:val="en-US"/>
        </w:rPr>
        <w:t>全年预算数</w:t>
      </w:r>
      <w:r>
        <w:rPr>
          <w:rFonts w:hint="eastAsia" w:ascii="仿宋_GB2312" w:hAnsi="仿宋_GB2312" w:eastAsia="仿宋_GB2312"/>
          <w:kern w:val="0"/>
          <w:sz w:val="32"/>
          <w:szCs w:val="24"/>
          <w:highlight w:val="none"/>
          <w:lang w:val="en-US"/>
        </w:rPr>
        <w:t>0.00万元，决算数0.00万元，预决算差异率0.00%，主要原因是：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公务用车运行费全年预算数0.00万元，决算数0.00万元，预决算差异率0.00%，主要原因是：本年单位无此项支出；公务接待费全年预算数0.00万元，决算数0.00万元，预决算差异率0.00%，主要原因是：本年单位无此项支出。</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highlight w:val="none"/>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highlight w:val="none"/>
          <w:lang w:val="zh-CN"/>
        </w:rPr>
      </w:pPr>
      <w:r>
        <w:rPr>
          <w:rFonts w:hint="eastAsia" w:ascii="黑体" w:hAnsi="黑体" w:eastAsia="黑体"/>
          <w:color w:val="auto"/>
          <w:sz w:val="32"/>
          <w:szCs w:val="24"/>
          <w:highlight w:val="none"/>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highlight w:val="none"/>
          <w:lang w:val="zh-CN"/>
        </w:rPr>
      </w:pPr>
      <w:r>
        <w:rPr>
          <w:rFonts w:hint="eastAsia" w:ascii="黑体" w:hAnsi="黑体" w:eastAsia="黑体"/>
          <w:color w:val="auto"/>
          <w:sz w:val="32"/>
          <w:szCs w:val="24"/>
          <w:highlight w:val="none"/>
          <w:lang w:val="zh-CN"/>
        </w:rPr>
        <w:t>十、其他重要事项的情况说明</w:t>
      </w:r>
    </w:p>
    <w:p>
      <w:pPr>
        <w:spacing w:line="360" w:lineRule="auto"/>
        <w:ind w:firstLine="640"/>
        <w:rPr>
          <w:rFonts w:hint="default" w:eastAsia="Times New Roman"/>
          <w:color w:val="auto"/>
          <w:sz w:val="32"/>
          <w:szCs w:val="24"/>
          <w:highlight w:val="none"/>
          <w:lang w:val="zh-CN"/>
        </w:rPr>
      </w:pPr>
      <w:r>
        <w:rPr>
          <w:rFonts w:hint="eastAsia" w:ascii="黑体" w:hAnsi="黑体" w:eastAsia="黑体"/>
          <w:color w:val="auto"/>
          <w:sz w:val="32"/>
          <w:szCs w:val="24"/>
          <w:highlight w:val="none"/>
          <w:lang w:val="zh-CN"/>
        </w:rPr>
        <w:t xml:space="preserve">（一）机关运行经费支出情况 </w:t>
      </w:r>
    </w:p>
    <w:p>
      <w:pPr>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2022年度乌鲁木齐市米东区柏杨河哈萨克</w:t>
      </w:r>
      <w:r>
        <w:rPr>
          <w:rFonts w:hint="eastAsia" w:ascii="仿宋_GB2312" w:hAnsi="仿宋_GB2312" w:eastAsia="仿宋_GB2312"/>
          <w:color w:val="auto"/>
          <w:kern w:val="0"/>
          <w:sz w:val="32"/>
          <w:szCs w:val="24"/>
          <w:highlight w:val="none"/>
          <w:lang w:val="en-US" w:eastAsia="zh-CN"/>
        </w:rPr>
        <w:t>族乡</w:t>
      </w:r>
      <w:r>
        <w:rPr>
          <w:rFonts w:hint="eastAsia" w:ascii="仿宋_GB2312" w:hAnsi="仿宋_GB2312" w:eastAsia="仿宋_GB2312"/>
          <w:color w:val="auto"/>
          <w:kern w:val="0"/>
          <w:sz w:val="32"/>
          <w:szCs w:val="24"/>
          <w:highlight w:val="none"/>
          <w:lang w:val="en-US"/>
        </w:rPr>
        <w:t>人民政府单位机关运行经费支出868.91万元，比上年增加75.06万元，增长9.46%，主要原因是：</w:t>
      </w:r>
      <w:r>
        <w:rPr>
          <w:rFonts w:hint="eastAsia" w:ascii="仿宋_GB2312" w:hAnsi="仿宋_GB2312" w:eastAsia="仿宋_GB2312"/>
          <w:color w:val="auto"/>
          <w:kern w:val="0"/>
          <w:sz w:val="32"/>
          <w:szCs w:val="24"/>
          <w:highlight w:val="none"/>
          <w:lang w:val="en-US" w:eastAsia="zh-CN"/>
        </w:rPr>
        <w:t>本年受疫情影响临聘人员增加、劳务费增加</w:t>
      </w:r>
      <w:r>
        <w:rPr>
          <w:rFonts w:hint="eastAsia" w:ascii="仿宋_GB2312" w:hAnsi="仿宋_GB2312" w:eastAsia="仿宋_GB2312"/>
          <w:color w:val="auto"/>
          <w:kern w:val="0"/>
          <w:sz w:val="32"/>
          <w:szCs w:val="24"/>
          <w:highlight w:val="none"/>
          <w:lang w:val="en-US"/>
        </w:rPr>
        <w:t>。</w:t>
      </w:r>
    </w:p>
    <w:p>
      <w:pPr>
        <w:spacing w:line="360" w:lineRule="auto"/>
        <w:ind w:firstLine="640"/>
        <w:rPr>
          <w:rFonts w:hint="default" w:eastAsia="Times New Roman"/>
          <w:color w:val="auto"/>
          <w:sz w:val="32"/>
          <w:szCs w:val="24"/>
          <w:highlight w:val="none"/>
          <w:lang w:val="en-US"/>
        </w:rPr>
      </w:pPr>
      <w:r>
        <w:rPr>
          <w:rFonts w:hint="eastAsia" w:ascii="黑体" w:hAnsi="黑体" w:eastAsia="黑体"/>
          <w:color w:val="auto"/>
          <w:sz w:val="32"/>
          <w:szCs w:val="24"/>
          <w:highlight w:val="none"/>
          <w:lang w:val="en-US"/>
        </w:rPr>
        <w:t>（</w:t>
      </w:r>
      <w:r>
        <w:rPr>
          <w:rFonts w:hint="eastAsia" w:ascii="黑体" w:hAnsi="黑体" w:eastAsia="黑体"/>
          <w:color w:val="auto"/>
          <w:sz w:val="32"/>
          <w:szCs w:val="24"/>
          <w:highlight w:val="none"/>
          <w:lang w:val="zh-CN"/>
        </w:rPr>
        <w:t>二</w:t>
      </w:r>
      <w:r>
        <w:rPr>
          <w:rFonts w:hint="eastAsia" w:ascii="黑体" w:hAnsi="黑体" w:eastAsia="黑体"/>
          <w:color w:val="auto"/>
          <w:sz w:val="32"/>
          <w:szCs w:val="24"/>
          <w:highlight w:val="none"/>
          <w:lang w:val="en-US"/>
        </w:rPr>
        <w:t>）</w:t>
      </w:r>
      <w:r>
        <w:rPr>
          <w:rFonts w:hint="eastAsia" w:ascii="黑体" w:hAnsi="黑体" w:eastAsia="黑体"/>
          <w:color w:val="auto"/>
          <w:sz w:val="32"/>
          <w:szCs w:val="24"/>
          <w:highlight w:val="none"/>
          <w:lang w:val="zh-CN"/>
        </w:rPr>
        <w:t>政府采购情况</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2022年度政府采购支出总额86.35万元，其中：政府采购货物支出62.14万元、政府采购工程支出15.00万元、政府采购服务支出9.21万元。</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授予中小企业合同金额33.58万元，占政府采购支出总额的38.89%，其中：授予小微企业合同金额33.58万元，占政府采购支出总额的38.89%。</w:t>
      </w:r>
    </w:p>
    <w:p>
      <w:pPr>
        <w:spacing w:line="360" w:lineRule="auto"/>
        <w:ind w:firstLine="640"/>
        <w:rPr>
          <w:rFonts w:hint="default" w:eastAsia="Times New Roman"/>
          <w:color w:val="auto"/>
          <w:sz w:val="32"/>
          <w:szCs w:val="24"/>
          <w:highlight w:val="none"/>
          <w:lang w:val="zh-CN"/>
        </w:rPr>
      </w:pPr>
      <w:r>
        <w:rPr>
          <w:rFonts w:hint="eastAsia" w:ascii="黑体" w:hAnsi="黑体" w:eastAsia="黑体"/>
          <w:color w:val="auto"/>
          <w:sz w:val="32"/>
          <w:szCs w:val="24"/>
          <w:highlight w:val="none"/>
          <w:lang w:val="zh-CN"/>
        </w:rPr>
        <w:t>（三）国有资产占用情况说明</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截止2022年12月31日，</w:t>
      </w:r>
      <w:r>
        <w:rPr>
          <w:rFonts w:hint="eastAsia" w:ascii="仿宋_GB2312" w:hAnsi="仿宋_GB2312" w:eastAsia="仿宋_GB2312"/>
          <w:color w:val="auto"/>
          <w:sz w:val="32"/>
          <w:szCs w:val="24"/>
          <w:highlight w:val="none"/>
          <w:lang w:val="en-US"/>
        </w:rPr>
        <w:t>固定资产原值</w:t>
      </w:r>
      <w:r>
        <w:rPr>
          <w:rFonts w:hint="eastAsia" w:ascii="仿宋_GB2312" w:hAnsi="仿宋_GB2312" w:eastAsia="仿宋_GB2312"/>
          <w:color w:val="auto"/>
          <w:kern w:val="0"/>
          <w:sz w:val="32"/>
          <w:szCs w:val="24"/>
          <w:highlight w:val="none"/>
          <w:lang w:val="en-US"/>
        </w:rPr>
        <w:t>1,450.67</w:t>
      </w:r>
      <w:r>
        <w:rPr>
          <w:rFonts w:hint="eastAsia" w:ascii="仿宋_GB2312" w:hAnsi="仿宋_GB2312" w:eastAsia="仿宋_GB2312"/>
          <w:color w:val="auto"/>
          <w:sz w:val="32"/>
          <w:szCs w:val="24"/>
          <w:highlight w:val="none"/>
          <w:lang w:val="en-US"/>
        </w:rPr>
        <w:t>万元，</w:t>
      </w:r>
      <w:r>
        <w:rPr>
          <w:rFonts w:hint="eastAsia" w:ascii="仿宋_GB2312" w:hAnsi="仿宋_GB2312" w:eastAsia="仿宋_GB2312"/>
          <w:color w:val="auto"/>
          <w:kern w:val="0"/>
          <w:sz w:val="32"/>
          <w:szCs w:val="24"/>
          <w:highlight w:val="none"/>
          <w:lang w:val="en-US"/>
        </w:rPr>
        <w:t>房屋4,065.81平方米，价值300.05万元。车辆17辆，价值227.47万元，其中：副部（省）级及以上领导用车0辆、主要领导干部用车2辆、机要通信用车0辆、应急保障用车1辆、执法执勤用车1辆、特种专业技术用车0辆、离退休干部用车0辆、其他用车13辆，其他用车主要是：用于保障会务、下村、外出办事等工作车辆；单价100</w:t>
      </w:r>
      <w:r>
        <w:rPr>
          <w:rFonts w:hint="eastAsia" w:ascii="仿宋_GB2312" w:hAnsi="仿宋_GB2312" w:eastAsia="仿宋_GB2312"/>
          <w:color w:val="auto"/>
          <w:sz w:val="32"/>
          <w:szCs w:val="24"/>
          <w:highlight w:val="none"/>
          <w:lang w:val="en-US"/>
        </w:rPr>
        <w:t>万元（含）以上设备（不含车辆）</w:t>
      </w:r>
      <w:r>
        <w:rPr>
          <w:rFonts w:hint="eastAsia" w:ascii="仿宋_GB2312" w:hAnsi="仿宋_GB2312" w:eastAsia="仿宋_GB2312"/>
          <w:color w:val="auto"/>
          <w:kern w:val="0"/>
          <w:sz w:val="32"/>
          <w:szCs w:val="24"/>
          <w:highlight w:val="none"/>
          <w:lang w:val="en-US"/>
        </w:rPr>
        <w:t>0台（套）。</w:t>
      </w:r>
    </w:p>
    <w:p>
      <w:pPr>
        <w:spacing w:line="360" w:lineRule="auto"/>
        <w:ind w:firstLine="640"/>
        <w:rPr>
          <w:rFonts w:hint="default" w:eastAsia="Times New Roman"/>
          <w:color w:val="auto"/>
          <w:sz w:val="32"/>
          <w:szCs w:val="24"/>
          <w:highlight w:val="none"/>
          <w:lang w:val="zh-CN"/>
        </w:rPr>
      </w:pPr>
      <w:r>
        <w:rPr>
          <w:rFonts w:hint="eastAsia" w:ascii="黑体" w:hAnsi="黑体" w:eastAsia="黑体"/>
          <w:color w:val="auto"/>
          <w:sz w:val="32"/>
          <w:szCs w:val="24"/>
          <w:highlight w:val="none"/>
          <w:lang w:val="zh-CN"/>
        </w:rPr>
        <w:t>十一、预算绩效的情况说明</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根据预算绩效管理要求，我单位2022年度开展预算绩效评价项目</w:t>
      </w:r>
      <w:r>
        <w:rPr>
          <w:rFonts w:hint="eastAsia" w:ascii="仿宋_GB2312" w:hAnsi="仿宋_GB2312" w:eastAsia="仿宋_GB2312"/>
          <w:color w:val="auto"/>
          <w:kern w:val="0"/>
          <w:sz w:val="32"/>
          <w:szCs w:val="24"/>
          <w:highlight w:val="none"/>
          <w:lang w:val="en-US" w:eastAsia="zh-CN"/>
        </w:rPr>
        <w:t>2</w:t>
      </w:r>
      <w:r>
        <w:rPr>
          <w:rFonts w:hint="eastAsia" w:ascii="仿宋_GB2312" w:hAnsi="仿宋_GB2312" w:eastAsia="仿宋_GB2312"/>
          <w:color w:val="auto"/>
          <w:kern w:val="0"/>
          <w:sz w:val="32"/>
          <w:szCs w:val="24"/>
          <w:highlight w:val="none"/>
          <w:lang w:val="en-US"/>
        </w:rPr>
        <w:t>个，</w:t>
      </w:r>
      <w:r>
        <w:rPr>
          <w:rFonts w:hint="eastAsia" w:ascii="仿宋_GB2312" w:hAnsi="仿宋_GB2312" w:eastAsia="仿宋_GB2312"/>
          <w:color w:val="auto"/>
          <w:sz w:val="32"/>
          <w:szCs w:val="24"/>
          <w:highlight w:val="none"/>
          <w:lang w:val="en-US"/>
        </w:rPr>
        <w:t>全年预算数</w:t>
      </w:r>
      <w:r>
        <w:rPr>
          <w:rFonts w:hint="eastAsia" w:ascii="仿宋_GB2312" w:hAnsi="仿宋_GB2312" w:eastAsia="仿宋_GB2312"/>
          <w:color w:val="auto"/>
          <w:kern w:val="0"/>
          <w:sz w:val="32"/>
          <w:szCs w:val="24"/>
          <w:highlight w:val="none"/>
          <w:lang w:val="en-US" w:eastAsia="zh-CN"/>
        </w:rPr>
        <w:t>5.92</w:t>
      </w:r>
      <w:r>
        <w:rPr>
          <w:rFonts w:hint="eastAsia" w:ascii="仿宋_GB2312" w:hAnsi="仿宋_GB2312" w:eastAsia="仿宋_GB2312"/>
          <w:color w:val="auto"/>
          <w:sz w:val="32"/>
          <w:szCs w:val="24"/>
          <w:highlight w:val="none"/>
          <w:lang w:val="en-US"/>
        </w:rPr>
        <w:t>万元，全年执行数</w:t>
      </w:r>
      <w:r>
        <w:rPr>
          <w:rFonts w:hint="eastAsia" w:ascii="仿宋_GB2312" w:hAnsi="仿宋_GB2312" w:eastAsia="仿宋_GB2312"/>
          <w:color w:val="auto"/>
          <w:kern w:val="0"/>
          <w:sz w:val="32"/>
          <w:szCs w:val="24"/>
          <w:highlight w:val="none"/>
          <w:lang w:val="en-US" w:eastAsia="zh-CN"/>
        </w:rPr>
        <w:t>5.92</w:t>
      </w:r>
      <w:r>
        <w:rPr>
          <w:rFonts w:hint="eastAsia" w:ascii="仿宋_GB2312" w:hAnsi="仿宋_GB2312" w:eastAsia="仿宋_GB2312"/>
          <w:color w:val="auto"/>
          <w:sz w:val="32"/>
          <w:szCs w:val="24"/>
          <w:highlight w:val="none"/>
          <w:lang w:val="en-US"/>
        </w:rPr>
        <w:t>万元。</w:t>
      </w:r>
      <w:r>
        <w:rPr>
          <w:rFonts w:hint="eastAsia" w:ascii="仿宋_GB2312" w:hAnsi="仿宋_GB2312" w:eastAsia="仿宋_GB2312"/>
          <w:color w:val="auto"/>
          <w:kern w:val="0"/>
          <w:sz w:val="32"/>
          <w:szCs w:val="24"/>
          <w:highlight w:val="none"/>
          <w:lang w:val="en-US"/>
        </w:rPr>
        <w:t>预算绩效管理取得的成效：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发现的问题及原因：一是对于固定资产处理监管还存在一定缺失；二是部门整体绩效指标应该是反映职责履行的核心指标，而不是反映具体工作内容或产出的指标。应根据部门“三定”方案确定的主要职能，参考事业发展规划的相关核心指标，综合考核要求等，确定部门履职绩效指标。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要加强部门内部绩效评价人员的培训，提高其指标设计和绩效评价的专业技能；二是提高部门整体支出绩效目标设定的合理性。部门设定的绩效目标要与部门的职能有相关性，这样便于后续的评价部门的履职情况，同样能使得部门在运用预算资金的过程中能始终牢记部门职能，不偏离社会责任。把所有与财政支出相关的指标全部列入不现实，可以兼顾好重要性和综合性原则。对于整体工作的反映，尽量采用综合性指标；对于具体项目的反映，尽量采用有代表性的重要指标</w:t>
      </w:r>
      <w:r>
        <w:rPr>
          <w:rFonts w:hint="eastAsia" w:ascii="仿宋_GB2312" w:hAnsi="仿宋_GB2312" w:eastAsia="仿宋_GB2312"/>
          <w:color w:val="auto"/>
          <w:kern w:val="0"/>
          <w:sz w:val="32"/>
          <w:szCs w:val="24"/>
          <w:highlight w:val="none"/>
          <w:lang w:val="en-US" w:eastAsia="zh-CN"/>
        </w:rPr>
        <w:t>。</w:t>
      </w:r>
      <w:r>
        <w:rPr>
          <w:rFonts w:hint="eastAsia" w:ascii="仿宋_GB2312" w:hAnsi="仿宋_GB2312" w:eastAsia="仿宋_GB2312"/>
          <w:color w:val="auto"/>
          <w:kern w:val="0"/>
          <w:sz w:val="32"/>
          <w:szCs w:val="24"/>
          <w:highlight w:val="none"/>
          <w:lang w:val="en-US"/>
        </w:rPr>
        <w:t>具体项目自评情况附项目支出绩效自评表。</w:t>
      </w:r>
    </w:p>
    <w:tbl>
      <w:tblPr>
        <w:tblStyle w:val="3"/>
        <w:tblW w:w="88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1"/>
        <w:gridCol w:w="684"/>
        <w:gridCol w:w="684"/>
        <w:gridCol w:w="882"/>
        <w:gridCol w:w="937"/>
        <w:gridCol w:w="557"/>
        <w:gridCol w:w="762"/>
        <w:gridCol w:w="584"/>
        <w:gridCol w:w="422"/>
        <w:gridCol w:w="478"/>
        <w:gridCol w:w="549"/>
        <w:gridCol w:w="437"/>
        <w:gridCol w:w="464"/>
        <w:gridCol w:w="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8856" w:type="dxa"/>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highlight w:val="none"/>
              </w:rPr>
            </w:pPr>
            <w:r>
              <w:rPr>
                <w:rFonts w:hint="eastAsia" w:ascii="宋体" w:hAnsi="宋体" w:cs="宋体"/>
                <w:b/>
                <w:color w:val="000000"/>
                <w:kern w:val="0"/>
                <w:sz w:val="32"/>
                <w:szCs w:val="32"/>
                <w:highlight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856" w:type="dxa"/>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365"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项目名称</w:t>
            </w:r>
          </w:p>
        </w:tc>
        <w:tc>
          <w:tcPr>
            <w:tcW w:w="7491" w:type="dxa"/>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2022年受疫情影响生活困难人员救助金（第三批）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365"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主管部门</w:t>
            </w:r>
          </w:p>
        </w:tc>
        <w:tc>
          <w:tcPr>
            <w:tcW w:w="38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米东区柏杨河乡政府</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实施单位</w:t>
            </w:r>
          </w:p>
        </w:tc>
        <w:tc>
          <w:tcPr>
            <w:tcW w:w="2663"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米东区柏杨河乡政府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365"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项目资金</w:t>
            </w:r>
          </w:p>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（万元）</w:t>
            </w:r>
          </w:p>
        </w:tc>
        <w:tc>
          <w:tcPr>
            <w:tcW w:w="156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年初预算数</w:t>
            </w:r>
          </w:p>
        </w:tc>
        <w:tc>
          <w:tcPr>
            <w:tcW w:w="131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全年预算数</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全年执行数</w:t>
            </w:r>
          </w:p>
        </w:tc>
        <w:tc>
          <w:tcPr>
            <w:tcW w:w="102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分值</w:t>
            </w:r>
          </w:p>
        </w:tc>
        <w:tc>
          <w:tcPr>
            <w:tcW w:w="9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执行率</w:t>
            </w:r>
          </w:p>
        </w:tc>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365"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56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年度资金总额</w:t>
            </w:r>
          </w:p>
        </w:tc>
        <w:tc>
          <w:tcPr>
            <w:tcW w:w="9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0.00</w:t>
            </w:r>
          </w:p>
        </w:tc>
        <w:tc>
          <w:tcPr>
            <w:tcW w:w="131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2.00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2.00</w:t>
            </w:r>
          </w:p>
        </w:tc>
        <w:tc>
          <w:tcPr>
            <w:tcW w:w="102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100.00%</w:t>
            </w:r>
          </w:p>
        </w:tc>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365"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56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其中：当年财政拨款</w:t>
            </w:r>
          </w:p>
        </w:tc>
        <w:tc>
          <w:tcPr>
            <w:tcW w:w="9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lang w:val="en-US"/>
              </w:rPr>
            </w:pPr>
            <w:r>
              <w:rPr>
                <w:rFonts w:hint="eastAsia" w:ascii="宋体" w:hAnsi="宋体" w:cs="宋体"/>
                <w:color w:val="000000"/>
                <w:kern w:val="0"/>
                <w:sz w:val="18"/>
                <w:szCs w:val="18"/>
                <w:highlight w:val="none"/>
                <w:lang w:val="en-US" w:eastAsia="zh-CN" w:bidi="ar"/>
              </w:rPr>
              <w:t>0.00</w:t>
            </w:r>
          </w:p>
        </w:tc>
        <w:tc>
          <w:tcPr>
            <w:tcW w:w="131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lang w:val="en-US"/>
              </w:rPr>
            </w:pPr>
            <w:r>
              <w:rPr>
                <w:rFonts w:hint="eastAsia" w:ascii="宋体" w:hAnsi="宋体" w:cs="宋体"/>
                <w:color w:val="000000"/>
                <w:kern w:val="0"/>
                <w:sz w:val="18"/>
                <w:szCs w:val="18"/>
                <w:highlight w:val="none"/>
                <w:lang w:val="en-US" w:eastAsia="zh-CN" w:bidi="ar"/>
              </w:rPr>
              <w:t>2.00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lang w:val="en-US"/>
              </w:rPr>
            </w:pPr>
            <w:r>
              <w:rPr>
                <w:rFonts w:hint="eastAsia" w:ascii="宋体" w:hAnsi="宋体" w:cs="宋体"/>
                <w:color w:val="000000"/>
                <w:kern w:val="0"/>
                <w:sz w:val="18"/>
                <w:szCs w:val="18"/>
                <w:highlight w:val="none"/>
                <w:lang w:val="en-US" w:eastAsia="zh-CN" w:bidi="ar"/>
              </w:rPr>
              <w:t>2.00</w:t>
            </w:r>
          </w:p>
        </w:tc>
        <w:tc>
          <w:tcPr>
            <w:tcW w:w="102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9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365"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56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上年结转资金</w:t>
            </w:r>
          </w:p>
        </w:tc>
        <w:tc>
          <w:tcPr>
            <w:tcW w:w="9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131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102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9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365"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56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其他资金</w:t>
            </w:r>
          </w:p>
        </w:tc>
        <w:tc>
          <w:tcPr>
            <w:tcW w:w="9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131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102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9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年度总体目标</w:t>
            </w:r>
          </w:p>
        </w:tc>
        <w:tc>
          <w:tcPr>
            <w:tcW w:w="4506"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预期目标</w:t>
            </w:r>
          </w:p>
        </w:tc>
        <w:tc>
          <w:tcPr>
            <w:tcW w:w="3669"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4506"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本项目资金用于为66名受疫情影响的人员发放补助，目的实施可有效解决受疫情影响人员的实际困难，推动疫情防控工作正常开展。</w:t>
            </w:r>
          </w:p>
        </w:tc>
        <w:tc>
          <w:tcPr>
            <w:tcW w:w="3669"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本项目资金用于为66名受疫情影响的人员发放补助，目的实施可有效解决受疫情影响人员的实际困难，推动疫情防控工作正常开展。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一级指标</w:t>
            </w:r>
          </w:p>
        </w:tc>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二级指标</w:t>
            </w:r>
          </w:p>
        </w:tc>
        <w:tc>
          <w:tcPr>
            <w:tcW w:w="2376" w:type="dxa"/>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三级指标</w:t>
            </w:r>
          </w:p>
        </w:tc>
        <w:tc>
          <w:tcPr>
            <w:tcW w:w="76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年度指标值</w:t>
            </w:r>
          </w:p>
        </w:tc>
        <w:tc>
          <w:tcPr>
            <w:tcW w:w="5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实际完成值</w:t>
            </w:r>
          </w:p>
        </w:tc>
        <w:tc>
          <w:tcPr>
            <w:tcW w:w="900"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分值</w:t>
            </w:r>
          </w:p>
        </w:tc>
        <w:tc>
          <w:tcPr>
            <w:tcW w:w="986"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得分</w:t>
            </w:r>
          </w:p>
        </w:tc>
        <w:tc>
          <w:tcPr>
            <w:tcW w:w="1199"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2376" w:type="dxa"/>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76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00"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86"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199"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年度绩效指标完成情况</w:t>
            </w:r>
          </w:p>
        </w:tc>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产出指标</w:t>
            </w: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数量指标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发放补助人数</w:t>
            </w: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=66人</w:t>
            </w: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66人</w:t>
            </w: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15</w:t>
            </w: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15</w:t>
            </w: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质量指标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补助覆盖率</w:t>
            </w: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&gt;=90%</w:t>
            </w: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90%</w:t>
            </w: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质量指标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补助资金发放及时率</w:t>
            </w: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&gt;=100%</w:t>
            </w: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w:t>
            </w: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时效指标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highlight w:val="none"/>
              </w:rPr>
            </w:pP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成本指标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补助资金标准</w:t>
            </w: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=300/人</w:t>
            </w: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300/人</w:t>
            </w: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15</w:t>
            </w: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15</w:t>
            </w: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效益指标</w:t>
            </w: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经济效益指标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highlight w:val="none"/>
              </w:rPr>
            </w:pP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社会效益指标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提升困难群众生活水平情况</w:t>
            </w: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有所提升</w:t>
            </w: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完全达到预期效果</w:t>
            </w: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15</w:t>
            </w: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15</w:t>
            </w: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生态效益指标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highlight w:val="none"/>
              </w:rPr>
            </w:pP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可持续影响指标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推动疫情防控工作正常开展</w:t>
            </w: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长期推动</w:t>
            </w: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完全达到预期效果</w:t>
            </w: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15</w:t>
            </w: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15</w:t>
            </w: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8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满意度指标</w:t>
            </w:r>
          </w:p>
        </w:tc>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满意度指标</w:t>
            </w:r>
          </w:p>
        </w:tc>
        <w:tc>
          <w:tcPr>
            <w:tcW w:w="2376"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受补助人员满意度</w:t>
            </w:r>
          </w:p>
        </w:tc>
        <w:tc>
          <w:tcPr>
            <w:tcW w:w="7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&gt;=95%</w:t>
            </w:r>
          </w:p>
        </w:tc>
        <w:tc>
          <w:tcPr>
            <w:tcW w:w="5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95%</w:t>
            </w: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77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总分</w:t>
            </w:r>
          </w:p>
        </w:tc>
        <w:tc>
          <w:tcPr>
            <w:tcW w:w="9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w:t>
            </w:r>
          </w:p>
        </w:tc>
        <w:tc>
          <w:tcPr>
            <w:tcW w:w="98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100.00分</w:t>
            </w:r>
          </w:p>
        </w:tc>
        <w:tc>
          <w:tcPr>
            <w:tcW w:w="119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r>
    </w:tbl>
    <w:p>
      <w:pPr>
        <w:shd w:val="clear" w:color="auto" w:fill="FFFFFF"/>
        <w:spacing w:before="100" w:line="520" w:lineRule="exact"/>
        <w:ind w:left="118" w:firstLine="480"/>
        <w:rPr>
          <w:rFonts w:hint="default" w:eastAsia="Times New Roman"/>
          <w:color w:val="auto"/>
          <w:kern w:val="0"/>
          <w:sz w:val="24"/>
          <w:szCs w:val="24"/>
          <w:highlight w:val="none"/>
          <w:lang w:val="en-US"/>
        </w:rPr>
      </w:pPr>
    </w:p>
    <w:tbl>
      <w:tblPr>
        <w:tblStyle w:val="3"/>
        <w:tblW w:w="88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2"/>
        <w:gridCol w:w="582"/>
        <w:gridCol w:w="582"/>
        <w:gridCol w:w="1150"/>
        <w:gridCol w:w="1219"/>
        <w:gridCol w:w="723"/>
        <w:gridCol w:w="765"/>
        <w:gridCol w:w="588"/>
        <w:gridCol w:w="321"/>
        <w:gridCol w:w="379"/>
        <w:gridCol w:w="452"/>
        <w:gridCol w:w="507"/>
        <w:gridCol w:w="340"/>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8856" w:type="dxa"/>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highlight w:val="none"/>
              </w:rPr>
            </w:pPr>
            <w:r>
              <w:rPr>
                <w:rFonts w:hint="eastAsia" w:ascii="宋体" w:hAnsi="宋体" w:cs="宋体"/>
                <w:b/>
                <w:color w:val="000000"/>
                <w:kern w:val="0"/>
                <w:sz w:val="32"/>
                <w:szCs w:val="32"/>
                <w:highlight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856" w:type="dxa"/>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16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项目名称</w:t>
            </w:r>
          </w:p>
        </w:tc>
        <w:tc>
          <w:tcPr>
            <w:tcW w:w="7692" w:type="dxa"/>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乌财社{2022}311号关于拨付2022年第七十五批疫情防控补助资金【因疫情滞留】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16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主管部门</w:t>
            </w:r>
          </w:p>
        </w:tc>
        <w:tc>
          <w:tcPr>
            <w:tcW w:w="4439"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米东区柏杨河乡政府</w:t>
            </w:r>
          </w:p>
        </w:tc>
        <w:tc>
          <w:tcPr>
            <w:tcW w:w="90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实施单位</w:t>
            </w:r>
          </w:p>
        </w:tc>
        <w:tc>
          <w:tcPr>
            <w:tcW w:w="2344"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米东区柏杨河乡政府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164"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项目资金</w:t>
            </w:r>
          </w:p>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（万元）</w:t>
            </w:r>
          </w:p>
        </w:tc>
        <w:tc>
          <w:tcPr>
            <w:tcW w:w="173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21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年初预算数</w:t>
            </w:r>
          </w:p>
        </w:tc>
        <w:tc>
          <w:tcPr>
            <w:tcW w:w="148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全年预算数</w:t>
            </w:r>
          </w:p>
        </w:tc>
        <w:tc>
          <w:tcPr>
            <w:tcW w:w="90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全年执行数</w:t>
            </w:r>
          </w:p>
        </w:tc>
        <w:tc>
          <w:tcPr>
            <w:tcW w:w="83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分值</w:t>
            </w:r>
          </w:p>
        </w:tc>
        <w:tc>
          <w:tcPr>
            <w:tcW w:w="84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执行率</w:t>
            </w:r>
          </w:p>
        </w:tc>
        <w:tc>
          <w:tcPr>
            <w:tcW w:w="6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164"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73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年度资金总额</w:t>
            </w:r>
          </w:p>
        </w:tc>
        <w:tc>
          <w:tcPr>
            <w:tcW w:w="121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3.92</w:t>
            </w:r>
          </w:p>
        </w:tc>
        <w:tc>
          <w:tcPr>
            <w:tcW w:w="148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3.92</w:t>
            </w:r>
          </w:p>
        </w:tc>
        <w:tc>
          <w:tcPr>
            <w:tcW w:w="90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3.92</w:t>
            </w:r>
          </w:p>
        </w:tc>
        <w:tc>
          <w:tcPr>
            <w:tcW w:w="83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84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100.00%</w:t>
            </w:r>
          </w:p>
        </w:tc>
        <w:tc>
          <w:tcPr>
            <w:tcW w:w="6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164"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73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其中：当年财政拨款</w:t>
            </w:r>
          </w:p>
        </w:tc>
        <w:tc>
          <w:tcPr>
            <w:tcW w:w="121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3.92</w:t>
            </w:r>
          </w:p>
        </w:tc>
        <w:tc>
          <w:tcPr>
            <w:tcW w:w="148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3.92</w:t>
            </w:r>
          </w:p>
        </w:tc>
        <w:tc>
          <w:tcPr>
            <w:tcW w:w="90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3.92</w:t>
            </w:r>
          </w:p>
        </w:tc>
        <w:tc>
          <w:tcPr>
            <w:tcW w:w="83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84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1164"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73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 xml:space="preserve"> 上年结转资金</w:t>
            </w:r>
          </w:p>
        </w:tc>
        <w:tc>
          <w:tcPr>
            <w:tcW w:w="121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148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90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83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84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6" w:hRule="atLeast"/>
        </w:trPr>
        <w:tc>
          <w:tcPr>
            <w:tcW w:w="1164"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73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其他资金</w:t>
            </w:r>
          </w:p>
        </w:tc>
        <w:tc>
          <w:tcPr>
            <w:tcW w:w="121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148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90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0</w:t>
            </w:r>
          </w:p>
        </w:tc>
        <w:tc>
          <w:tcPr>
            <w:tcW w:w="83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84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年度总体目标</w:t>
            </w:r>
          </w:p>
        </w:tc>
        <w:tc>
          <w:tcPr>
            <w:tcW w:w="502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预期目标</w:t>
            </w:r>
          </w:p>
        </w:tc>
        <w:tc>
          <w:tcPr>
            <w:tcW w:w="3253"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02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本项目资金主要用于为56名受疫情影响的人员发放补助，本项目的实施可有效解决受疫情影响人员的实际困难，推动疫情防控工作正常开展。</w:t>
            </w:r>
          </w:p>
        </w:tc>
        <w:tc>
          <w:tcPr>
            <w:tcW w:w="3253"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本项目资金主要用于为56名受疫情影响的人员发放补助，本项目的实施可有效解决受疫情影响人员的实际困难，推动疫情防控工作正常开展。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一级指标</w:t>
            </w:r>
          </w:p>
        </w:tc>
        <w:tc>
          <w:tcPr>
            <w:tcW w:w="58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二级指标</w:t>
            </w:r>
          </w:p>
        </w:tc>
        <w:tc>
          <w:tcPr>
            <w:tcW w:w="3092" w:type="dxa"/>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三级指标</w:t>
            </w:r>
          </w:p>
        </w:tc>
        <w:tc>
          <w:tcPr>
            <w:tcW w:w="76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年度指标值</w:t>
            </w:r>
          </w:p>
        </w:tc>
        <w:tc>
          <w:tcPr>
            <w:tcW w:w="5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实际完成值</w:t>
            </w:r>
          </w:p>
        </w:tc>
        <w:tc>
          <w:tcPr>
            <w:tcW w:w="700"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分值</w:t>
            </w:r>
          </w:p>
        </w:tc>
        <w:tc>
          <w:tcPr>
            <w:tcW w:w="959"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得分</w:t>
            </w:r>
          </w:p>
        </w:tc>
        <w:tc>
          <w:tcPr>
            <w:tcW w:w="1006"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3092" w:type="dxa"/>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7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700"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59"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006"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年度绩效指标完成情况</w:t>
            </w:r>
          </w:p>
        </w:tc>
        <w:tc>
          <w:tcPr>
            <w:tcW w:w="58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产出指标</w:t>
            </w: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数量指标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发放补助人数</w:t>
            </w: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=56个人</w:t>
            </w: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56人</w:t>
            </w: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20</w:t>
            </w: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20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质量指标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补助覆盖率</w:t>
            </w: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&gt;=90%</w:t>
            </w: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w:t>
            </w: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质量指标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补助资金发放及时率</w:t>
            </w: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&gt;=100%</w:t>
            </w: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w:t>
            </w: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时效指标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highlight w:val="none"/>
              </w:rPr>
            </w:pP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成本指标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补助资金标准</w:t>
            </w: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=700/人</w:t>
            </w: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700/人</w:t>
            </w: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效益指标</w:t>
            </w: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经济效益指标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highlight w:val="none"/>
              </w:rPr>
            </w:pP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社会效益指标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提升困难群众生活水平情况</w:t>
            </w: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有所提升</w:t>
            </w: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完全达到预期效果</w:t>
            </w: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20</w:t>
            </w: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20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生态效益指标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highlight w:val="none"/>
              </w:rPr>
            </w:pP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可持续影响指标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推动疫情防控工作正常开展</w:t>
            </w: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长期推动</w:t>
            </w: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完全达到预期效果</w:t>
            </w: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58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满意度指标</w:t>
            </w:r>
          </w:p>
        </w:tc>
        <w:tc>
          <w:tcPr>
            <w:tcW w:w="58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满意度指标</w:t>
            </w:r>
          </w:p>
        </w:tc>
        <w:tc>
          <w:tcPr>
            <w:tcW w:w="3092"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受补助人员满意度</w:t>
            </w:r>
          </w:p>
        </w:tc>
        <w:tc>
          <w:tcPr>
            <w:tcW w:w="7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&gt;=95%</w:t>
            </w:r>
          </w:p>
        </w:tc>
        <w:tc>
          <w:tcPr>
            <w:tcW w:w="5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w:t>
            </w: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6" w:hRule="atLeast"/>
        </w:trPr>
        <w:tc>
          <w:tcPr>
            <w:tcW w:w="619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总分</w:t>
            </w:r>
          </w:p>
        </w:tc>
        <w:tc>
          <w:tcPr>
            <w:tcW w:w="70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w:t>
            </w:r>
          </w:p>
        </w:tc>
        <w:tc>
          <w:tcPr>
            <w:tcW w:w="95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100.00分</w:t>
            </w:r>
          </w:p>
        </w:tc>
        <w:tc>
          <w:tcPr>
            <w:tcW w:w="100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highlight w:val="none"/>
              </w:rPr>
            </w:pPr>
          </w:p>
        </w:tc>
      </w:tr>
    </w:tbl>
    <w:p>
      <w:pPr>
        <w:shd w:val="clear" w:color="auto" w:fill="FFFFFF"/>
        <w:spacing w:before="100" w:after="240"/>
        <w:jc w:val="center"/>
        <w:rPr>
          <w:rFonts w:hint="default" w:eastAsia="Times New Roman"/>
          <w:b/>
          <w:color w:val="auto"/>
          <w:kern w:val="0"/>
          <w:sz w:val="28"/>
          <w:szCs w:val="24"/>
          <w:highlight w:val="none"/>
          <w:lang w:val="en-US"/>
        </w:rPr>
      </w:pPr>
      <w:r>
        <w:rPr>
          <w:rFonts w:hint="eastAsia" w:ascii="黑体" w:hAnsi="黑体" w:eastAsia="黑体"/>
          <w:color w:val="auto"/>
          <w:kern w:val="0"/>
          <w:sz w:val="32"/>
          <w:szCs w:val="24"/>
          <w:highlight w:val="none"/>
          <w:lang w:val="en-US"/>
        </w:rPr>
        <w:t>第三部分 专业名词解释</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highlight w:val="none"/>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highlight w:val="none"/>
          <w:lang w:val="en-US"/>
        </w:rPr>
      </w:pPr>
      <w:r>
        <w:rPr>
          <w:rFonts w:hint="eastAsia" w:ascii="仿宋_GB2312" w:hAnsi="仿宋_GB2312" w:eastAsia="仿宋_GB2312"/>
          <w:color w:val="auto"/>
          <w:sz w:val="32"/>
          <w:szCs w:val="24"/>
          <w:highlight w:val="none"/>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highlight w:val="none"/>
          <w:lang w:val="en-US"/>
        </w:rPr>
      </w:pPr>
      <w:r>
        <w:rPr>
          <w:rFonts w:hint="eastAsia" w:ascii="仿宋_GB2312" w:hAnsi="仿宋_GB2312" w:eastAsia="仿宋_GB2312"/>
          <w:color w:val="auto"/>
          <w:sz w:val="32"/>
          <w:szCs w:val="24"/>
          <w:highlight w:val="none"/>
          <w:lang w:val="en-US"/>
        </w:rPr>
        <w:t>机关运行经费：行政单位和参照公务员法管理的事业单位财政拨款基本支出中的公用经费支出。</w:t>
      </w:r>
    </w:p>
    <w:p>
      <w:pPr>
        <w:shd w:val="clear" w:color="auto" w:fill="FFFFFF"/>
        <w:spacing w:before="100" w:after="240"/>
        <w:jc w:val="center"/>
        <w:rPr>
          <w:rFonts w:hint="default" w:eastAsia="Times New Roman"/>
          <w:color w:val="auto"/>
          <w:kern w:val="0"/>
          <w:sz w:val="32"/>
          <w:szCs w:val="24"/>
          <w:highlight w:val="none"/>
          <w:lang w:val="en-US"/>
        </w:rPr>
      </w:pPr>
      <w:r>
        <w:rPr>
          <w:rFonts w:hint="default" w:eastAsia="Times New Roman"/>
          <w:color w:val="auto"/>
          <w:kern w:val="0"/>
          <w:sz w:val="32"/>
          <w:szCs w:val="24"/>
          <w:highlight w:val="none"/>
          <w:lang w:val="en-US"/>
        </w:rPr>
        <w:br w:type="page"/>
      </w:r>
      <w:r>
        <w:rPr>
          <w:rFonts w:hint="eastAsia" w:ascii="黑体" w:hAnsi="黑体" w:eastAsia="黑体"/>
          <w:color w:val="auto"/>
          <w:kern w:val="0"/>
          <w:sz w:val="32"/>
          <w:szCs w:val="24"/>
          <w:highlight w:val="none"/>
          <w:lang w:val="en-US"/>
        </w:rPr>
        <w:t>第四部分 部门决算报表（见附表）</w:t>
      </w:r>
    </w:p>
    <w:p>
      <w:pPr>
        <w:spacing w:line="540" w:lineRule="exact"/>
        <w:ind w:firstLine="640"/>
        <w:rPr>
          <w:rFonts w:hint="default" w:eastAsia="Times New Roman"/>
          <w:color w:val="auto"/>
          <w:sz w:val="32"/>
          <w:szCs w:val="24"/>
          <w:highlight w:val="none"/>
          <w:lang w:val="en-US"/>
        </w:rPr>
      </w:pPr>
      <w:r>
        <w:rPr>
          <w:rFonts w:hint="eastAsia" w:ascii="黑体" w:hAnsi="黑体" w:eastAsia="黑体"/>
          <w:color w:val="auto"/>
          <w:sz w:val="32"/>
          <w:szCs w:val="24"/>
          <w:highlight w:val="none"/>
          <w:lang w:val="en-US"/>
        </w:rPr>
        <w:t>一、《收入支出决算总表》</w:t>
      </w:r>
    </w:p>
    <w:p>
      <w:pPr>
        <w:spacing w:line="540" w:lineRule="exact"/>
        <w:ind w:firstLine="640"/>
        <w:rPr>
          <w:rFonts w:hint="default" w:eastAsia="Times New Roman"/>
          <w:color w:val="auto"/>
          <w:sz w:val="32"/>
          <w:szCs w:val="24"/>
          <w:highlight w:val="none"/>
          <w:lang w:val="en-US"/>
        </w:rPr>
      </w:pPr>
      <w:r>
        <w:rPr>
          <w:rFonts w:hint="eastAsia" w:ascii="黑体" w:hAnsi="黑体" w:eastAsia="黑体"/>
          <w:color w:val="auto"/>
          <w:sz w:val="32"/>
          <w:szCs w:val="24"/>
          <w:highlight w:val="none"/>
          <w:lang w:val="en-US"/>
        </w:rPr>
        <w:t>二、《收入决算表》</w:t>
      </w:r>
    </w:p>
    <w:p>
      <w:pPr>
        <w:spacing w:line="540" w:lineRule="exact"/>
        <w:ind w:firstLine="640"/>
        <w:rPr>
          <w:rFonts w:hint="default" w:eastAsia="Times New Roman"/>
          <w:color w:val="auto"/>
          <w:sz w:val="32"/>
          <w:szCs w:val="24"/>
          <w:highlight w:val="none"/>
          <w:lang w:val="en-US"/>
        </w:rPr>
      </w:pPr>
      <w:r>
        <w:rPr>
          <w:rFonts w:hint="eastAsia" w:ascii="黑体" w:hAnsi="黑体" w:eastAsia="黑体"/>
          <w:color w:val="auto"/>
          <w:sz w:val="32"/>
          <w:szCs w:val="24"/>
          <w:highlight w:val="none"/>
          <w:lang w:val="en-US"/>
        </w:rPr>
        <w:t>三、《支出决算表》</w:t>
      </w:r>
    </w:p>
    <w:p>
      <w:pPr>
        <w:spacing w:line="540" w:lineRule="exact"/>
        <w:ind w:firstLine="640"/>
        <w:rPr>
          <w:rFonts w:hint="default" w:eastAsia="Times New Roman"/>
          <w:color w:val="auto"/>
          <w:sz w:val="32"/>
          <w:szCs w:val="24"/>
          <w:highlight w:val="none"/>
          <w:lang w:val="en-US"/>
        </w:rPr>
      </w:pPr>
      <w:r>
        <w:rPr>
          <w:rFonts w:hint="eastAsia" w:ascii="黑体" w:hAnsi="黑体" w:eastAsia="黑体"/>
          <w:color w:val="auto"/>
          <w:sz w:val="32"/>
          <w:szCs w:val="24"/>
          <w:highlight w:val="none"/>
          <w:lang w:val="en-US"/>
        </w:rPr>
        <w:t>四、《财政拨款收入支出决算总表》</w:t>
      </w:r>
    </w:p>
    <w:p>
      <w:pPr>
        <w:spacing w:line="540" w:lineRule="exact"/>
        <w:ind w:firstLine="640"/>
        <w:rPr>
          <w:rFonts w:hint="default" w:eastAsia="Times New Roman"/>
          <w:color w:val="auto"/>
          <w:sz w:val="32"/>
          <w:szCs w:val="24"/>
          <w:highlight w:val="none"/>
          <w:lang w:val="en-US"/>
        </w:rPr>
      </w:pPr>
      <w:r>
        <w:rPr>
          <w:rFonts w:hint="eastAsia" w:ascii="黑体" w:hAnsi="黑体" w:eastAsia="黑体"/>
          <w:color w:val="auto"/>
          <w:sz w:val="32"/>
          <w:szCs w:val="24"/>
          <w:highlight w:val="none"/>
          <w:lang w:val="en-US"/>
        </w:rPr>
        <w:t>五、《一般公共预算财政拨款支出决算表》</w:t>
      </w:r>
    </w:p>
    <w:p>
      <w:pPr>
        <w:spacing w:line="540" w:lineRule="exact"/>
        <w:ind w:firstLine="640"/>
        <w:rPr>
          <w:rFonts w:hint="default" w:eastAsia="Times New Roman"/>
          <w:color w:val="auto"/>
          <w:sz w:val="32"/>
          <w:szCs w:val="24"/>
          <w:highlight w:val="none"/>
          <w:lang w:val="en-US"/>
        </w:rPr>
      </w:pPr>
      <w:r>
        <w:rPr>
          <w:rFonts w:hint="eastAsia" w:ascii="黑体" w:hAnsi="黑体" w:eastAsia="黑体"/>
          <w:color w:val="auto"/>
          <w:sz w:val="32"/>
          <w:szCs w:val="24"/>
          <w:highlight w:val="none"/>
          <w:lang w:val="en-US"/>
        </w:rPr>
        <w:t>六、《一般公共预算财政拨款基本支出决算表》</w:t>
      </w:r>
    </w:p>
    <w:p>
      <w:pPr>
        <w:spacing w:line="540" w:lineRule="exact"/>
        <w:ind w:firstLine="640"/>
        <w:rPr>
          <w:rFonts w:hint="default" w:eastAsia="Times New Roman"/>
          <w:color w:val="auto"/>
          <w:sz w:val="32"/>
          <w:szCs w:val="24"/>
          <w:highlight w:val="none"/>
          <w:lang w:val="en-US"/>
        </w:rPr>
      </w:pPr>
      <w:r>
        <w:rPr>
          <w:rFonts w:hint="eastAsia" w:ascii="黑体" w:hAnsi="黑体" w:eastAsia="黑体"/>
          <w:color w:val="auto"/>
          <w:sz w:val="32"/>
          <w:szCs w:val="24"/>
          <w:highlight w:val="none"/>
          <w:lang w:val="en-US"/>
        </w:rPr>
        <w:t>七、《财政拨款“三公”经费支出决算表》</w:t>
      </w:r>
    </w:p>
    <w:p>
      <w:pPr>
        <w:spacing w:line="540" w:lineRule="exact"/>
        <w:ind w:firstLine="640"/>
        <w:rPr>
          <w:rFonts w:hint="default" w:eastAsia="Times New Roman"/>
          <w:color w:val="auto"/>
          <w:kern w:val="0"/>
          <w:sz w:val="32"/>
          <w:szCs w:val="24"/>
          <w:highlight w:val="none"/>
          <w:lang w:val="en-US"/>
        </w:rPr>
      </w:pPr>
      <w:r>
        <w:rPr>
          <w:rFonts w:hint="eastAsia" w:ascii="黑体" w:hAnsi="黑体" w:eastAsia="黑体"/>
          <w:color w:val="auto"/>
          <w:sz w:val="32"/>
          <w:szCs w:val="24"/>
          <w:highlight w:val="none"/>
          <w:lang w:val="en-US"/>
        </w:rPr>
        <w:t>八、《政府性基金预算财政拨款收入支出决算表》</w:t>
      </w:r>
    </w:p>
    <w:p>
      <w:pPr>
        <w:spacing w:line="540" w:lineRule="exact"/>
        <w:ind w:firstLine="640"/>
        <w:rPr>
          <w:rFonts w:hint="default" w:eastAsia="Times New Roman"/>
          <w:color w:val="auto"/>
          <w:kern w:val="0"/>
          <w:sz w:val="32"/>
          <w:szCs w:val="24"/>
          <w:highlight w:val="none"/>
          <w:lang w:val="en-US"/>
        </w:rPr>
      </w:pPr>
      <w:r>
        <w:rPr>
          <w:rFonts w:hint="eastAsia" w:ascii="黑体" w:hAnsi="黑体" w:eastAsia="黑体"/>
          <w:color w:val="auto"/>
          <w:sz w:val="32"/>
          <w:szCs w:val="24"/>
          <w:highlight w:val="none"/>
          <w:lang w:val="zh-CN"/>
        </w:rPr>
        <w:t>九</w:t>
      </w:r>
      <w:r>
        <w:rPr>
          <w:rFonts w:hint="eastAsia" w:ascii="黑体" w:hAnsi="黑体" w:eastAsia="黑体"/>
          <w:color w:val="auto"/>
          <w:sz w:val="32"/>
          <w:szCs w:val="24"/>
          <w:highlight w:val="none"/>
          <w:lang w:val="en-US"/>
        </w:rPr>
        <w:t>、《国有资本经营预算财政拨款收入支出决算表》</w:t>
      </w:r>
    </w:p>
    <w:p>
      <w:pPr>
        <w:jc w:val="left"/>
        <w:rPr>
          <w:rFonts w:hint="default" w:eastAsia="Times New Roman"/>
          <w:color w:val="auto"/>
          <w:kern w:val="36"/>
          <w:sz w:val="40"/>
          <w:szCs w:val="24"/>
          <w:highlight w:val="none"/>
          <w:lang w:val="zh-CN"/>
        </w:rPr>
      </w:pPr>
    </w:p>
    <w:p>
      <w:pPr>
        <w:rPr>
          <w:rFonts w:hint="default" w:eastAsia="Times New Roman"/>
          <w:color w:val="auto"/>
          <w:sz w:val="21"/>
          <w:szCs w:val="24"/>
          <w:highlight w:val="none"/>
          <w:lang w:val="en-US"/>
        </w:rPr>
      </w:pPr>
    </w:p>
    <w:p>
      <w:pPr>
        <w:jc w:val="left"/>
        <w:rPr>
          <w:rFonts w:hint="default" w:eastAsia="Times New Roman"/>
          <w:color w:val="auto"/>
          <w:kern w:val="36"/>
          <w:sz w:val="40"/>
          <w:szCs w:val="24"/>
          <w:highlight w:val="none"/>
          <w:lang w:val="zh-CN"/>
        </w:rPr>
      </w:pPr>
    </w:p>
    <w:p>
      <w:pPr>
        <w:rPr>
          <w:rFonts w:hint="default" w:eastAsia="Times New Roman"/>
          <w:color w:val="auto"/>
          <w:sz w:val="21"/>
          <w:szCs w:val="24"/>
          <w:highlight w:val="none"/>
          <w:lang w:val="en-US"/>
        </w:rPr>
      </w:pPr>
    </w:p>
    <w:p>
      <w:pPr>
        <w:jc w:val="left"/>
        <w:rPr>
          <w:rFonts w:hint="default" w:eastAsia="Times New Roman"/>
          <w:color w:val="auto"/>
          <w:kern w:val="36"/>
          <w:sz w:val="40"/>
          <w:szCs w:val="24"/>
          <w:highlight w:val="none"/>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277F135A"/>
    <w:rsid w:val="486D7520"/>
    <w:rsid w:val="49B84E7F"/>
    <w:rsid w:val="6C6E2434"/>
    <w:rsid w:val="7E475015"/>
    <w:rsid w:val="7FA538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iPriority="0"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4">
    <w:name w:val="Default Paragraph Font"/>
    <w:unhideWhenUsed/>
    <w:qFormat/>
    <w:uiPriority w:val="99"/>
    <w:rPr>
      <w:rFonts w:hint="default"/>
      <w:sz w:val="24"/>
      <w:szCs w:val="24"/>
    </w:rPr>
  </w:style>
  <w:style w:type="table" w:default="1" w:styleId="3">
    <w:name w:val="Normal Table"/>
    <w:qFormat/>
    <w:uiPriority w:val="99"/>
    <w:tblPr>
      <w:tblLayout w:type="fixed"/>
      <w:tblCellMar>
        <w:top w:w="0" w:type="dxa"/>
        <w:left w:w="108" w:type="dxa"/>
        <w:bottom w:w="0" w:type="dxa"/>
        <w:right w:w="108" w:type="dxa"/>
      </w:tblCellMar>
    </w:tblPr>
  </w:style>
  <w:style w:type="paragraph" w:styleId="2">
    <w:name w:val="toc 1"/>
    <w:basedOn w:val="1"/>
    <w:next w:val="1"/>
    <w:unhideWhenUsed/>
    <w:qFormat/>
    <w:uiPriority w:val="0"/>
    <w:rPr>
      <w:rFonts w:hint="default"/>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21</Pages>
  <Words>8223</Words>
  <Characters>9265</Characters>
  <TotalTime>0</TotalTime>
  <ScaleCrop>false</ScaleCrop>
  <LinksUpToDate>false</LinksUpToDate>
  <CharactersWithSpaces>9277</CharactersWithSpaces>
  <Application>WPS Office_11.8.2.8621_F1E327BC-269C-435d-A152-05C5408002CA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2023-08-27T23:26:00Z</dcterms:created>
  <dc:creator>Administrator</dc:creator>
  <cp:lastModifiedBy>Administrator</cp:lastModifiedBy>
  <dcterms:modified xsi:type="dcterms:W3CDTF">2026-07-27T08:56:03Z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BAF0AA879BFA490AA8098634524EA3FB_13</vt:lpwstr>
  </property>
</Properties>
</file>