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8A2A59C" w14:textId="77777777" w:rsidR="003E7E7C" w:rsidRDefault="003E7E7C">
      <w:pPr>
        <w:shd w:val="clear" w:color="auto" w:fill="FFFFFF"/>
        <w:autoSpaceDE w:val="0"/>
        <w:autoSpaceDN w:val="0"/>
        <w:adjustRightInd w:val="0"/>
        <w:spacing w:before="240" w:after="240"/>
        <w:jc w:val="center"/>
        <w:rPr>
          <w:rFonts w:ascii="Times New Roman" w:hint="default"/>
          <w:kern w:val="36"/>
          <w:sz w:val="40"/>
          <w:szCs w:val="40"/>
          <w:lang w:val="zh-CN"/>
        </w:rPr>
      </w:pPr>
    </w:p>
    <w:p w14:paraId="72B82E48" w14:textId="77777777" w:rsidR="003E7E7C" w:rsidRDefault="003E7E7C">
      <w:pPr>
        <w:shd w:val="clear" w:color="auto" w:fill="FFFFFF"/>
        <w:autoSpaceDE w:val="0"/>
        <w:autoSpaceDN w:val="0"/>
        <w:adjustRightInd w:val="0"/>
        <w:spacing w:before="240" w:after="240"/>
        <w:jc w:val="center"/>
        <w:rPr>
          <w:rFonts w:ascii="Times New Roman" w:hint="default"/>
          <w:kern w:val="36"/>
          <w:sz w:val="40"/>
          <w:szCs w:val="40"/>
          <w:lang w:val="zh-CN"/>
        </w:rPr>
      </w:pPr>
    </w:p>
    <w:p w14:paraId="1ED46D7B" w14:textId="77777777" w:rsidR="003E7E7C" w:rsidRDefault="00000000">
      <w:pPr>
        <w:autoSpaceDE w:val="0"/>
        <w:autoSpaceDN w:val="0"/>
        <w:adjustRightInd w:val="0"/>
        <w:jc w:val="center"/>
        <w:rPr>
          <w:rFonts w:ascii="方正小标宋_GBK" w:eastAsia="方正小标宋_GBK" w:hAnsi="Times New Roman" w:cs="方正小标宋_GBK" w:hint="default"/>
          <w:sz w:val="44"/>
          <w:szCs w:val="44"/>
        </w:rPr>
      </w:pPr>
      <w:r>
        <w:rPr>
          <w:rFonts w:ascii="方正小标宋_GBK" w:eastAsia="方正小标宋_GBK" w:hAnsi="Times New Roman" w:cs="方正小标宋_GBK"/>
          <w:sz w:val="44"/>
          <w:szCs w:val="44"/>
        </w:rPr>
        <w:t>乌鲁木齐市米东区民族宗教事务局</w:t>
      </w:r>
    </w:p>
    <w:p w14:paraId="5678BBC2" w14:textId="77777777" w:rsidR="003E7E7C" w:rsidRDefault="00000000">
      <w:pPr>
        <w:autoSpaceDE w:val="0"/>
        <w:autoSpaceDN w:val="0"/>
        <w:adjustRightInd w:val="0"/>
        <w:jc w:val="center"/>
        <w:rPr>
          <w:rFonts w:ascii="Times New Roman" w:eastAsia="方正小标宋_GBK" w:hAnsi="Times New Roman" w:hint="default"/>
          <w:kern w:val="36"/>
          <w:sz w:val="40"/>
          <w:szCs w:val="40"/>
          <w:lang w:val="zh-CN"/>
        </w:rPr>
      </w:pPr>
      <w:r>
        <w:rPr>
          <w:rFonts w:ascii="方正小标宋_GBK" w:eastAsia="方正小标宋_GBK" w:hAnsi="Times New Roman" w:cs="方正小标宋_GBK"/>
          <w:sz w:val="44"/>
          <w:szCs w:val="44"/>
        </w:rPr>
        <w:t>2022年度部门决算公开说明</w:t>
      </w:r>
    </w:p>
    <w:p w14:paraId="70C7E487" w14:textId="77777777" w:rsidR="003E7E7C" w:rsidRDefault="003E7E7C">
      <w:pPr>
        <w:shd w:val="clear" w:color="auto" w:fill="FFFFFF"/>
        <w:autoSpaceDE w:val="0"/>
        <w:autoSpaceDN w:val="0"/>
        <w:adjustRightInd w:val="0"/>
        <w:spacing w:before="240" w:after="240"/>
        <w:jc w:val="center"/>
        <w:rPr>
          <w:rFonts w:ascii="Times New Roman" w:eastAsia="宋体" w:hAnsi="Times New Roman" w:hint="default"/>
          <w:kern w:val="36"/>
          <w:sz w:val="40"/>
          <w:szCs w:val="40"/>
          <w:lang w:val="zh-CN"/>
        </w:rPr>
      </w:pPr>
    </w:p>
    <w:p w14:paraId="3F971431" w14:textId="77777777" w:rsidR="003E7E7C" w:rsidRDefault="00000000">
      <w:pPr>
        <w:autoSpaceDE w:val="0"/>
        <w:autoSpaceDN w:val="0"/>
        <w:adjustRightInd w:val="0"/>
        <w:spacing w:line="540" w:lineRule="exact"/>
        <w:jc w:val="center"/>
        <w:rPr>
          <w:rFonts w:ascii="Times New Roman" w:eastAsia="仿宋_GB2312" w:hAnsi="Times New Roman" w:hint="default"/>
          <w:b/>
          <w:kern w:val="0"/>
          <w:sz w:val="24"/>
          <w:szCs w:val="24"/>
        </w:rPr>
      </w:pPr>
      <w:r>
        <w:rPr>
          <w:rFonts w:ascii="Times New Roman" w:eastAsia="宋体" w:hAnsi="Times New Roman" w:hint="default"/>
          <w:b/>
          <w:kern w:val="36"/>
          <w:sz w:val="36"/>
          <w:szCs w:val="36"/>
        </w:rPr>
        <w:br w:type="page"/>
      </w:r>
      <w:r>
        <w:rPr>
          <w:rFonts w:ascii="仿宋_GB2312" w:eastAsia="仿宋_GB2312" w:hAnsi="Times New Roman" w:cs="仿宋_GB2312"/>
          <w:b/>
          <w:kern w:val="0"/>
          <w:sz w:val="36"/>
          <w:szCs w:val="36"/>
        </w:rPr>
        <w:lastRenderedPageBreak/>
        <w:t>目  录</w:t>
      </w:r>
    </w:p>
    <w:p w14:paraId="21EE6D1A" w14:textId="77777777" w:rsidR="003E7E7C" w:rsidRDefault="00000000">
      <w:pPr>
        <w:autoSpaceDE w:val="0"/>
        <w:autoSpaceDN w:val="0"/>
        <w:adjustRightInd w:val="0"/>
        <w:spacing w:line="540" w:lineRule="exact"/>
        <w:rPr>
          <w:rFonts w:ascii="Times New Roman" w:eastAsia="仿宋_GB2312" w:hAnsi="Times New Roman" w:hint="default"/>
          <w:kern w:val="0"/>
          <w:sz w:val="32"/>
          <w:szCs w:val="32"/>
        </w:rPr>
      </w:pPr>
      <w:r>
        <w:rPr>
          <w:rFonts w:ascii="仿宋_GB2312" w:eastAsia="仿宋_GB2312" w:hAnsi="Times New Roman" w:cs="仿宋_GB2312"/>
          <w:b/>
          <w:kern w:val="0"/>
          <w:sz w:val="32"/>
          <w:szCs w:val="32"/>
        </w:rPr>
        <w:t>第一部分 单位概况</w:t>
      </w:r>
    </w:p>
    <w:p w14:paraId="52DC34FE" w14:textId="77777777" w:rsidR="003E7E7C" w:rsidRDefault="00000000">
      <w:pPr>
        <w:autoSpaceDE w:val="0"/>
        <w:autoSpaceDN w:val="0"/>
        <w:adjustRightInd w:val="0"/>
        <w:spacing w:line="540" w:lineRule="exact"/>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一、主要职能</w:t>
      </w:r>
    </w:p>
    <w:p w14:paraId="64E9D71A" w14:textId="77777777" w:rsidR="003E7E7C" w:rsidRDefault="00000000">
      <w:pPr>
        <w:autoSpaceDE w:val="0"/>
        <w:autoSpaceDN w:val="0"/>
        <w:adjustRightInd w:val="0"/>
        <w:spacing w:line="540" w:lineRule="exact"/>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二、</w:t>
      </w:r>
      <w:r>
        <w:rPr>
          <w:rFonts w:ascii="仿宋_GB2312" w:eastAsia="仿宋_GB2312" w:hAnsi="Times New Roman" w:cs="仿宋_GB2312"/>
          <w:sz w:val="32"/>
          <w:szCs w:val="32"/>
        </w:rPr>
        <w:t>机构设置及人员情况</w:t>
      </w:r>
    </w:p>
    <w:p w14:paraId="79EDF0AF" w14:textId="77777777" w:rsidR="003E7E7C" w:rsidRDefault="00000000">
      <w:pPr>
        <w:autoSpaceDE w:val="0"/>
        <w:autoSpaceDN w:val="0"/>
        <w:adjustRightInd w:val="0"/>
        <w:spacing w:line="540" w:lineRule="exact"/>
        <w:rPr>
          <w:rFonts w:ascii="Times New Roman" w:eastAsia="仿宋_GB2312" w:hAnsi="Times New Roman" w:hint="default"/>
          <w:kern w:val="0"/>
          <w:sz w:val="32"/>
          <w:szCs w:val="32"/>
        </w:rPr>
      </w:pPr>
      <w:r>
        <w:rPr>
          <w:rFonts w:ascii="仿宋_GB2312" w:eastAsia="仿宋_GB2312" w:hAnsi="Times New Roman" w:cs="仿宋_GB2312"/>
          <w:b/>
          <w:kern w:val="0"/>
          <w:sz w:val="32"/>
          <w:szCs w:val="32"/>
        </w:rPr>
        <w:t>第二部分 部门决算情况说明</w:t>
      </w:r>
    </w:p>
    <w:p w14:paraId="38376D86" w14:textId="77777777" w:rsidR="003E7E7C"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一、收入支出决算总体情况说明</w:t>
      </w:r>
    </w:p>
    <w:p w14:paraId="41718293" w14:textId="77777777" w:rsidR="003E7E7C"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二、收入决算情况说明</w:t>
      </w:r>
    </w:p>
    <w:p w14:paraId="3AAB1386" w14:textId="77777777" w:rsidR="003E7E7C"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三、支出决算情况说明</w:t>
      </w:r>
    </w:p>
    <w:p w14:paraId="5018D884" w14:textId="77777777" w:rsidR="003E7E7C"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四、财政拨款收入支出决算总体情况说明</w:t>
      </w:r>
    </w:p>
    <w:p w14:paraId="64371BD0" w14:textId="77777777" w:rsidR="003E7E7C"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五、一般公共预算财政拨款支出决算情况说明</w:t>
      </w:r>
    </w:p>
    <w:p w14:paraId="3132EEED" w14:textId="77777777" w:rsidR="003E7E7C"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六、一般公共预算财政拨款基本支出决算情况说明</w:t>
      </w:r>
    </w:p>
    <w:p w14:paraId="0A04D750" w14:textId="77777777" w:rsidR="003E7E7C"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七、财政拨款</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经费支出决算情况说明</w:t>
      </w:r>
    </w:p>
    <w:p w14:paraId="76C4CA09" w14:textId="77777777" w:rsidR="003E7E7C"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八、政府性基金预算</w:t>
      </w:r>
      <w:r>
        <w:rPr>
          <w:rFonts w:ascii="仿宋_GB2312" w:eastAsia="仿宋_GB2312" w:hAnsi="Times New Roman" w:cs="仿宋_GB2312"/>
          <w:sz w:val="32"/>
          <w:szCs w:val="32"/>
          <w:lang w:val="zh-CN"/>
        </w:rPr>
        <w:t>财政拨款</w:t>
      </w:r>
      <w:r>
        <w:rPr>
          <w:rFonts w:ascii="仿宋_GB2312" w:eastAsia="仿宋_GB2312" w:hAnsi="Times New Roman" w:cs="仿宋_GB2312"/>
          <w:sz w:val="32"/>
          <w:szCs w:val="32"/>
        </w:rPr>
        <w:t>收入支出决算情况说明</w:t>
      </w:r>
    </w:p>
    <w:p w14:paraId="7687C163" w14:textId="77777777" w:rsidR="003E7E7C"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九、国有资本经营预算财政拨款收入支出决算情况说明</w:t>
      </w:r>
    </w:p>
    <w:p w14:paraId="5112F890" w14:textId="77777777" w:rsidR="003E7E7C"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十、其他重要事项的情况说明</w:t>
      </w:r>
    </w:p>
    <w:p w14:paraId="5FD6810E" w14:textId="77777777" w:rsidR="003E7E7C"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（一）机关运行经费支出情况</w:t>
      </w:r>
    </w:p>
    <w:p w14:paraId="4321E0A2" w14:textId="77777777" w:rsidR="003E7E7C"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（二）政府采购情况</w:t>
      </w:r>
    </w:p>
    <w:p w14:paraId="05B38BEF" w14:textId="77777777" w:rsidR="003E7E7C"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（三）国有资产占用情况说明</w:t>
      </w:r>
    </w:p>
    <w:p w14:paraId="540C0493" w14:textId="77777777" w:rsidR="003E7E7C"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十</w:t>
      </w:r>
      <w:r>
        <w:rPr>
          <w:rFonts w:ascii="仿宋_GB2312" w:eastAsia="仿宋_GB2312" w:hAnsi="Times New Roman" w:cs="仿宋_GB2312"/>
          <w:sz w:val="32"/>
          <w:szCs w:val="32"/>
          <w:lang w:val="zh-CN"/>
        </w:rPr>
        <w:t>一</w:t>
      </w:r>
      <w:r>
        <w:rPr>
          <w:rFonts w:ascii="仿宋_GB2312" w:eastAsia="仿宋_GB2312" w:hAnsi="Times New Roman" w:cs="仿宋_GB2312"/>
          <w:sz w:val="32"/>
          <w:szCs w:val="32"/>
        </w:rPr>
        <w:t>、预算绩效的情况说明</w:t>
      </w:r>
    </w:p>
    <w:p w14:paraId="6C185072" w14:textId="77777777" w:rsidR="003E7E7C" w:rsidRDefault="00000000">
      <w:pPr>
        <w:autoSpaceDE w:val="0"/>
        <w:autoSpaceDN w:val="0"/>
        <w:adjustRightInd w:val="0"/>
        <w:spacing w:line="540" w:lineRule="exact"/>
        <w:rPr>
          <w:rFonts w:ascii="Times New Roman" w:eastAsia="仿宋_GB2312" w:hAnsi="Times New Roman" w:hint="default"/>
          <w:b/>
          <w:kern w:val="0"/>
          <w:sz w:val="32"/>
          <w:szCs w:val="32"/>
        </w:rPr>
      </w:pPr>
      <w:r>
        <w:rPr>
          <w:rFonts w:ascii="仿宋_GB2312" w:eastAsia="仿宋_GB2312" w:hAnsi="Times New Roman" w:cs="仿宋_GB2312"/>
          <w:b/>
          <w:kern w:val="0"/>
          <w:sz w:val="32"/>
          <w:szCs w:val="32"/>
        </w:rPr>
        <w:t>第三部分 专业名词解释</w:t>
      </w:r>
    </w:p>
    <w:p w14:paraId="7BD30578" w14:textId="77777777" w:rsidR="003E7E7C" w:rsidRDefault="00000000">
      <w:pPr>
        <w:autoSpaceDE w:val="0"/>
        <w:autoSpaceDN w:val="0"/>
        <w:adjustRightInd w:val="0"/>
        <w:spacing w:line="540" w:lineRule="exact"/>
        <w:rPr>
          <w:rFonts w:ascii="Times New Roman" w:eastAsia="仿宋_GB2312" w:hAnsi="Times New Roman" w:hint="default"/>
          <w:b/>
          <w:kern w:val="0"/>
          <w:sz w:val="32"/>
          <w:szCs w:val="32"/>
        </w:rPr>
      </w:pPr>
      <w:r>
        <w:rPr>
          <w:rFonts w:ascii="仿宋_GB2312" w:eastAsia="仿宋_GB2312" w:hAnsi="Times New Roman" w:cs="仿宋_GB2312"/>
          <w:b/>
          <w:kern w:val="0"/>
          <w:sz w:val="32"/>
          <w:szCs w:val="32"/>
        </w:rPr>
        <w:t>第四部分 部</w:t>
      </w:r>
      <w:r>
        <w:rPr>
          <w:rFonts w:ascii="仿宋_GB2312" w:eastAsia="仿宋_GB2312" w:hAnsi="Times New Roman" w:cs="仿宋_GB2312"/>
          <w:b/>
          <w:sz w:val="32"/>
          <w:szCs w:val="32"/>
        </w:rPr>
        <w:t>门决算报表（见附表）</w:t>
      </w:r>
    </w:p>
    <w:p w14:paraId="6985C7B3" w14:textId="77777777" w:rsidR="003E7E7C"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一、《收入支出决算总表》</w:t>
      </w:r>
    </w:p>
    <w:p w14:paraId="4C4B08A6" w14:textId="77777777" w:rsidR="003E7E7C"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二、《收入决算表》</w:t>
      </w:r>
    </w:p>
    <w:p w14:paraId="7597B459" w14:textId="77777777" w:rsidR="003E7E7C"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三、《支出决算表》</w:t>
      </w:r>
    </w:p>
    <w:p w14:paraId="57EEB7B0" w14:textId="77777777" w:rsidR="003E7E7C"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lastRenderedPageBreak/>
        <w:t>四、《财政拨款收入支出决算总表》</w:t>
      </w:r>
    </w:p>
    <w:p w14:paraId="7C09B06D" w14:textId="77777777" w:rsidR="003E7E7C"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五、《一般公共预算财政拨款支出决算表》</w:t>
      </w:r>
    </w:p>
    <w:p w14:paraId="1AC24F78" w14:textId="77777777" w:rsidR="003E7E7C"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六、《一般公共预算财政拨款基本支出决算表》</w:t>
      </w:r>
    </w:p>
    <w:p w14:paraId="2B6F6A77" w14:textId="77777777" w:rsidR="003E7E7C"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七、《财政拨款</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经费支出决算表》</w:t>
      </w:r>
    </w:p>
    <w:p w14:paraId="6C540FB9" w14:textId="77777777" w:rsidR="003E7E7C"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八、《政府性基金预算财政拨款收入支出决算表》</w:t>
      </w:r>
    </w:p>
    <w:p w14:paraId="6FEC2AC2" w14:textId="77777777" w:rsidR="003E7E7C"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九、《国有资本经营预算财政拨款收入支出决算表》</w:t>
      </w:r>
    </w:p>
    <w:p w14:paraId="52314CBC" w14:textId="77777777" w:rsidR="003E7E7C" w:rsidRDefault="003E7E7C">
      <w:pPr>
        <w:autoSpaceDE w:val="0"/>
        <w:autoSpaceDN w:val="0"/>
        <w:adjustRightInd w:val="0"/>
        <w:spacing w:line="540" w:lineRule="exact"/>
        <w:ind w:firstLine="640"/>
        <w:rPr>
          <w:rFonts w:ascii="Times New Roman" w:eastAsia="仿宋_GB2312" w:hAnsi="Times New Roman" w:hint="default"/>
          <w:b/>
          <w:kern w:val="0"/>
          <w:sz w:val="28"/>
          <w:szCs w:val="28"/>
        </w:rPr>
      </w:pPr>
    </w:p>
    <w:p w14:paraId="4859B6AB" w14:textId="77777777" w:rsidR="003E7E7C" w:rsidRDefault="003E7E7C">
      <w:pPr>
        <w:shd w:val="clear" w:color="auto" w:fill="FFFFFF"/>
        <w:autoSpaceDE w:val="0"/>
        <w:autoSpaceDN w:val="0"/>
        <w:adjustRightInd w:val="0"/>
        <w:spacing w:line="360" w:lineRule="auto"/>
        <w:jc w:val="center"/>
        <w:rPr>
          <w:rFonts w:ascii="Times New Roman" w:eastAsia="仿宋_GB2312" w:hAnsi="Times New Roman" w:hint="default"/>
          <w:kern w:val="0"/>
          <w:sz w:val="32"/>
          <w:szCs w:val="32"/>
        </w:rPr>
      </w:pPr>
    </w:p>
    <w:p w14:paraId="34C186F4" w14:textId="77777777" w:rsidR="003E7E7C" w:rsidRDefault="00000000">
      <w:pPr>
        <w:shd w:val="clear" w:color="auto" w:fill="FFFFFF"/>
        <w:autoSpaceDE w:val="0"/>
        <w:autoSpaceDN w:val="0"/>
        <w:adjustRightInd w:val="0"/>
        <w:spacing w:line="360" w:lineRule="auto"/>
        <w:jc w:val="center"/>
        <w:rPr>
          <w:rFonts w:eastAsia="黑体" w:cs="黑体" w:hint="default"/>
          <w:kern w:val="0"/>
          <w:sz w:val="32"/>
          <w:szCs w:val="32"/>
          <w:rtl/>
          <w:cs/>
          <w:lang w:val="ar-SA"/>
        </w:rPr>
      </w:pPr>
      <w:r>
        <w:rPr>
          <w:rFonts w:ascii="Times New Roman" w:eastAsia="仿宋_GB2312" w:hAnsi="Times New Roman" w:hint="default"/>
          <w:kern w:val="0"/>
          <w:sz w:val="32"/>
          <w:szCs w:val="32"/>
        </w:rPr>
        <w:br w:type="page"/>
      </w:r>
      <w:r>
        <w:rPr>
          <w:rFonts w:ascii="黑体" w:eastAsia="黑体" w:hAnsi="Times New Roman" w:cs="黑体"/>
          <w:kern w:val="0"/>
          <w:sz w:val="32"/>
          <w:szCs w:val="32"/>
        </w:rPr>
        <w:lastRenderedPageBreak/>
        <w:t>第一部分 单位概况</w:t>
      </w:r>
    </w:p>
    <w:p w14:paraId="7F630764" w14:textId="77777777" w:rsidR="003E7E7C"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一、主要职能</w:t>
      </w:r>
    </w:p>
    <w:p w14:paraId="151F95D8" w14:textId="77777777" w:rsidR="003E7E7C"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1.贯彻执行国家、自治区和我市有关民族、宗教工作的方针、政策和法律、法规，起草有关政策措施，组织编制民族、宗教工作中长期规划和年度计划，并组织实施。</w:t>
      </w:r>
    </w:p>
    <w:p w14:paraId="77C44586" w14:textId="77777777" w:rsidR="003E7E7C"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2.组织开展民族宗教理论、政策及重大问题的调查研究，并提出相关政策建议；负责民族、宗教工作相关法律、法规和政策的宣传教育及落实情况的督促检查。</w:t>
      </w:r>
    </w:p>
    <w:p w14:paraId="3FAC1F83" w14:textId="77777777" w:rsidR="003E7E7C"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3.负责协调推动有关部门履行民族工作相关职责，促进民族政策在经济发展和社会事业有关领域的实施、衔接；监督实施和完善少数民族区域自治制度建设，保障少数民族合法权益。</w:t>
      </w:r>
    </w:p>
    <w:p w14:paraId="4941CBEA" w14:textId="77777777" w:rsidR="003E7E7C"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4</w:t>
      </w:r>
      <w:r>
        <w:rPr>
          <w:rFonts w:ascii="仿宋_GB2312" w:eastAsia="仿宋_GB2312" w:hAnsi="Times New Roman" w:cs="仿宋_GB2312" w:hint="default"/>
          <w:kern w:val="0"/>
          <w:sz w:val="32"/>
          <w:szCs w:val="32"/>
        </w:rPr>
        <w:t>.</w:t>
      </w:r>
      <w:r>
        <w:rPr>
          <w:rFonts w:ascii="仿宋_GB2312" w:eastAsia="仿宋_GB2312" w:hAnsi="Times New Roman" w:cs="仿宋_GB2312"/>
          <w:kern w:val="0"/>
          <w:sz w:val="32"/>
          <w:szCs w:val="32"/>
        </w:rPr>
        <w:t>研究提出协调民族关系的工作建议，协调处理民族关系中的重要事项，参与维护社会稳定工作；指导协调民族团结进步工作，加强民族团结宣传教育，组织开展民族团结进步创建、表彰活动，协调处理民族团结进步创建活动中的重大问题。</w:t>
      </w:r>
    </w:p>
    <w:p w14:paraId="7C38BC5A" w14:textId="77777777" w:rsidR="003E7E7C"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5</w:t>
      </w:r>
      <w:r>
        <w:rPr>
          <w:rFonts w:ascii="仿宋_GB2312" w:eastAsia="仿宋_GB2312" w:hAnsi="Times New Roman" w:cs="仿宋_GB2312" w:hint="default"/>
          <w:kern w:val="0"/>
          <w:sz w:val="32"/>
          <w:szCs w:val="32"/>
        </w:rPr>
        <w:t>.</w:t>
      </w:r>
      <w:r>
        <w:rPr>
          <w:rFonts w:ascii="仿宋_GB2312" w:eastAsia="仿宋_GB2312" w:hAnsi="Times New Roman" w:cs="仿宋_GB2312"/>
          <w:kern w:val="0"/>
          <w:sz w:val="32"/>
          <w:szCs w:val="32"/>
        </w:rPr>
        <w:t>参与拟订经济社会相关领域的发展规划；研究分析少数民族经济发展、社会事业方面的问题，并提出政策建议；承担民族贸易和民族特需商品生产的有关工作；促进建立和完善少数民族事业发展综合评价监测体系，组织实施民族事务服务体系和民族事务管理信息化建设；负责权限内清真食品生产经营监督管理工作。</w:t>
      </w:r>
    </w:p>
    <w:p w14:paraId="279EBB90" w14:textId="77777777" w:rsidR="003E7E7C"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lastRenderedPageBreak/>
        <w:t>6</w:t>
      </w:r>
      <w:r>
        <w:rPr>
          <w:rFonts w:ascii="仿宋_GB2312" w:eastAsia="仿宋_GB2312" w:hAnsi="Times New Roman" w:cs="仿宋_GB2312" w:hint="default"/>
          <w:kern w:val="0"/>
          <w:sz w:val="32"/>
          <w:szCs w:val="32"/>
        </w:rPr>
        <w:t>.</w:t>
      </w:r>
      <w:r>
        <w:rPr>
          <w:rFonts w:ascii="仿宋_GB2312" w:eastAsia="仿宋_GB2312" w:hAnsi="Times New Roman" w:cs="仿宋_GB2312"/>
          <w:kern w:val="0"/>
          <w:sz w:val="32"/>
          <w:szCs w:val="32"/>
        </w:rPr>
        <w:t>研究涉及民族宗教方面突发事件的预警、应急机制问题，承担有关协调处理工作；协助有关部门加强对少数民族流动人口的服务和管理。</w:t>
      </w:r>
    </w:p>
    <w:p w14:paraId="0F8E4853" w14:textId="77777777" w:rsidR="003E7E7C"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7</w:t>
      </w:r>
      <w:r>
        <w:rPr>
          <w:rFonts w:ascii="仿宋_GB2312" w:eastAsia="仿宋_GB2312" w:hAnsi="Times New Roman" w:cs="仿宋_GB2312" w:hint="default"/>
          <w:kern w:val="0"/>
          <w:sz w:val="32"/>
          <w:szCs w:val="32"/>
        </w:rPr>
        <w:t>.承担依法管理宗教事务的责任，依法保护公民宗教信仰自由和正常合法宗教活动；维护宗教界合法权益，促进宗教和睦和谐；加强创新清真寺和宗教活动的教育管理服务，监督、检查、指导清真寺和宗教活动教育管理服务管委会的工作。</w:t>
      </w:r>
    </w:p>
    <w:p w14:paraId="607956CA" w14:textId="77777777" w:rsidR="003E7E7C"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8</w:t>
      </w:r>
      <w:r>
        <w:rPr>
          <w:rFonts w:ascii="仿宋_GB2312" w:eastAsia="仿宋_GB2312" w:hAnsi="Times New Roman" w:cs="仿宋_GB2312" w:hint="default"/>
          <w:kern w:val="0"/>
          <w:sz w:val="32"/>
          <w:szCs w:val="32"/>
        </w:rPr>
        <w:t>.指导宗教团体依法依章开展活动；支持宗教团体加强自身建设；推动宗教团体在宗教界开展爱国主义、社会主义、维护祖国统一和民族团结的自我教育；办理宗教团体需由政府解决或协调的有关事务。</w:t>
      </w:r>
    </w:p>
    <w:p w14:paraId="2A037DE4" w14:textId="77777777" w:rsidR="003E7E7C"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9</w:t>
      </w:r>
      <w:r>
        <w:rPr>
          <w:rFonts w:ascii="仿宋_GB2312" w:eastAsia="仿宋_GB2312" w:hAnsi="Times New Roman" w:cs="仿宋_GB2312" w:hint="default"/>
          <w:kern w:val="0"/>
          <w:sz w:val="32"/>
          <w:szCs w:val="32"/>
        </w:rPr>
        <w:t>.指导乡镇（片区）依法履行管理职能，协助乡镇（片区）处理宗教方面的重要问题，防范利用宗教进行的非法、违法活动，抵御境外利用宗教进行的渗透活动。</w:t>
      </w:r>
    </w:p>
    <w:p w14:paraId="63016CFE" w14:textId="77777777" w:rsidR="003E7E7C"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1</w:t>
      </w:r>
      <w:r>
        <w:rPr>
          <w:rFonts w:ascii="仿宋_GB2312" w:eastAsia="仿宋_GB2312" w:hAnsi="Times New Roman" w:cs="仿宋_GB2312" w:hint="default"/>
          <w:kern w:val="0"/>
          <w:sz w:val="32"/>
          <w:szCs w:val="32"/>
        </w:rPr>
        <w:t>0.负责组织协调民族宗教工作领域有关对外交流与合作；参与涉及民族宗教事务的对外宣传工作；指导宗教界依法开展对外友好交往活动；会同有关部门处理民族宗教方面的涉外事宜；负责朝觐的管理工作。</w:t>
      </w:r>
    </w:p>
    <w:p w14:paraId="48BF2BF5" w14:textId="77777777" w:rsidR="003E7E7C"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1</w:t>
      </w:r>
      <w:r>
        <w:rPr>
          <w:rFonts w:ascii="仿宋_GB2312" w:eastAsia="仿宋_GB2312" w:hAnsi="Times New Roman" w:cs="仿宋_GB2312" w:hint="default"/>
          <w:kern w:val="0"/>
          <w:sz w:val="32"/>
          <w:szCs w:val="32"/>
        </w:rPr>
        <w:t>1.参与拟订少数民族人才队伍建设规划</w:t>
      </w:r>
      <w:r>
        <w:rPr>
          <w:rFonts w:ascii="仿宋_GB2312" w:eastAsia="仿宋_GB2312" w:hAnsi="Times New Roman" w:cs="仿宋_GB2312"/>
          <w:kern w:val="0"/>
          <w:sz w:val="32"/>
          <w:szCs w:val="32"/>
        </w:rPr>
        <w:t>联系少数民族干部，协助有关部门做好少数民族干部的培养、教育和使用工作。</w:t>
      </w:r>
    </w:p>
    <w:p w14:paraId="69062E1E" w14:textId="77777777" w:rsidR="003E7E7C"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1</w:t>
      </w:r>
      <w:r>
        <w:rPr>
          <w:rFonts w:ascii="仿宋_GB2312" w:eastAsia="仿宋_GB2312" w:hAnsi="Times New Roman" w:cs="仿宋_GB2312" w:hint="default"/>
          <w:kern w:val="0"/>
          <w:sz w:val="32"/>
          <w:szCs w:val="32"/>
        </w:rPr>
        <w:t>2.</w:t>
      </w:r>
      <w:r>
        <w:rPr>
          <w:rFonts w:ascii="仿宋_GB2312" w:eastAsia="仿宋_GB2312" w:hAnsi="Times New Roman" w:cs="仿宋_GB2312"/>
          <w:kern w:val="0"/>
          <w:sz w:val="32"/>
          <w:szCs w:val="32"/>
        </w:rPr>
        <w:t>承办区委、区人民政府交办的其他事项。</w:t>
      </w:r>
    </w:p>
    <w:p w14:paraId="2D24261E" w14:textId="77777777" w:rsidR="003E7E7C"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lastRenderedPageBreak/>
        <w:t>二、机构设置及人员情况</w:t>
      </w:r>
    </w:p>
    <w:p w14:paraId="5ED711FB" w14:textId="77777777" w:rsidR="003E7E7C"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乌鲁木齐市米东区民族宗教事务局2022年度，实有人数18人，其中：在职人员11人，离休人员</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人，退休人员7人。</w:t>
      </w:r>
    </w:p>
    <w:p w14:paraId="7BD9B627" w14:textId="77777777" w:rsidR="003E7E7C" w:rsidRDefault="00000000">
      <w:pPr>
        <w:shd w:val="clear" w:color="auto" w:fill="FFFFFF"/>
        <w:autoSpaceDE w:val="0"/>
        <w:autoSpaceDN w:val="0"/>
        <w:adjustRightInd w:val="0"/>
        <w:spacing w:line="360" w:lineRule="auto"/>
        <w:ind w:firstLine="640"/>
        <w:rPr>
          <w:rFonts w:ascii="Times New Roman" w:hint="default"/>
          <w:kern w:val="0"/>
          <w:sz w:val="24"/>
          <w:szCs w:val="24"/>
          <w:rtl/>
          <w:cs/>
          <w:lang w:val="zh-CN" w:bidi="zh-CN"/>
        </w:rPr>
      </w:pPr>
      <w:r>
        <w:rPr>
          <w:rFonts w:ascii="仿宋_GB2312" w:eastAsia="仿宋_GB2312" w:hAnsi="Times New Roman" w:cs="仿宋_GB2312"/>
          <w:kern w:val="0"/>
          <w:sz w:val="32"/>
          <w:szCs w:val="32"/>
        </w:rPr>
        <w:t>从部门决算单位构成看，乌鲁木齐市米东区民族宗教事务局部门决算包括：乌鲁木齐市米东区民族宗教事务局</w:t>
      </w:r>
      <w:r>
        <w:rPr>
          <w:rFonts w:ascii="仿宋_GB2312" w:eastAsia="仿宋_GB2312" w:hAnsi="Times New Roman" w:cs="仿宋_GB2312"/>
          <w:kern w:val="0"/>
          <w:sz w:val="32"/>
          <w:szCs w:val="32"/>
          <w:lang w:val="zh-CN"/>
        </w:rPr>
        <w:t>决算。单位无下属预算单位，下设</w:t>
      </w:r>
      <w:r>
        <w:rPr>
          <w:rFonts w:ascii="仿宋_GB2312" w:eastAsia="仿宋_GB2312" w:hAnsi="Times New Roman"/>
          <w:kern w:val="0"/>
          <w:sz w:val="32"/>
          <w:szCs w:val="24"/>
          <w:lang w:val="zh-CN"/>
        </w:rPr>
        <w:t>5</w:t>
      </w:r>
      <w:r>
        <w:rPr>
          <w:rFonts w:ascii="仿宋_GB2312" w:eastAsia="仿宋_GB2312" w:hAnsi="Times New Roman" w:cs="仿宋_GB2312"/>
          <w:kern w:val="0"/>
          <w:sz w:val="32"/>
          <w:szCs w:val="32"/>
          <w:lang w:val="zh-CN"/>
        </w:rPr>
        <w:t>个科室，分别是：</w:t>
      </w:r>
      <w:r>
        <w:rPr>
          <w:rFonts w:ascii="仿宋_GB2312" w:eastAsia="仿宋_GB2312" w:hAnsi="Times New Roman"/>
          <w:kern w:val="0"/>
          <w:sz w:val="32"/>
          <w:szCs w:val="24"/>
        </w:rPr>
        <w:t>民宗办公室、安全生产办公室、创建办、财务室、伊斯兰协会</w:t>
      </w:r>
      <w:r>
        <w:rPr>
          <w:rFonts w:ascii="仿宋_GB2312" w:eastAsia="仿宋_GB2312" w:hAnsi="Times New Roman" w:cs="仿宋_GB2312"/>
          <w:kern w:val="0"/>
          <w:sz w:val="32"/>
          <w:szCs w:val="32"/>
          <w:lang w:val="zh-CN"/>
        </w:rPr>
        <w:t>。</w:t>
      </w:r>
    </w:p>
    <w:p w14:paraId="6A2DEC8D" w14:textId="77777777" w:rsidR="003E7E7C" w:rsidRDefault="00000000">
      <w:pPr>
        <w:shd w:val="clear" w:color="auto" w:fill="FFFFFF"/>
        <w:autoSpaceDE w:val="0"/>
        <w:autoSpaceDN w:val="0"/>
        <w:adjustRightInd w:val="0"/>
        <w:spacing w:before="100" w:after="240"/>
        <w:jc w:val="center"/>
        <w:rPr>
          <w:rFonts w:ascii="Times New Roman" w:hint="default"/>
          <w:kern w:val="0"/>
          <w:sz w:val="28"/>
          <w:szCs w:val="28"/>
          <w:rtl/>
          <w:cs/>
          <w:lang w:val="ar-SA"/>
        </w:rPr>
      </w:pPr>
      <w:r>
        <w:rPr>
          <w:rFonts w:ascii="黑体" w:eastAsia="黑体" w:hAnsi="Times New Roman" w:cs="黑体"/>
          <w:kern w:val="0"/>
          <w:sz w:val="32"/>
          <w:szCs w:val="32"/>
        </w:rPr>
        <w:t>第二部分 部门决算情况说明</w:t>
      </w:r>
    </w:p>
    <w:p w14:paraId="7ED8DD1F" w14:textId="77777777" w:rsidR="003E7E7C"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一、收入支出决算总体情况说明</w:t>
      </w:r>
    </w:p>
    <w:p w14:paraId="60A7F0C9" w14:textId="77777777" w:rsidR="003E7E7C"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2022年度收入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693.74万元，</w:t>
      </w:r>
      <w:r>
        <w:rPr>
          <w:rFonts w:ascii="仿宋_GB2312" w:eastAsia="仿宋_GB2312" w:hAnsi="Times New Roman" w:cs="仿宋_GB2312"/>
          <w:sz w:val="32"/>
          <w:szCs w:val="32"/>
        </w:rPr>
        <w:t>其中：本年收入合计</w:t>
      </w:r>
      <w:r>
        <w:rPr>
          <w:rFonts w:ascii="仿宋_GB2312" w:eastAsia="仿宋_GB2312" w:hAnsi="Times New Roman" w:cs="仿宋_GB2312"/>
          <w:kern w:val="0"/>
          <w:sz w:val="32"/>
          <w:szCs w:val="32"/>
        </w:rPr>
        <w:t>693.74</w:t>
      </w:r>
      <w:r>
        <w:rPr>
          <w:rFonts w:ascii="仿宋_GB2312" w:eastAsia="仿宋_GB2312" w:hAnsi="Times New Roman" w:cs="仿宋_GB2312"/>
          <w:sz w:val="32"/>
          <w:szCs w:val="32"/>
        </w:rPr>
        <w:t>万元，使用非财政拨款结余</w:t>
      </w:r>
      <w:r>
        <w:rPr>
          <w:rFonts w:ascii="仿宋_GB2312" w:eastAsia="仿宋_GB2312" w:hAnsi="Times New Roman" w:cs="仿宋_GB2312" w:hint="default"/>
          <w:kern w:val="0"/>
          <w:sz w:val="32"/>
          <w:szCs w:val="32"/>
        </w:rPr>
        <w:t>0.00</w:t>
      </w:r>
      <w:r>
        <w:rPr>
          <w:rFonts w:ascii="仿宋_GB2312" w:eastAsia="仿宋_GB2312" w:hAnsi="Times New Roman" w:cs="仿宋_GB2312"/>
          <w:sz w:val="32"/>
          <w:szCs w:val="32"/>
        </w:rPr>
        <w:t>万元，年初结转和结余</w:t>
      </w:r>
      <w:r>
        <w:rPr>
          <w:rFonts w:ascii="仿宋_GB2312" w:eastAsia="仿宋_GB2312" w:hAnsi="Times New Roman" w:cs="仿宋_GB2312" w:hint="default"/>
          <w:kern w:val="0"/>
          <w:sz w:val="32"/>
          <w:szCs w:val="32"/>
        </w:rPr>
        <w:t>0.00</w:t>
      </w:r>
      <w:r>
        <w:rPr>
          <w:rFonts w:ascii="仿宋_GB2312" w:eastAsia="仿宋_GB2312" w:hAnsi="Times New Roman" w:cs="仿宋_GB2312"/>
          <w:sz w:val="32"/>
          <w:szCs w:val="32"/>
        </w:rPr>
        <w:t>万元。收入总计</w:t>
      </w:r>
      <w:r>
        <w:rPr>
          <w:rFonts w:ascii="仿宋_GB2312" w:eastAsia="仿宋_GB2312" w:hAnsi="Times New Roman" w:cs="仿宋_GB2312"/>
          <w:kern w:val="0"/>
          <w:sz w:val="32"/>
          <w:szCs w:val="32"/>
        </w:rPr>
        <w:t>与上年相比，增加693.74万元，增长100.00%，主要原因是：我单位2022年为新增单位。</w:t>
      </w:r>
    </w:p>
    <w:p w14:paraId="25CD390C" w14:textId="77777777" w:rsidR="003E7E7C"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sz w:val="32"/>
          <w:szCs w:val="32"/>
        </w:rPr>
        <w:t>本年支出总计</w:t>
      </w:r>
      <w:r>
        <w:rPr>
          <w:rFonts w:ascii="仿宋_GB2312" w:eastAsia="仿宋_GB2312" w:hAnsi="Times New Roman" w:cs="仿宋_GB2312"/>
          <w:kern w:val="0"/>
          <w:sz w:val="32"/>
          <w:szCs w:val="32"/>
        </w:rPr>
        <w:t>693.74万元，</w:t>
      </w:r>
      <w:r>
        <w:rPr>
          <w:rFonts w:ascii="仿宋_GB2312" w:eastAsia="仿宋_GB2312" w:hAnsi="Times New Roman" w:cs="仿宋_GB2312"/>
          <w:sz w:val="32"/>
          <w:szCs w:val="32"/>
        </w:rPr>
        <w:t>其中：本年支出合计</w:t>
      </w:r>
      <w:r>
        <w:rPr>
          <w:rFonts w:ascii="仿宋_GB2312" w:eastAsia="仿宋_GB2312" w:hAnsi="Times New Roman" w:cs="仿宋_GB2312"/>
          <w:kern w:val="0"/>
          <w:sz w:val="32"/>
          <w:szCs w:val="32"/>
        </w:rPr>
        <w:t>693.74</w:t>
      </w:r>
      <w:r>
        <w:rPr>
          <w:rFonts w:ascii="仿宋_GB2312" w:eastAsia="仿宋_GB2312" w:hAnsi="Times New Roman" w:cs="仿宋_GB2312"/>
          <w:sz w:val="32"/>
          <w:szCs w:val="32"/>
        </w:rPr>
        <w:t>万元，结余分配</w:t>
      </w:r>
      <w:r>
        <w:rPr>
          <w:rFonts w:ascii="仿宋_GB2312" w:eastAsia="仿宋_GB2312" w:hAnsi="Times New Roman" w:cs="仿宋_GB2312" w:hint="default"/>
          <w:kern w:val="0"/>
          <w:sz w:val="32"/>
          <w:szCs w:val="32"/>
        </w:rPr>
        <w:t>0.00</w:t>
      </w:r>
      <w:r>
        <w:rPr>
          <w:rFonts w:ascii="仿宋_GB2312" w:eastAsia="仿宋_GB2312" w:hAnsi="Times New Roman" w:cs="仿宋_GB2312"/>
          <w:sz w:val="32"/>
          <w:szCs w:val="32"/>
        </w:rPr>
        <w:t>万元，年末结转和结余</w:t>
      </w:r>
      <w:r>
        <w:rPr>
          <w:rFonts w:ascii="仿宋_GB2312" w:eastAsia="仿宋_GB2312" w:hAnsi="Times New Roman" w:cs="仿宋_GB2312" w:hint="default"/>
          <w:kern w:val="0"/>
          <w:sz w:val="32"/>
          <w:szCs w:val="32"/>
        </w:rPr>
        <w:t>0.00</w:t>
      </w:r>
      <w:r>
        <w:rPr>
          <w:rFonts w:ascii="仿宋_GB2312" w:eastAsia="仿宋_GB2312" w:hAnsi="Times New Roman" w:cs="仿宋_GB2312"/>
          <w:sz w:val="32"/>
          <w:szCs w:val="32"/>
        </w:rPr>
        <w:t>万元。支出总计</w:t>
      </w:r>
      <w:r>
        <w:rPr>
          <w:rFonts w:ascii="仿宋_GB2312" w:eastAsia="仿宋_GB2312" w:hAnsi="Times New Roman" w:cs="仿宋_GB2312"/>
          <w:kern w:val="0"/>
          <w:sz w:val="32"/>
          <w:szCs w:val="32"/>
        </w:rPr>
        <w:t>与上年相比，增加693.74万元，增长100.00%，主要原因是：我单位2022年为新增单位。</w:t>
      </w:r>
    </w:p>
    <w:p w14:paraId="4D1235A9" w14:textId="77777777" w:rsidR="003E7E7C"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lang w:val="zh-CN"/>
        </w:rPr>
        <w:t>二、收入决算情况说明</w:t>
      </w:r>
    </w:p>
    <w:p w14:paraId="4EA165FE" w14:textId="77777777" w:rsidR="003E7E7C"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2022年度本年收入693.74万元，其中：财政拨款收入693.74万元，占100.00%；上级补助收入</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万元，占0.00%；事业收</w:t>
      </w:r>
      <w:r>
        <w:rPr>
          <w:rFonts w:ascii="仿宋_GB2312" w:eastAsia="仿宋_GB2312" w:hAnsi="Times New Roman" w:cs="仿宋_GB2312"/>
          <w:kern w:val="0"/>
          <w:sz w:val="32"/>
          <w:szCs w:val="32"/>
        </w:rPr>
        <w:lastRenderedPageBreak/>
        <w:t>入</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万元，占0.00%；经营收入</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万元，占0.00%；附属单位上缴收入</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万元，占0.00%；其他收入</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万元，占0.00%。</w:t>
      </w:r>
    </w:p>
    <w:p w14:paraId="20D293B2" w14:textId="77777777" w:rsidR="003E7E7C"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lang w:val="zh-CN"/>
        </w:rPr>
        <w:t>三、支出决算情况说明</w:t>
      </w:r>
    </w:p>
    <w:p w14:paraId="4978E603" w14:textId="77777777" w:rsidR="003E7E7C"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2022年度本年支出693.74万元，其中：基本支出193.74万元，占27.93%；项目支出500.00万元，占72.07%；上缴上级支出</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万元，占0.00%；经营支出</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万元，占0.00%；对附属单位补助支出</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万元，占0.00%。</w:t>
      </w:r>
    </w:p>
    <w:p w14:paraId="3E1CCC78" w14:textId="77777777" w:rsidR="003E7E7C"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四、财政拨款收入支出决算总体情况说明</w:t>
      </w:r>
    </w:p>
    <w:p w14:paraId="71DCE717" w14:textId="77777777" w:rsidR="003E7E7C"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2022年度财政拨款收入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693.74万元，</w:t>
      </w:r>
      <w:r>
        <w:rPr>
          <w:rFonts w:ascii="仿宋_GB2312" w:eastAsia="仿宋_GB2312" w:hAnsi="Times New Roman" w:cs="仿宋_GB2312"/>
          <w:sz w:val="32"/>
          <w:szCs w:val="32"/>
        </w:rPr>
        <w:t>其中：年初财政拨款结转和结余</w:t>
      </w:r>
      <w:r>
        <w:rPr>
          <w:rFonts w:ascii="仿宋_GB2312" w:eastAsia="仿宋_GB2312" w:hAnsi="Times New Roman" w:cs="仿宋_GB2312" w:hint="default"/>
          <w:kern w:val="0"/>
          <w:sz w:val="32"/>
          <w:szCs w:val="32"/>
        </w:rPr>
        <w:t>0.00</w:t>
      </w:r>
      <w:r>
        <w:rPr>
          <w:rFonts w:ascii="仿宋_GB2312" w:eastAsia="仿宋_GB2312" w:hAnsi="Times New Roman" w:cs="仿宋_GB2312"/>
          <w:sz w:val="32"/>
          <w:szCs w:val="32"/>
        </w:rPr>
        <w:t>万元，财政拨款本年收入</w:t>
      </w:r>
      <w:r>
        <w:rPr>
          <w:rFonts w:ascii="仿宋_GB2312" w:eastAsia="仿宋_GB2312" w:hAnsi="Times New Roman" w:cs="仿宋_GB2312"/>
          <w:kern w:val="0"/>
          <w:sz w:val="32"/>
          <w:szCs w:val="32"/>
        </w:rPr>
        <w:t>693.74</w:t>
      </w:r>
      <w:r>
        <w:rPr>
          <w:rFonts w:ascii="仿宋_GB2312" w:eastAsia="仿宋_GB2312" w:hAnsi="Times New Roman" w:cs="仿宋_GB2312"/>
          <w:sz w:val="32"/>
          <w:szCs w:val="32"/>
        </w:rPr>
        <w:t>万元。财政拨款收入总计</w:t>
      </w:r>
      <w:r>
        <w:rPr>
          <w:rFonts w:ascii="仿宋_GB2312" w:eastAsia="仿宋_GB2312" w:hAnsi="Times New Roman" w:cs="仿宋_GB2312"/>
          <w:kern w:val="0"/>
          <w:sz w:val="32"/>
          <w:szCs w:val="32"/>
        </w:rPr>
        <w:t>与上年相比，增加693.74万元，增长100.00%，主要原因是：我单位2022年为新增单位。</w:t>
      </w:r>
    </w:p>
    <w:p w14:paraId="429A52D8" w14:textId="77777777" w:rsidR="003E7E7C"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财政拨款支出</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693.74万元，</w:t>
      </w:r>
      <w:r>
        <w:rPr>
          <w:rFonts w:ascii="仿宋_GB2312" w:eastAsia="仿宋_GB2312" w:hAnsi="Times New Roman" w:cs="仿宋_GB2312"/>
          <w:sz w:val="32"/>
          <w:szCs w:val="32"/>
        </w:rPr>
        <w:t>其中：年末财政拨款结转和结余</w:t>
      </w:r>
      <w:r>
        <w:rPr>
          <w:rFonts w:ascii="仿宋_GB2312" w:eastAsia="仿宋_GB2312" w:hAnsi="Times New Roman" w:cs="仿宋_GB2312" w:hint="default"/>
          <w:kern w:val="0"/>
          <w:sz w:val="32"/>
          <w:szCs w:val="32"/>
        </w:rPr>
        <w:t>0.00</w:t>
      </w:r>
      <w:r>
        <w:rPr>
          <w:rFonts w:ascii="仿宋_GB2312" w:eastAsia="仿宋_GB2312" w:hAnsi="Times New Roman" w:cs="仿宋_GB2312"/>
          <w:sz w:val="32"/>
          <w:szCs w:val="32"/>
        </w:rPr>
        <w:t>万元，财政拨款本年支出</w:t>
      </w:r>
      <w:r>
        <w:rPr>
          <w:rFonts w:ascii="仿宋_GB2312" w:eastAsia="仿宋_GB2312" w:hAnsi="Times New Roman" w:cs="仿宋_GB2312"/>
          <w:kern w:val="0"/>
          <w:sz w:val="32"/>
          <w:szCs w:val="32"/>
        </w:rPr>
        <w:t>693.74</w:t>
      </w:r>
      <w:r>
        <w:rPr>
          <w:rFonts w:ascii="仿宋_GB2312" w:eastAsia="仿宋_GB2312" w:hAnsi="Times New Roman" w:cs="仿宋_GB2312"/>
          <w:sz w:val="32"/>
          <w:szCs w:val="32"/>
        </w:rPr>
        <w:t>万元。财政拨款支出总计</w:t>
      </w:r>
      <w:r>
        <w:rPr>
          <w:rFonts w:ascii="仿宋_GB2312" w:eastAsia="仿宋_GB2312" w:hAnsi="Times New Roman" w:cs="仿宋_GB2312"/>
          <w:kern w:val="0"/>
          <w:sz w:val="32"/>
          <w:szCs w:val="32"/>
        </w:rPr>
        <w:t>与上年相比，增加693.74万元，增长100.00%，主要原因是：我单位2022年为新增单位。</w:t>
      </w:r>
    </w:p>
    <w:p w14:paraId="3568FB1E" w14:textId="77777777" w:rsidR="003E7E7C"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与年初预算数相比情况：财政拨款收入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年初预算数174.65万元，决算数693.74万元，预决算差异率297.22%，主要原因是：年中追加民贸民品贷款贴息项目收入，导致预决算产生差异。财政拨款支出</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年初预算数174.65万元，决算数693.74万元，预决算差异率297.22%，主要原因是：年中追加民</w:t>
      </w:r>
      <w:r>
        <w:rPr>
          <w:rFonts w:ascii="仿宋_GB2312" w:eastAsia="仿宋_GB2312" w:hAnsi="Times New Roman" w:cs="仿宋_GB2312"/>
          <w:kern w:val="0"/>
          <w:sz w:val="32"/>
          <w:szCs w:val="32"/>
        </w:rPr>
        <w:lastRenderedPageBreak/>
        <w:t>贸民品贷款贴息项目支出，导致预决算产生差异。</w:t>
      </w:r>
    </w:p>
    <w:p w14:paraId="17766ECA" w14:textId="77777777" w:rsidR="003E7E7C"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五、一般公共预算财政拨款支出决算情况说明</w:t>
      </w:r>
    </w:p>
    <w:p w14:paraId="3584FA66" w14:textId="77777777" w:rsidR="003E7E7C" w:rsidRDefault="00000000">
      <w:pPr>
        <w:autoSpaceDE w:val="0"/>
        <w:autoSpaceDN w:val="0"/>
        <w:adjustRightInd w:val="0"/>
        <w:ind w:firstLine="640"/>
        <w:rPr>
          <w:rFonts w:ascii="Times New Roman" w:eastAsia="黑体" w:hAnsi="Times New Roman" w:hint="default"/>
          <w:sz w:val="32"/>
          <w:szCs w:val="32"/>
        </w:rPr>
      </w:pPr>
      <w:r>
        <w:rPr>
          <w:rFonts w:ascii="黑体" w:eastAsia="黑体" w:hAnsi="Times New Roman" w:cs="黑体"/>
          <w:sz w:val="32"/>
          <w:szCs w:val="32"/>
        </w:rPr>
        <w:t>（一）一般公共预算财政拨款支出决算总体情况</w:t>
      </w:r>
    </w:p>
    <w:p w14:paraId="4986EBAD" w14:textId="77777777" w:rsidR="003E7E7C" w:rsidRDefault="00000000" w:rsidP="009A667E">
      <w:pPr>
        <w:autoSpaceDE w:val="0"/>
        <w:autoSpaceDN w:val="0"/>
        <w:adjustRightInd w:val="0"/>
        <w:spacing w:line="360" w:lineRule="auto"/>
        <w:ind w:firstLine="641"/>
        <w:rPr>
          <w:rFonts w:ascii="仿宋_GB2312" w:eastAsia="仿宋_GB2312" w:hAnsi="Times New Roman" w:cs="仿宋_GB2312" w:hint="default"/>
          <w:kern w:val="0"/>
          <w:sz w:val="32"/>
          <w:szCs w:val="32"/>
        </w:rPr>
      </w:pPr>
      <w:r>
        <w:rPr>
          <w:rFonts w:ascii="仿宋_GB2312" w:eastAsia="仿宋_GB2312" w:hAnsi="Times New Roman" w:cs="仿宋_GB2312"/>
          <w:sz w:val="32"/>
          <w:szCs w:val="32"/>
        </w:rPr>
        <w:t>2022年度一般公共预算财政拨款支出</w:t>
      </w:r>
      <w:r>
        <w:rPr>
          <w:rFonts w:ascii="仿宋_GB2312" w:eastAsia="仿宋_GB2312" w:hAnsi="Times New Roman" w:cs="仿宋_GB2312"/>
          <w:kern w:val="0"/>
          <w:sz w:val="32"/>
          <w:szCs w:val="32"/>
        </w:rPr>
        <w:t>693.74</w:t>
      </w:r>
      <w:r>
        <w:rPr>
          <w:rFonts w:ascii="仿宋_GB2312" w:eastAsia="仿宋_GB2312" w:hAnsi="Times New Roman" w:cs="仿宋_GB2312"/>
          <w:sz w:val="32"/>
          <w:szCs w:val="32"/>
        </w:rPr>
        <w:t>万元，占本年支出合计的</w:t>
      </w:r>
      <w:r>
        <w:rPr>
          <w:rFonts w:ascii="仿宋_GB2312" w:eastAsia="仿宋_GB2312" w:hAnsi="Times New Roman" w:cs="仿宋_GB2312"/>
          <w:kern w:val="0"/>
          <w:sz w:val="32"/>
          <w:szCs w:val="32"/>
        </w:rPr>
        <w:t>100.00%</w:t>
      </w:r>
      <w:r>
        <w:rPr>
          <w:rFonts w:ascii="仿宋_GB2312" w:eastAsia="仿宋_GB2312" w:hAnsi="Times New Roman" w:cs="仿宋_GB2312"/>
          <w:sz w:val="32"/>
          <w:szCs w:val="32"/>
        </w:rPr>
        <w:t>，与上年相比，</w:t>
      </w:r>
      <w:r>
        <w:rPr>
          <w:rFonts w:ascii="仿宋_GB2312" w:eastAsia="仿宋_GB2312" w:hAnsi="Times New Roman" w:cs="仿宋_GB2312"/>
          <w:kern w:val="0"/>
          <w:sz w:val="32"/>
          <w:szCs w:val="32"/>
        </w:rPr>
        <w:t>增加693.74万元，增长100.00%，主要原因是：我单位2022年为新增单位。</w:t>
      </w:r>
    </w:p>
    <w:p w14:paraId="580C36C5" w14:textId="77777777" w:rsidR="003E7E7C" w:rsidRDefault="00000000" w:rsidP="009A667E">
      <w:pPr>
        <w:autoSpaceDE w:val="0"/>
        <w:autoSpaceDN w:val="0"/>
        <w:adjustRightInd w:val="0"/>
        <w:spacing w:line="360" w:lineRule="auto"/>
        <w:ind w:firstLine="641"/>
        <w:rPr>
          <w:rFonts w:ascii="Times New Roman" w:eastAsia="黑体" w:hAnsi="Times New Roman" w:hint="default"/>
          <w:sz w:val="32"/>
          <w:szCs w:val="32"/>
        </w:rPr>
      </w:pPr>
      <w:r>
        <w:rPr>
          <w:rFonts w:ascii="黑体" w:eastAsia="黑体" w:hAnsi="Times New Roman" w:cs="黑体"/>
          <w:sz w:val="32"/>
          <w:szCs w:val="32"/>
        </w:rPr>
        <w:t>（二）一般公共预算财政拨款支出决算结构情况</w:t>
      </w:r>
    </w:p>
    <w:p w14:paraId="679E051F" w14:textId="77777777" w:rsidR="003E7E7C" w:rsidRDefault="00000000" w:rsidP="009A667E">
      <w:pPr>
        <w:autoSpaceDE w:val="0"/>
        <w:autoSpaceDN w:val="0"/>
        <w:adjustRightInd w:val="0"/>
        <w:spacing w:line="360" w:lineRule="auto"/>
        <w:ind w:firstLine="641"/>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1.一般公共服务支出（类）178.63万元，占25.75%；</w:t>
      </w:r>
    </w:p>
    <w:p w14:paraId="34376322" w14:textId="77777777" w:rsidR="003E7E7C" w:rsidRDefault="00000000" w:rsidP="009A667E">
      <w:pPr>
        <w:autoSpaceDE w:val="0"/>
        <w:autoSpaceDN w:val="0"/>
        <w:adjustRightInd w:val="0"/>
        <w:spacing w:line="360" w:lineRule="auto"/>
        <w:ind w:firstLine="641"/>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2.社会保障和就业支出（类）15.11万元，占2.18%；</w:t>
      </w:r>
    </w:p>
    <w:p w14:paraId="4BE2E645" w14:textId="77777777" w:rsidR="003E7E7C" w:rsidRDefault="00000000" w:rsidP="009A667E">
      <w:pPr>
        <w:autoSpaceDE w:val="0"/>
        <w:autoSpaceDN w:val="0"/>
        <w:adjustRightInd w:val="0"/>
        <w:spacing w:line="360" w:lineRule="auto"/>
        <w:ind w:firstLine="641"/>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3</w:t>
      </w:r>
      <w:r>
        <w:rPr>
          <w:rFonts w:ascii="仿宋_GB2312" w:eastAsia="仿宋_GB2312" w:hAnsi="Times New Roman" w:cs="仿宋_GB2312" w:hint="default"/>
          <w:kern w:val="0"/>
          <w:sz w:val="32"/>
          <w:szCs w:val="32"/>
        </w:rPr>
        <w:t>.</w:t>
      </w:r>
      <w:r>
        <w:rPr>
          <w:rFonts w:ascii="仿宋_GB2312" w:eastAsia="仿宋_GB2312" w:hAnsi="Times New Roman" w:cs="仿宋_GB2312"/>
          <w:kern w:val="0"/>
          <w:sz w:val="32"/>
          <w:szCs w:val="32"/>
        </w:rPr>
        <w:t>商业服务业等支出（类）500.00万元，占72.07%。</w:t>
      </w:r>
    </w:p>
    <w:p w14:paraId="5AA8B384" w14:textId="77777777" w:rsidR="003E7E7C" w:rsidRDefault="00000000" w:rsidP="009A667E">
      <w:pPr>
        <w:autoSpaceDE w:val="0"/>
        <w:autoSpaceDN w:val="0"/>
        <w:adjustRightInd w:val="0"/>
        <w:spacing w:line="360" w:lineRule="auto"/>
        <w:ind w:firstLine="641"/>
        <w:rPr>
          <w:rFonts w:ascii="Times New Roman" w:eastAsia="黑体" w:hAnsi="Times New Roman" w:hint="default"/>
          <w:sz w:val="32"/>
          <w:szCs w:val="32"/>
        </w:rPr>
      </w:pPr>
      <w:r>
        <w:rPr>
          <w:rFonts w:ascii="黑体" w:eastAsia="黑体" w:hAnsi="Times New Roman" w:cs="黑体"/>
          <w:sz w:val="32"/>
          <w:szCs w:val="32"/>
        </w:rPr>
        <w:t>（三）一般公共预算财政拨款支出决算具体情况</w:t>
      </w:r>
    </w:p>
    <w:p w14:paraId="14FBAF9D" w14:textId="77777777" w:rsidR="003E7E7C" w:rsidRDefault="00000000" w:rsidP="009A667E">
      <w:pPr>
        <w:autoSpaceDE w:val="0"/>
        <w:autoSpaceDN w:val="0"/>
        <w:adjustRightInd w:val="0"/>
        <w:spacing w:line="360" w:lineRule="auto"/>
        <w:ind w:firstLine="641"/>
        <w:rPr>
          <w:rFonts w:ascii="仿宋_GB2312" w:eastAsia="仿宋_GB2312" w:hAnsi="Times New Roman" w:cs="仿宋_GB2312" w:hint="default"/>
          <w:sz w:val="32"/>
          <w:szCs w:val="32"/>
        </w:rPr>
      </w:pPr>
      <w:r>
        <w:rPr>
          <w:rFonts w:ascii="仿宋_GB2312" w:eastAsia="仿宋_GB2312" w:hAnsi="Times New Roman" w:cs="仿宋_GB2312"/>
          <w:sz w:val="32"/>
          <w:szCs w:val="32"/>
        </w:rPr>
        <w:t>1</w:t>
      </w:r>
      <w:r>
        <w:rPr>
          <w:rFonts w:ascii="仿宋_GB2312" w:eastAsia="仿宋_GB2312" w:hAnsi="Times New Roman" w:cs="仿宋_GB2312" w:hint="default"/>
          <w:sz w:val="32"/>
          <w:szCs w:val="32"/>
        </w:rPr>
        <w:t>.</w:t>
      </w:r>
      <w:r>
        <w:rPr>
          <w:rFonts w:ascii="仿宋_GB2312" w:eastAsia="仿宋_GB2312" w:hAnsi="Times New Roman" w:cs="仿宋_GB2312"/>
          <w:sz w:val="32"/>
          <w:szCs w:val="32"/>
        </w:rPr>
        <w:t>一般公共服务支出（类）民族事务（款）行政运行（项）:支出决算数为178.63万元，比上年决算增加178.63万元，增长100.00%，主要原因是：</w:t>
      </w:r>
      <w:r>
        <w:rPr>
          <w:rFonts w:ascii="仿宋_GB2312" w:eastAsia="仿宋_GB2312" w:hAnsi="Times New Roman" w:cs="仿宋_GB2312"/>
          <w:kern w:val="0"/>
          <w:sz w:val="32"/>
          <w:szCs w:val="32"/>
        </w:rPr>
        <w:t>我单位2022年为新增单位</w:t>
      </w:r>
      <w:r>
        <w:rPr>
          <w:rFonts w:ascii="仿宋_GB2312" w:eastAsia="仿宋_GB2312" w:hAnsi="Times New Roman" w:cs="仿宋_GB2312"/>
          <w:sz w:val="32"/>
          <w:szCs w:val="32"/>
        </w:rPr>
        <w:t>；</w:t>
      </w:r>
    </w:p>
    <w:p w14:paraId="168CD9A7" w14:textId="77777777" w:rsidR="003E7E7C" w:rsidRDefault="00000000" w:rsidP="009A667E">
      <w:pPr>
        <w:autoSpaceDE w:val="0"/>
        <w:autoSpaceDN w:val="0"/>
        <w:adjustRightInd w:val="0"/>
        <w:spacing w:line="360" w:lineRule="auto"/>
        <w:ind w:firstLine="641"/>
        <w:rPr>
          <w:rFonts w:ascii="仿宋_GB2312" w:eastAsia="仿宋_GB2312" w:hAnsi="Times New Roman" w:cs="仿宋_GB2312" w:hint="default"/>
          <w:sz w:val="32"/>
          <w:szCs w:val="32"/>
        </w:rPr>
      </w:pPr>
      <w:r>
        <w:rPr>
          <w:rFonts w:ascii="仿宋_GB2312" w:eastAsia="仿宋_GB2312" w:hAnsi="Times New Roman" w:cs="仿宋_GB2312"/>
          <w:sz w:val="32"/>
          <w:szCs w:val="32"/>
        </w:rPr>
        <w:t>2</w:t>
      </w:r>
      <w:r>
        <w:rPr>
          <w:rFonts w:ascii="仿宋_GB2312" w:eastAsia="仿宋_GB2312" w:hAnsi="Times New Roman" w:cs="仿宋_GB2312" w:hint="default"/>
          <w:sz w:val="32"/>
          <w:szCs w:val="32"/>
        </w:rPr>
        <w:t>.</w:t>
      </w:r>
      <w:r>
        <w:rPr>
          <w:rFonts w:ascii="仿宋_GB2312" w:eastAsia="仿宋_GB2312" w:hAnsi="Times New Roman" w:cs="仿宋_GB2312"/>
          <w:sz w:val="32"/>
          <w:szCs w:val="32"/>
        </w:rPr>
        <w:t>社会保障和就业支出（类）行政事业单位养老支出（款）机关事业单位基本养老保险缴费支出（项）:支出决算数为15.11万元，比上年决算增加15.11万元，增长100.00%，主要原因是：</w:t>
      </w:r>
      <w:r>
        <w:rPr>
          <w:rFonts w:ascii="仿宋_GB2312" w:eastAsia="仿宋_GB2312" w:hAnsi="Times New Roman" w:cs="仿宋_GB2312"/>
          <w:kern w:val="0"/>
          <w:sz w:val="32"/>
          <w:szCs w:val="32"/>
        </w:rPr>
        <w:t>我单位2022年为新增单位</w:t>
      </w:r>
      <w:r>
        <w:rPr>
          <w:rFonts w:ascii="仿宋_GB2312" w:eastAsia="仿宋_GB2312" w:hAnsi="Times New Roman" w:cs="仿宋_GB2312"/>
          <w:sz w:val="32"/>
          <w:szCs w:val="32"/>
        </w:rPr>
        <w:t>；</w:t>
      </w:r>
    </w:p>
    <w:p w14:paraId="34869750" w14:textId="77777777" w:rsidR="003E7E7C"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3</w:t>
      </w:r>
      <w:r>
        <w:rPr>
          <w:rFonts w:ascii="仿宋_GB2312" w:eastAsia="仿宋_GB2312" w:hAnsi="Times New Roman" w:cs="仿宋_GB2312" w:hint="default"/>
          <w:sz w:val="32"/>
          <w:szCs w:val="32"/>
        </w:rPr>
        <w:t>.</w:t>
      </w:r>
      <w:r>
        <w:rPr>
          <w:rFonts w:ascii="仿宋_GB2312" w:eastAsia="仿宋_GB2312" w:hAnsi="Times New Roman" w:cs="仿宋_GB2312"/>
          <w:sz w:val="32"/>
          <w:szCs w:val="32"/>
        </w:rPr>
        <w:t>商业服务业等支出（类）商业流通事务（款）民贸民品贷款贴息（项）:支出决算数为500.00万元，比上年决算增加500.00万元，增长100.00%，主要原因是：</w:t>
      </w:r>
      <w:r>
        <w:rPr>
          <w:rFonts w:ascii="仿宋_GB2312" w:eastAsia="仿宋_GB2312" w:hAnsi="Times New Roman" w:cs="仿宋_GB2312"/>
          <w:kern w:val="0"/>
          <w:sz w:val="32"/>
          <w:szCs w:val="32"/>
        </w:rPr>
        <w:t>我单位2022年为新增</w:t>
      </w:r>
      <w:r>
        <w:rPr>
          <w:rFonts w:ascii="仿宋_GB2312" w:eastAsia="仿宋_GB2312" w:hAnsi="Times New Roman" w:cs="仿宋_GB2312"/>
          <w:kern w:val="0"/>
          <w:sz w:val="32"/>
          <w:szCs w:val="32"/>
        </w:rPr>
        <w:lastRenderedPageBreak/>
        <w:t>单位。</w:t>
      </w:r>
    </w:p>
    <w:p w14:paraId="2A67A205" w14:textId="77777777" w:rsidR="003E7E7C"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六、一般公共预算财政拨款基本支出决算情况说明</w:t>
      </w:r>
    </w:p>
    <w:p w14:paraId="64BF5801" w14:textId="77777777" w:rsidR="003E7E7C"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2022年度一般公共预算财政拨款基本支出193.74万元，其中：</w:t>
      </w:r>
    </w:p>
    <w:p w14:paraId="1BA0156D" w14:textId="77777777" w:rsidR="003E7E7C"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人员经费184.37万元，包括：基本工资、津贴补贴、机关事业单位基本养老保险缴费、职工基本医疗保险缴费、公务员医疗补助缴费、其他社会保障缴费、住房公积金、生活补助、奖励金。</w:t>
      </w:r>
    </w:p>
    <w:p w14:paraId="6762C220" w14:textId="77777777" w:rsidR="003E7E7C" w:rsidRDefault="00000000">
      <w:pPr>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公用经费9.37万元，包括：办公费、印刷费、水费、电费、差旅费、专用材料费、工会经费、公务用车运行维护费、其他交通费用、其他商品和服务支出。</w:t>
      </w:r>
    </w:p>
    <w:p w14:paraId="52BE230F" w14:textId="77777777" w:rsidR="003E7E7C"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lang w:val="zh-CN"/>
        </w:rPr>
        <w:t>七、财政拨款</w:t>
      </w:r>
      <w:r>
        <w:rPr>
          <w:rFonts w:ascii="Times New Roman" w:eastAsia="黑体" w:hAnsi="Times New Roman" w:cs="黑体" w:hint="default"/>
          <w:kern w:val="0"/>
          <w:sz w:val="32"/>
          <w:szCs w:val="32"/>
        </w:rPr>
        <w:t>“</w:t>
      </w:r>
      <w:r>
        <w:rPr>
          <w:rFonts w:ascii="黑体" w:eastAsia="黑体" w:hAnsi="Times New Roman" w:cs="黑体"/>
          <w:kern w:val="0"/>
          <w:sz w:val="32"/>
          <w:szCs w:val="32"/>
        </w:rPr>
        <w:t>三公</w:t>
      </w:r>
      <w:r>
        <w:rPr>
          <w:rFonts w:ascii="Times New Roman" w:eastAsia="黑体" w:hAnsi="Times New Roman" w:cs="黑体" w:hint="default"/>
          <w:kern w:val="0"/>
          <w:sz w:val="32"/>
          <w:szCs w:val="32"/>
        </w:rPr>
        <w:t>”</w:t>
      </w:r>
      <w:r>
        <w:rPr>
          <w:rFonts w:ascii="黑体" w:eastAsia="黑体" w:hAnsi="Times New Roman" w:cs="黑体"/>
          <w:sz w:val="32"/>
          <w:szCs w:val="32"/>
          <w:lang w:val="zh-CN"/>
        </w:rPr>
        <w:t>经费支出决算情况说明</w:t>
      </w:r>
    </w:p>
    <w:p w14:paraId="6353E3B1" w14:textId="77777777" w:rsidR="003E7E7C"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w:t>
      </w:r>
      <w:r>
        <w:rPr>
          <w:rFonts w:ascii="仿宋_GB2312" w:eastAsia="仿宋_GB2312" w:hAnsi="Times New Roman" w:cs="仿宋_GB2312"/>
          <w:sz w:val="32"/>
          <w:szCs w:val="32"/>
        </w:rPr>
        <w:t>财政拨款</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三公</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经费支出决算5.00万元，比上年增加5.00万元，增长100.00%，主要原因是：我单位2022年为新增单位。其中：因公出国（境）费支出</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万元，占0.00%，比上年增加</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万元，增长0.00%，主要原因是：本年单位无因公出国（境）费支出；公务用车购置及运行维护费支出5.00万元，占100.00%，比上年增加5.00万元，增长100.00%，主要原因是：我单位2022年为新增单位；公务接待费支出</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万元，占0.00%，比上年增加</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万元，增长0.00%，主要原因是：本年单位无此项支出。具体情况如下：</w:t>
      </w:r>
    </w:p>
    <w:p w14:paraId="2452F710" w14:textId="77777777" w:rsidR="003E7E7C"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lastRenderedPageBreak/>
        <w:t>因公出国（境）费支出</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万元，开支内容包括本年单位无因公出国（境）费支出。单位全年安排的因公出国（境）团组</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个，因公出国（境）</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人次。</w:t>
      </w:r>
    </w:p>
    <w:p w14:paraId="1DDCDAA9" w14:textId="77777777" w:rsidR="003E7E7C"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公务用车购置及运行维护费5.00万元，其中：公务用车购置费</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万元，公务用车运行维护费5.00万元。公务用车运行维护费开支内容包括公务用车燃油费、车辆维修维护费、保险费、过路费等。公务用车购置数</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辆，公务用车保有量2辆。</w:t>
      </w:r>
    </w:p>
    <w:p w14:paraId="3CBD4190" w14:textId="77777777" w:rsidR="003E7E7C"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公务接待费</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万元，开支内容包括我单位2022年为新增单位。单位全年安排的国内公务接待</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批次，</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人次。</w:t>
      </w:r>
    </w:p>
    <w:p w14:paraId="438905AF" w14:textId="77777777" w:rsidR="003E7E7C"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与</w:t>
      </w:r>
      <w:r>
        <w:rPr>
          <w:rFonts w:ascii="仿宋_GB2312" w:eastAsia="仿宋_GB2312" w:hAnsi="Times New Roman" w:cs="仿宋_GB2312"/>
          <w:sz w:val="32"/>
          <w:szCs w:val="32"/>
        </w:rPr>
        <w:t>全年</w:t>
      </w:r>
      <w:r>
        <w:rPr>
          <w:rFonts w:ascii="仿宋_GB2312" w:eastAsia="仿宋_GB2312" w:hAnsi="Times New Roman" w:cs="仿宋_GB2312"/>
          <w:kern w:val="0"/>
          <w:sz w:val="32"/>
          <w:szCs w:val="32"/>
        </w:rPr>
        <w:t>预算</w:t>
      </w:r>
      <w:r>
        <w:rPr>
          <w:rFonts w:ascii="仿宋_GB2312" w:eastAsia="仿宋_GB2312" w:hAnsi="Times New Roman" w:cs="仿宋_GB2312"/>
          <w:kern w:val="0"/>
          <w:sz w:val="32"/>
          <w:szCs w:val="32"/>
          <w:lang w:val="zh-CN"/>
        </w:rPr>
        <w:t>数</w:t>
      </w:r>
      <w:r>
        <w:rPr>
          <w:rFonts w:ascii="仿宋_GB2312" w:eastAsia="仿宋_GB2312" w:hAnsi="Times New Roman" w:cs="仿宋_GB2312"/>
          <w:kern w:val="0"/>
          <w:sz w:val="32"/>
          <w:szCs w:val="32"/>
        </w:rPr>
        <w:t>相比情况</w:t>
      </w:r>
      <w:r>
        <w:rPr>
          <w:rFonts w:ascii="仿宋_GB2312" w:eastAsia="仿宋_GB2312" w:hAnsi="Times New Roman" w:cs="仿宋_GB2312"/>
          <w:sz w:val="32"/>
          <w:szCs w:val="32"/>
        </w:rPr>
        <w:t>：</w:t>
      </w:r>
      <w:r>
        <w:rPr>
          <w:rFonts w:ascii="Times New Roman" w:eastAsia="仿宋_GB2312" w:hAnsi="Times New Roman" w:hint="default"/>
          <w:kern w:val="0"/>
          <w:sz w:val="32"/>
          <w:szCs w:val="32"/>
        </w:rPr>
        <w:t>“</w:t>
      </w:r>
      <w:r>
        <w:rPr>
          <w:rFonts w:ascii="仿宋_GB2312" w:eastAsia="仿宋_GB2312" w:hAnsi="Times New Roman" w:cs="仿宋_GB2312"/>
          <w:kern w:val="0"/>
          <w:sz w:val="32"/>
          <w:szCs w:val="32"/>
        </w:rPr>
        <w:t>三公</w:t>
      </w:r>
      <w:r>
        <w:rPr>
          <w:rFonts w:ascii="Times New Roman" w:eastAsia="仿宋_GB2312" w:hAnsi="Times New Roman" w:hint="default"/>
          <w:kern w:val="0"/>
          <w:sz w:val="32"/>
          <w:szCs w:val="32"/>
        </w:rPr>
        <w:t>”</w:t>
      </w:r>
      <w:r>
        <w:rPr>
          <w:rFonts w:ascii="仿宋_GB2312" w:eastAsia="仿宋_GB2312" w:hAnsi="Times New Roman" w:cs="仿宋_GB2312"/>
          <w:kern w:val="0"/>
          <w:sz w:val="32"/>
          <w:szCs w:val="32"/>
        </w:rPr>
        <w:t>经费支出</w:t>
      </w:r>
      <w:r>
        <w:rPr>
          <w:rFonts w:ascii="仿宋_GB2312" w:eastAsia="仿宋_GB2312" w:hAnsi="Times New Roman" w:cs="仿宋_GB2312"/>
          <w:sz w:val="32"/>
          <w:szCs w:val="32"/>
        </w:rPr>
        <w:t>全年预算数</w:t>
      </w:r>
      <w:r>
        <w:rPr>
          <w:rFonts w:ascii="仿宋_GB2312" w:eastAsia="仿宋_GB2312" w:hAnsi="Times New Roman" w:cs="仿宋_GB2312"/>
          <w:kern w:val="0"/>
          <w:sz w:val="32"/>
          <w:szCs w:val="32"/>
        </w:rPr>
        <w:t>5.00万元，决算数5.00万元，预决算差异率0.00%，主要原因是：</w:t>
      </w:r>
      <w:bookmarkStart w:id="0" w:name="_Hlk110848692"/>
      <w:r>
        <w:rPr>
          <w:rFonts w:ascii="仿宋_GB2312" w:eastAsia="仿宋_GB2312" w:hAnsi="Times New Roman" w:cs="仿宋_GB2312"/>
          <w:kern w:val="0"/>
          <w:sz w:val="32"/>
          <w:szCs w:val="32"/>
        </w:rPr>
        <w:t>单位严格执行“三公”经费支出标准，未超预算</w:t>
      </w:r>
      <w:bookmarkEnd w:id="0"/>
      <w:r>
        <w:rPr>
          <w:rFonts w:ascii="仿宋_GB2312" w:eastAsia="仿宋_GB2312" w:hAnsi="Times New Roman" w:cs="仿宋_GB2312"/>
          <w:kern w:val="0"/>
          <w:sz w:val="32"/>
          <w:szCs w:val="32"/>
        </w:rPr>
        <w:t>。其中：因公出国（境）费全年预算数</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万元，决算数</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万元，预决算差异率0.00%，主要原因是：本年单位无因公出国（境）费支出；公务用车购置费全年预算数</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万元，决算数</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万元，预决算差异率0.00%，主要原因是：</w:t>
      </w:r>
      <w:bookmarkStart w:id="1" w:name="_Hlk143770125"/>
      <w:r>
        <w:rPr>
          <w:rFonts w:ascii="仿宋_GB2312" w:eastAsia="仿宋_GB2312" w:hAnsi="Times New Roman" w:cs="仿宋_GB2312"/>
          <w:kern w:val="0"/>
          <w:sz w:val="32"/>
          <w:szCs w:val="32"/>
        </w:rPr>
        <w:t>本年单位无此项支出</w:t>
      </w:r>
      <w:bookmarkEnd w:id="1"/>
      <w:r>
        <w:rPr>
          <w:rFonts w:ascii="仿宋_GB2312" w:eastAsia="仿宋_GB2312" w:hAnsi="Times New Roman" w:cs="仿宋_GB2312"/>
          <w:kern w:val="0"/>
          <w:sz w:val="32"/>
          <w:szCs w:val="32"/>
        </w:rPr>
        <w:t>；公务用车运行费全年预算数5.00万元，决算数5.00万元，预决算差异率0.00%，主要原因是：单位严格执行“三公”经费支出标准，未超预算；公务接待费全年预算数</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万元，决算数</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万元，预决算差异率0.00%，主要原因是：本年单位无此项支出。</w:t>
      </w:r>
    </w:p>
    <w:p w14:paraId="7AABD247" w14:textId="77777777" w:rsidR="003E7E7C"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八、政府性基金预算财政拨款收入支出决算情况说明</w:t>
      </w:r>
    </w:p>
    <w:p w14:paraId="2CAEE77A" w14:textId="77777777" w:rsidR="003E7E7C"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lastRenderedPageBreak/>
        <w:t>我单位本年度无政府性基金预算财政拨款收入、支出及结转和结余，政府性基金预算财政拨款收入支出决算表为空表。</w:t>
      </w:r>
    </w:p>
    <w:p w14:paraId="4CF30C8F" w14:textId="77777777" w:rsidR="003E7E7C"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九、国有资本经营预算财政拨款收入支出决算情况说明</w:t>
      </w:r>
    </w:p>
    <w:p w14:paraId="2335B09A" w14:textId="77777777" w:rsidR="003E7E7C"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我单位本年度无国有资本经营预算财政拨款收入、支出及结转和结余，国有资本经营预算财政拨款收入支出决算表为空表。</w:t>
      </w:r>
    </w:p>
    <w:p w14:paraId="5DC4D7F0" w14:textId="77777777" w:rsidR="003E7E7C"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十、其他重要事项的情况说明</w:t>
      </w:r>
    </w:p>
    <w:p w14:paraId="639D03C7" w14:textId="77777777" w:rsidR="003E7E7C"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 xml:space="preserve">（一）机关运行经费支出情况 </w:t>
      </w:r>
    </w:p>
    <w:p w14:paraId="19A6D139" w14:textId="77777777" w:rsidR="003E7E7C" w:rsidRDefault="00000000">
      <w:pPr>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2022年度乌鲁木齐市米东区民族宗教事务局单位机关运行经费支出9.37万元，比上年增加9.37万元，增长100.00%，主要原因是：我单位2022年为新增单位。</w:t>
      </w:r>
    </w:p>
    <w:p w14:paraId="2FB528B6" w14:textId="77777777" w:rsidR="003E7E7C"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rPr>
        <w:t>（</w:t>
      </w:r>
      <w:r>
        <w:rPr>
          <w:rFonts w:ascii="黑体" w:eastAsia="黑体" w:hAnsi="Times New Roman" w:cs="黑体"/>
          <w:sz w:val="32"/>
          <w:szCs w:val="32"/>
          <w:lang w:val="zh-CN"/>
        </w:rPr>
        <w:t>二</w:t>
      </w:r>
      <w:r>
        <w:rPr>
          <w:rFonts w:ascii="黑体" w:eastAsia="黑体" w:hAnsi="Times New Roman" w:cs="黑体"/>
          <w:sz w:val="32"/>
          <w:szCs w:val="32"/>
        </w:rPr>
        <w:t>）</w:t>
      </w:r>
      <w:r>
        <w:rPr>
          <w:rFonts w:ascii="黑体" w:eastAsia="黑体" w:hAnsi="Times New Roman" w:cs="黑体"/>
          <w:sz w:val="32"/>
          <w:szCs w:val="32"/>
          <w:lang w:val="zh-CN"/>
        </w:rPr>
        <w:t>政府采购情况</w:t>
      </w:r>
    </w:p>
    <w:p w14:paraId="53E7A003" w14:textId="77777777" w:rsidR="003E7E7C"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2022年度政府采购支出总额2.25万元，其中：政府采购货物支出2.25万元、政府采购工程支出</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万元、政府采购服务支出</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w:t>
      </w:r>
    </w:p>
    <w:p w14:paraId="77F28162" w14:textId="77777777" w:rsidR="003E7E7C"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授予中小企业合同金额2.25万元，占政府采购支出总额的100.00%，其中：授予小</w:t>
      </w:r>
      <w:proofErr w:type="gramStart"/>
      <w:r>
        <w:rPr>
          <w:rFonts w:ascii="仿宋_GB2312" w:eastAsia="仿宋_GB2312" w:hAnsi="Times New Roman" w:cs="仿宋_GB2312"/>
          <w:kern w:val="0"/>
          <w:sz w:val="32"/>
          <w:szCs w:val="32"/>
        </w:rPr>
        <w:t>微企业</w:t>
      </w:r>
      <w:proofErr w:type="gramEnd"/>
      <w:r>
        <w:rPr>
          <w:rFonts w:ascii="仿宋_GB2312" w:eastAsia="仿宋_GB2312" w:hAnsi="Times New Roman" w:cs="仿宋_GB2312"/>
          <w:kern w:val="0"/>
          <w:sz w:val="32"/>
          <w:szCs w:val="32"/>
        </w:rPr>
        <w:t>合同金额2.25万元，占政府采购支出总额的100.00%。</w:t>
      </w:r>
    </w:p>
    <w:p w14:paraId="2D5A74D4" w14:textId="77777777" w:rsidR="003E7E7C"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（三）国有资产占用情况说明</w:t>
      </w:r>
    </w:p>
    <w:p w14:paraId="0240B5F9" w14:textId="77777777" w:rsidR="003E7E7C"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截止2022年12月31日，</w:t>
      </w:r>
      <w:r>
        <w:rPr>
          <w:rFonts w:ascii="仿宋_GB2312" w:eastAsia="仿宋_GB2312" w:hAnsi="Times New Roman" w:cs="仿宋_GB2312"/>
          <w:sz w:val="32"/>
          <w:szCs w:val="32"/>
        </w:rPr>
        <w:t>固定资产原值</w:t>
      </w:r>
      <w:r>
        <w:rPr>
          <w:rFonts w:ascii="仿宋_GB2312" w:eastAsia="仿宋_GB2312" w:hAnsi="Times New Roman" w:cs="仿宋_GB2312"/>
          <w:kern w:val="0"/>
          <w:sz w:val="32"/>
          <w:szCs w:val="32"/>
        </w:rPr>
        <w:t>60.23</w:t>
      </w:r>
      <w:r>
        <w:rPr>
          <w:rFonts w:ascii="仿宋_GB2312" w:eastAsia="仿宋_GB2312" w:hAnsi="Times New Roman" w:cs="仿宋_GB2312"/>
          <w:sz w:val="32"/>
          <w:szCs w:val="32"/>
        </w:rPr>
        <w:t>万元，</w:t>
      </w:r>
      <w:r>
        <w:rPr>
          <w:rFonts w:ascii="仿宋_GB2312" w:eastAsia="仿宋_GB2312" w:hAnsi="Times New Roman" w:cs="仿宋_GB2312"/>
          <w:kern w:val="0"/>
          <w:sz w:val="32"/>
          <w:szCs w:val="32"/>
        </w:rPr>
        <w:t>房屋</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平方米，价值</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万元。车辆2辆，价值29.16万元，其中：副</w:t>
      </w:r>
      <w:r>
        <w:rPr>
          <w:rFonts w:ascii="仿宋_GB2312" w:eastAsia="仿宋_GB2312" w:hAnsi="Times New Roman" w:cs="仿宋_GB2312"/>
          <w:kern w:val="0"/>
          <w:sz w:val="32"/>
          <w:szCs w:val="32"/>
        </w:rPr>
        <w:lastRenderedPageBreak/>
        <w:t>部（省）级及以上领导用车</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辆、主要领导干部用车1辆、机要通信用车</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辆、应急保障用车</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辆、执法执勤用车</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辆、特种专业技术用车</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辆、离退休干部用车</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辆、其他用车1辆，其他用车主要是：为我单位业务用车；单价100</w:t>
      </w:r>
      <w:r>
        <w:rPr>
          <w:rFonts w:ascii="仿宋_GB2312" w:eastAsia="仿宋_GB2312" w:hAnsi="Times New Roman" w:cs="仿宋_GB2312"/>
          <w:sz w:val="32"/>
          <w:szCs w:val="32"/>
        </w:rPr>
        <w:t>万元（含）以上设备（不含车辆）</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台（套）。</w:t>
      </w:r>
    </w:p>
    <w:p w14:paraId="0791B37A" w14:textId="77777777" w:rsidR="003E7E7C"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十一、预算绩效的情况说明</w:t>
      </w:r>
    </w:p>
    <w:p w14:paraId="7B9F14A1" w14:textId="77777777" w:rsidR="003E7E7C"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根据预算绩效管理要求，我单位2022年度开展预算绩效评价项目1个，</w:t>
      </w:r>
      <w:r>
        <w:rPr>
          <w:rFonts w:ascii="仿宋_GB2312" w:eastAsia="仿宋_GB2312" w:hAnsi="Times New Roman" w:cs="仿宋_GB2312"/>
          <w:sz w:val="32"/>
          <w:szCs w:val="32"/>
        </w:rPr>
        <w:t>全年预算数</w:t>
      </w:r>
      <w:r>
        <w:rPr>
          <w:rFonts w:ascii="仿宋_GB2312" w:eastAsia="仿宋_GB2312" w:hAnsi="Times New Roman" w:cs="仿宋_GB2312"/>
          <w:kern w:val="0"/>
          <w:sz w:val="32"/>
          <w:szCs w:val="32"/>
        </w:rPr>
        <w:t>500.00</w:t>
      </w:r>
      <w:r>
        <w:rPr>
          <w:rFonts w:ascii="仿宋_GB2312" w:eastAsia="仿宋_GB2312" w:hAnsi="Times New Roman" w:cs="仿宋_GB2312"/>
          <w:sz w:val="32"/>
          <w:szCs w:val="32"/>
        </w:rPr>
        <w:t>万元，全年执行数</w:t>
      </w:r>
      <w:r>
        <w:rPr>
          <w:rFonts w:ascii="仿宋_GB2312" w:eastAsia="仿宋_GB2312" w:hAnsi="Times New Roman" w:cs="仿宋_GB2312"/>
          <w:kern w:val="0"/>
          <w:sz w:val="32"/>
          <w:szCs w:val="32"/>
        </w:rPr>
        <w:t>500.00</w:t>
      </w:r>
      <w:r>
        <w:rPr>
          <w:rFonts w:ascii="仿宋_GB2312" w:eastAsia="仿宋_GB2312" w:hAnsi="Times New Roman" w:cs="仿宋_GB2312"/>
          <w:sz w:val="32"/>
          <w:szCs w:val="32"/>
        </w:rPr>
        <w:t>万元。</w:t>
      </w:r>
      <w:r>
        <w:rPr>
          <w:rFonts w:ascii="仿宋_GB2312" w:eastAsia="仿宋_GB2312" w:hAnsi="Times New Roman" w:cs="仿宋_GB2312"/>
          <w:kern w:val="0"/>
          <w:sz w:val="32"/>
          <w:szCs w:val="32"/>
        </w:rPr>
        <w:t>预算绩效管理取得的成效：一是</w:t>
      </w:r>
      <w:r>
        <w:rPr>
          <w:rFonts w:ascii="仿宋_GB2312" w:eastAsia="仿宋_GB2312" w:hAnsi="Times New Roman"/>
          <w:kern w:val="0"/>
          <w:sz w:val="32"/>
          <w:szCs w:val="24"/>
        </w:rPr>
        <w:t>强了民贸民品贴息政策宣传，大力支持民族地区经济发展。建立了民贸民品贷款贴息相关企业名单和目录的动态调整机制，将符合条件的企业及时纳入，不符合条件的企业及时清退，为落实贷款贴息政策提供可操作性强的依据。同时加强对</w:t>
      </w:r>
      <w:proofErr w:type="gramStart"/>
      <w:r>
        <w:rPr>
          <w:rFonts w:ascii="仿宋_GB2312" w:eastAsia="仿宋_GB2312" w:hAnsi="Times New Roman"/>
          <w:kern w:val="0"/>
          <w:sz w:val="32"/>
          <w:szCs w:val="24"/>
        </w:rPr>
        <w:t>民品民</w:t>
      </w:r>
      <w:proofErr w:type="gramEnd"/>
      <w:r>
        <w:rPr>
          <w:rFonts w:ascii="仿宋_GB2312" w:eastAsia="仿宋_GB2312" w:hAnsi="Times New Roman"/>
          <w:kern w:val="0"/>
          <w:sz w:val="32"/>
          <w:szCs w:val="24"/>
        </w:rPr>
        <w:t>贸企业贷款贴息政策加强宣传力度，提高了企业对相关政策的知晓率</w:t>
      </w:r>
      <w:r>
        <w:rPr>
          <w:rFonts w:ascii="仿宋_GB2312" w:eastAsia="仿宋_GB2312" w:hAnsi="Times New Roman" w:cs="仿宋_GB2312"/>
          <w:kern w:val="0"/>
          <w:sz w:val="32"/>
          <w:szCs w:val="32"/>
        </w:rPr>
        <w:t>；二是</w:t>
      </w:r>
      <w:r>
        <w:rPr>
          <w:rFonts w:ascii="仿宋_GB2312" w:eastAsia="仿宋_GB2312" w:hAnsi="Times New Roman"/>
          <w:kern w:val="0"/>
          <w:sz w:val="32"/>
          <w:szCs w:val="24"/>
        </w:rPr>
        <w:t>及时拨付民贸民品企业贷款贴息，缓解了企业资金压力，有效地支持了民族特需商品生产企业的持续发展，同时引导银行贷款资金及时到位，及时促进银行加大对民族特需商品生产企业的支持力度</w:t>
      </w:r>
      <w:r>
        <w:rPr>
          <w:rFonts w:ascii="仿宋_GB2312" w:eastAsia="仿宋_GB2312" w:hAnsi="Times New Roman" w:cs="仿宋_GB2312"/>
          <w:kern w:val="0"/>
          <w:sz w:val="32"/>
          <w:szCs w:val="32"/>
        </w:rPr>
        <w:t>。发现的问题及原因：一是</w:t>
      </w:r>
      <w:r>
        <w:rPr>
          <w:rFonts w:ascii="仿宋_GB2312" w:eastAsia="仿宋_GB2312" w:hAnsi="Times New Roman"/>
          <w:kern w:val="0"/>
          <w:sz w:val="32"/>
          <w:szCs w:val="24"/>
        </w:rPr>
        <w:t>虽然民贸民品贷款贴息政策整体取得较好的成效，但是通过绩效评价发现，民贸民品贷款贴息政策的作用还有提升的空间，民贸民品企业贷款贴息政策的惠及面还不够广，主要原因是我们对民贸民品企业贴息政策的宣传还不到</w:t>
      </w:r>
      <w:r>
        <w:rPr>
          <w:rFonts w:ascii="仿宋_GB2312" w:eastAsia="仿宋_GB2312" w:hAnsi="Times New Roman"/>
          <w:kern w:val="0"/>
          <w:sz w:val="32"/>
          <w:szCs w:val="24"/>
        </w:rPr>
        <w:lastRenderedPageBreak/>
        <w:t>位</w:t>
      </w:r>
      <w:r>
        <w:rPr>
          <w:rFonts w:ascii="仿宋_GB2312" w:eastAsia="仿宋_GB2312" w:hAnsi="Times New Roman" w:cs="仿宋_GB2312"/>
          <w:kern w:val="0"/>
          <w:sz w:val="32"/>
          <w:szCs w:val="32"/>
        </w:rPr>
        <w:t>；二是</w:t>
      </w:r>
      <w:r>
        <w:rPr>
          <w:rFonts w:ascii="仿宋_GB2312" w:eastAsia="仿宋_GB2312" w:hAnsi="Times New Roman"/>
          <w:kern w:val="0"/>
          <w:sz w:val="32"/>
          <w:szCs w:val="24"/>
        </w:rPr>
        <w:t>每年近一半的民贸民品企业贷款贴息申请未获通过，主要原因一是企业对民贸民品贷款贴息政策不清楚，例如，企业以个人名义贷款而不是以公司名义贷款、企业财务制度不健全、贷款借新还旧等原因，导致企业贷款贴息申请不能通过；一些企业贷款使用不符合有关规定，例如，企业贷款不是一年期流动资金贷款，有的企业甚至将贷款转借给关联企业</w:t>
      </w:r>
      <w:r>
        <w:rPr>
          <w:rFonts w:ascii="仿宋_GB2312" w:eastAsia="仿宋_GB2312" w:hAnsi="Times New Roman" w:cs="仿宋_GB2312"/>
          <w:kern w:val="0"/>
          <w:sz w:val="32"/>
          <w:szCs w:val="32"/>
        </w:rPr>
        <w:t>。下一步改进措施：一是</w:t>
      </w:r>
      <w:r>
        <w:rPr>
          <w:rFonts w:ascii="仿宋_GB2312" w:eastAsia="仿宋_GB2312" w:hAnsi="Times New Roman"/>
          <w:kern w:val="0"/>
          <w:sz w:val="32"/>
          <w:szCs w:val="24"/>
        </w:rPr>
        <w:t>用活民贸民品贴息政策，引导民贸民品企业发展，发挥政府性融资担保机构的作用，为缺乏有效抵押担保、但有较好发展前景的民贸民品生产企业提供融资担保，做大做强一批民贸民品生产企业，促进民族地区经济发展；应积极引导民贸民品企业加强财务制度建设和优化银行贷款方案，尽力让符合条件的企业可以享受贷款贴息政策</w:t>
      </w:r>
      <w:r>
        <w:rPr>
          <w:rFonts w:ascii="仿宋_GB2312" w:eastAsia="仿宋_GB2312" w:hAnsi="Times New Roman" w:cs="仿宋_GB2312"/>
          <w:kern w:val="0"/>
          <w:sz w:val="32"/>
          <w:szCs w:val="32"/>
        </w:rPr>
        <w:t>；二是</w:t>
      </w:r>
      <w:r>
        <w:rPr>
          <w:rFonts w:ascii="仿宋_GB2312" w:eastAsia="仿宋_GB2312" w:hAnsi="Times New Roman"/>
          <w:kern w:val="0"/>
          <w:sz w:val="32"/>
          <w:szCs w:val="24"/>
        </w:rPr>
        <w:t>用好民贸民品贴息政策，</w:t>
      </w:r>
      <w:proofErr w:type="gramStart"/>
      <w:r>
        <w:rPr>
          <w:rFonts w:ascii="仿宋_GB2312" w:eastAsia="仿宋_GB2312" w:hAnsi="Times New Roman"/>
          <w:kern w:val="0"/>
          <w:sz w:val="32"/>
          <w:szCs w:val="24"/>
        </w:rPr>
        <w:t>助推民贸</w:t>
      </w:r>
      <w:proofErr w:type="gramEnd"/>
      <w:r>
        <w:rPr>
          <w:rFonts w:ascii="仿宋_GB2312" w:eastAsia="仿宋_GB2312" w:hAnsi="Times New Roman"/>
          <w:kern w:val="0"/>
          <w:sz w:val="32"/>
          <w:szCs w:val="24"/>
        </w:rPr>
        <w:t>民品企业高质量发展；对民贸民品贷款备案材料的准确性、合理性、合</w:t>
      </w:r>
      <w:proofErr w:type="gramStart"/>
      <w:r>
        <w:rPr>
          <w:rFonts w:ascii="仿宋_GB2312" w:eastAsia="仿宋_GB2312" w:hAnsi="Times New Roman"/>
          <w:kern w:val="0"/>
          <w:sz w:val="32"/>
          <w:szCs w:val="24"/>
        </w:rPr>
        <w:t>规</w:t>
      </w:r>
      <w:proofErr w:type="gramEnd"/>
      <w:r>
        <w:rPr>
          <w:rFonts w:ascii="仿宋_GB2312" w:eastAsia="仿宋_GB2312" w:hAnsi="Times New Roman"/>
          <w:kern w:val="0"/>
          <w:sz w:val="32"/>
          <w:szCs w:val="24"/>
        </w:rPr>
        <w:t>性及完整进行全面审核，确保享受贴息的民贸民品贷款符合相关规定，加强对民贸民品企业设置专账或辅助账、民贸民品贷款单独核算情况进行监督指导</w:t>
      </w:r>
      <w:r>
        <w:rPr>
          <w:rFonts w:ascii="仿宋_GB2312" w:eastAsia="仿宋_GB2312" w:hAnsi="Times New Roman" w:cs="仿宋_GB2312"/>
          <w:kern w:val="0"/>
          <w:sz w:val="32"/>
          <w:szCs w:val="32"/>
        </w:rPr>
        <w:t>。具体项目自评情况</w:t>
      </w:r>
      <w:proofErr w:type="gramStart"/>
      <w:r>
        <w:rPr>
          <w:rFonts w:ascii="仿宋_GB2312" w:eastAsia="仿宋_GB2312" w:hAnsi="Times New Roman" w:cs="仿宋_GB2312"/>
          <w:kern w:val="0"/>
          <w:sz w:val="32"/>
          <w:szCs w:val="32"/>
        </w:rPr>
        <w:t>附项目</w:t>
      </w:r>
      <w:proofErr w:type="gramEnd"/>
      <w:r>
        <w:rPr>
          <w:rFonts w:ascii="仿宋_GB2312" w:eastAsia="仿宋_GB2312" w:hAnsi="Times New Roman" w:cs="仿宋_GB2312"/>
          <w:kern w:val="0"/>
          <w:sz w:val="32"/>
          <w:szCs w:val="32"/>
        </w:rPr>
        <w:t>支出绩效自评表。</w:t>
      </w:r>
    </w:p>
    <w:tbl>
      <w:tblPr>
        <w:tblW w:w="5000" w:type="pct"/>
        <w:tblLook w:val="04A0" w:firstRow="1" w:lastRow="0" w:firstColumn="1" w:lastColumn="0" w:noHBand="0" w:noVBand="1"/>
      </w:tblPr>
      <w:tblGrid>
        <w:gridCol w:w="759"/>
        <w:gridCol w:w="768"/>
        <w:gridCol w:w="762"/>
        <w:gridCol w:w="804"/>
        <w:gridCol w:w="746"/>
        <w:gridCol w:w="466"/>
        <w:gridCol w:w="673"/>
        <w:gridCol w:w="806"/>
        <w:gridCol w:w="213"/>
        <w:gridCol w:w="547"/>
        <w:gridCol w:w="622"/>
        <w:gridCol w:w="425"/>
        <w:gridCol w:w="491"/>
        <w:gridCol w:w="774"/>
      </w:tblGrid>
      <w:tr w:rsidR="003E7E7C" w14:paraId="65DAE962" w14:textId="77777777">
        <w:trPr>
          <w:trHeight w:val="405"/>
        </w:trPr>
        <w:tc>
          <w:tcPr>
            <w:tcW w:w="5000" w:type="pct"/>
            <w:gridSpan w:val="14"/>
            <w:tcBorders>
              <w:top w:val="nil"/>
              <w:left w:val="nil"/>
              <w:bottom w:val="nil"/>
              <w:right w:val="nil"/>
            </w:tcBorders>
            <w:vAlign w:val="center"/>
          </w:tcPr>
          <w:p w14:paraId="20E755FF" w14:textId="77777777" w:rsidR="003E7E7C" w:rsidRDefault="00000000">
            <w:pPr>
              <w:widowControl/>
              <w:jc w:val="center"/>
              <w:textAlignment w:val="center"/>
              <w:rPr>
                <w:rFonts w:ascii="宋体" w:eastAsia="宋体" w:hAnsi="宋体" w:cs="宋体" w:hint="default"/>
                <w:b/>
                <w:bCs/>
                <w:color w:val="000000"/>
                <w:sz w:val="32"/>
                <w:szCs w:val="32"/>
              </w:rPr>
            </w:pPr>
            <w:r>
              <w:rPr>
                <w:rFonts w:ascii="宋体" w:eastAsia="宋体" w:hAnsi="宋体" w:cs="宋体"/>
                <w:b/>
                <w:bCs/>
                <w:color w:val="000000"/>
                <w:kern w:val="0"/>
                <w:sz w:val="32"/>
                <w:szCs w:val="32"/>
                <w:lang w:bidi="ar"/>
              </w:rPr>
              <w:t>项目支出绩效自评表</w:t>
            </w:r>
          </w:p>
        </w:tc>
      </w:tr>
      <w:tr w:rsidR="003E7E7C" w14:paraId="79548B78" w14:textId="77777777">
        <w:trPr>
          <w:trHeight w:val="270"/>
        </w:trPr>
        <w:tc>
          <w:tcPr>
            <w:tcW w:w="5000" w:type="pct"/>
            <w:gridSpan w:val="14"/>
            <w:tcBorders>
              <w:top w:val="nil"/>
              <w:left w:val="nil"/>
              <w:bottom w:val="nil"/>
              <w:right w:val="nil"/>
            </w:tcBorders>
            <w:vAlign w:val="center"/>
          </w:tcPr>
          <w:p w14:paraId="1A3834F6" w14:textId="77777777" w:rsidR="003E7E7C" w:rsidRDefault="00000000">
            <w:pPr>
              <w:widowControl/>
              <w:jc w:val="center"/>
              <w:textAlignment w:val="center"/>
              <w:rPr>
                <w:rFonts w:ascii="宋体" w:eastAsia="宋体" w:hAnsi="宋体" w:cs="宋体" w:hint="default"/>
                <w:color w:val="000000"/>
                <w:sz w:val="20"/>
                <w:szCs w:val="20"/>
              </w:rPr>
            </w:pPr>
            <w:r>
              <w:rPr>
                <w:rFonts w:ascii="宋体" w:eastAsia="宋体" w:hAnsi="宋体" w:cs="宋体"/>
                <w:color w:val="000000"/>
                <w:kern w:val="0"/>
                <w:sz w:val="20"/>
                <w:szCs w:val="20"/>
                <w:lang w:bidi="ar"/>
              </w:rPr>
              <w:t>(2022年度)</w:t>
            </w:r>
          </w:p>
        </w:tc>
      </w:tr>
      <w:tr w:rsidR="003E7E7C" w14:paraId="022AE10F" w14:textId="77777777">
        <w:trPr>
          <w:trHeight w:val="401"/>
        </w:trPr>
        <w:tc>
          <w:tcPr>
            <w:tcW w:w="863" w:type="pct"/>
            <w:gridSpan w:val="2"/>
            <w:tcBorders>
              <w:top w:val="single" w:sz="4" w:space="0" w:color="000000"/>
              <w:left w:val="single" w:sz="4" w:space="0" w:color="000000"/>
              <w:bottom w:val="single" w:sz="4" w:space="0" w:color="000000"/>
              <w:right w:val="single" w:sz="4" w:space="0" w:color="000000"/>
            </w:tcBorders>
            <w:vAlign w:val="center"/>
          </w:tcPr>
          <w:p w14:paraId="3B776D16"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项目名称</w:t>
            </w:r>
          </w:p>
        </w:tc>
        <w:tc>
          <w:tcPr>
            <w:tcW w:w="4136" w:type="pct"/>
            <w:gridSpan w:val="12"/>
            <w:tcBorders>
              <w:top w:val="single" w:sz="4" w:space="0" w:color="000000"/>
              <w:left w:val="single" w:sz="4" w:space="0" w:color="000000"/>
              <w:bottom w:val="single" w:sz="4" w:space="0" w:color="000000"/>
              <w:right w:val="single" w:sz="4" w:space="0" w:color="000000"/>
            </w:tcBorders>
            <w:vAlign w:val="center"/>
          </w:tcPr>
          <w:p w14:paraId="6FA0AD72"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民贸民品贷款贴息</w:t>
            </w:r>
          </w:p>
        </w:tc>
      </w:tr>
      <w:tr w:rsidR="003E7E7C" w14:paraId="4F204262" w14:textId="77777777">
        <w:trPr>
          <w:trHeight w:val="396"/>
        </w:trPr>
        <w:tc>
          <w:tcPr>
            <w:tcW w:w="863" w:type="pct"/>
            <w:gridSpan w:val="2"/>
            <w:tcBorders>
              <w:top w:val="single" w:sz="4" w:space="0" w:color="000000"/>
              <w:left w:val="single" w:sz="4" w:space="0" w:color="000000"/>
              <w:bottom w:val="single" w:sz="4" w:space="0" w:color="000000"/>
              <w:right w:val="single" w:sz="4" w:space="0" w:color="000000"/>
            </w:tcBorders>
            <w:vAlign w:val="center"/>
          </w:tcPr>
          <w:p w14:paraId="4208ACA1"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主管部门</w:t>
            </w:r>
          </w:p>
        </w:tc>
        <w:tc>
          <w:tcPr>
            <w:tcW w:w="1948" w:type="pct"/>
            <w:gridSpan w:val="5"/>
            <w:tcBorders>
              <w:top w:val="single" w:sz="4" w:space="0" w:color="000000"/>
              <w:left w:val="single" w:sz="4" w:space="0" w:color="000000"/>
              <w:bottom w:val="single" w:sz="4" w:space="0" w:color="000000"/>
              <w:right w:val="single" w:sz="4" w:space="0" w:color="000000"/>
            </w:tcBorders>
            <w:vAlign w:val="center"/>
          </w:tcPr>
          <w:p w14:paraId="61D36E76"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米东区民宗局机关</w:t>
            </w:r>
          </w:p>
        </w:tc>
        <w:tc>
          <w:tcPr>
            <w:tcW w:w="575" w:type="pct"/>
            <w:gridSpan w:val="2"/>
            <w:tcBorders>
              <w:top w:val="single" w:sz="4" w:space="0" w:color="000000"/>
              <w:left w:val="single" w:sz="4" w:space="0" w:color="000000"/>
              <w:bottom w:val="single" w:sz="4" w:space="0" w:color="000000"/>
              <w:right w:val="single" w:sz="4" w:space="0" w:color="000000"/>
            </w:tcBorders>
            <w:vAlign w:val="center"/>
          </w:tcPr>
          <w:p w14:paraId="07418AC6"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实施单位</w:t>
            </w:r>
          </w:p>
        </w:tc>
        <w:tc>
          <w:tcPr>
            <w:tcW w:w="1611" w:type="pct"/>
            <w:gridSpan w:val="5"/>
            <w:tcBorders>
              <w:top w:val="single" w:sz="4" w:space="0" w:color="000000"/>
              <w:left w:val="single" w:sz="4" w:space="0" w:color="000000"/>
              <w:bottom w:val="single" w:sz="4" w:space="0" w:color="000000"/>
              <w:right w:val="single" w:sz="4" w:space="0" w:color="000000"/>
            </w:tcBorders>
            <w:vAlign w:val="center"/>
          </w:tcPr>
          <w:p w14:paraId="7875829A"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米东区民宗局机关</w:t>
            </w:r>
          </w:p>
        </w:tc>
      </w:tr>
      <w:tr w:rsidR="003E7E7C" w14:paraId="48DB6D69" w14:textId="77777777">
        <w:trPr>
          <w:trHeight w:val="396"/>
        </w:trPr>
        <w:tc>
          <w:tcPr>
            <w:tcW w:w="863" w:type="pct"/>
            <w:gridSpan w:val="2"/>
            <w:vMerge w:val="restart"/>
            <w:tcBorders>
              <w:top w:val="single" w:sz="4" w:space="0" w:color="000000"/>
              <w:left w:val="single" w:sz="4" w:space="0" w:color="000000"/>
              <w:bottom w:val="single" w:sz="4" w:space="0" w:color="000000"/>
              <w:right w:val="single" w:sz="4" w:space="0" w:color="000000"/>
            </w:tcBorders>
            <w:vAlign w:val="center"/>
          </w:tcPr>
          <w:p w14:paraId="239F8DEF" w14:textId="77777777" w:rsidR="003E7E7C" w:rsidRDefault="00000000">
            <w:pPr>
              <w:widowControl/>
              <w:jc w:val="center"/>
              <w:textAlignment w:val="center"/>
              <w:rPr>
                <w:rFonts w:ascii="宋体" w:eastAsia="宋体" w:hAnsi="宋体" w:cs="宋体" w:hint="default"/>
                <w:color w:val="000000"/>
                <w:kern w:val="0"/>
                <w:sz w:val="18"/>
                <w:szCs w:val="18"/>
                <w:lang w:bidi="ar"/>
              </w:rPr>
            </w:pPr>
            <w:r>
              <w:rPr>
                <w:rFonts w:ascii="宋体" w:eastAsia="宋体" w:hAnsi="宋体" w:cs="宋体"/>
                <w:color w:val="000000"/>
                <w:kern w:val="0"/>
                <w:sz w:val="18"/>
                <w:szCs w:val="18"/>
                <w:lang w:bidi="ar"/>
              </w:rPr>
              <w:t>项目资金</w:t>
            </w:r>
          </w:p>
          <w:p w14:paraId="3B14C59E"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（万元）</w:t>
            </w:r>
          </w:p>
        </w:tc>
        <w:tc>
          <w:tcPr>
            <w:tcW w:w="884" w:type="pct"/>
            <w:gridSpan w:val="2"/>
            <w:tcBorders>
              <w:top w:val="single" w:sz="4" w:space="0" w:color="000000"/>
              <w:left w:val="single" w:sz="4" w:space="0" w:color="000000"/>
              <w:bottom w:val="single" w:sz="4" w:space="0" w:color="000000"/>
              <w:right w:val="single" w:sz="4" w:space="0" w:color="000000"/>
            </w:tcBorders>
            <w:vAlign w:val="center"/>
          </w:tcPr>
          <w:p w14:paraId="26EE164B" w14:textId="77777777" w:rsidR="003E7E7C" w:rsidRDefault="003E7E7C">
            <w:pPr>
              <w:jc w:val="center"/>
              <w:rPr>
                <w:rFonts w:ascii="宋体" w:eastAsia="宋体" w:hAnsi="宋体" w:cs="宋体" w:hint="default"/>
                <w:color w:val="000000"/>
                <w:sz w:val="18"/>
                <w:szCs w:val="18"/>
              </w:rPr>
            </w:pPr>
          </w:p>
        </w:tc>
        <w:tc>
          <w:tcPr>
            <w:tcW w:w="421" w:type="pct"/>
            <w:tcBorders>
              <w:top w:val="single" w:sz="4" w:space="0" w:color="000000"/>
              <w:left w:val="single" w:sz="4" w:space="0" w:color="000000"/>
              <w:bottom w:val="single" w:sz="4" w:space="0" w:color="000000"/>
              <w:right w:val="single" w:sz="4" w:space="0" w:color="000000"/>
            </w:tcBorders>
            <w:vAlign w:val="center"/>
          </w:tcPr>
          <w:p w14:paraId="16D9F133"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年初预算数</w:t>
            </w:r>
          </w:p>
        </w:tc>
        <w:tc>
          <w:tcPr>
            <w:tcW w:w="643" w:type="pct"/>
            <w:gridSpan w:val="2"/>
            <w:tcBorders>
              <w:top w:val="single" w:sz="4" w:space="0" w:color="000000"/>
              <w:left w:val="single" w:sz="4" w:space="0" w:color="000000"/>
              <w:bottom w:val="single" w:sz="4" w:space="0" w:color="000000"/>
              <w:right w:val="single" w:sz="4" w:space="0" w:color="000000"/>
            </w:tcBorders>
            <w:vAlign w:val="center"/>
          </w:tcPr>
          <w:p w14:paraId="4206DC9C"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全年预算数</w:t>
            </w:r>
          </w:p>
        </w:tc>
        <w:tc>
          <w:tcPr>
            <w:tcW w:w="575" w:type="pct"/>
            <w:gridSpan w:val="2"/>
            <w:tcBorders>
              <w:top w:val="single" w:sz="4" w:space="0" w:color="000000"/>
              <w:left w:val="single" w:sz="4" w:space="0" w:color="000000"/>
              <w:bottom w:val="single" w:sz="4" w:space="0" w:color="000000"/>
              <w:right w:val="single" w:sz="4" w:space="0" w:color="000000"/>
            </w:tcBorders>
            <w:vAlign w:val="center"/>
          </w:tcPr>
          <w:p w14:paraId="1C4A3786"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全年执行数</w:t>
            </w:r>
          </w:p>
        </w:tc>
        <w:tc>
          <w:tcPr>
            <w:tcW w:w="660" w:type="pct"/>
            <w:gridSpan w:val="2"/>
            <w:tcBorders>
              <w:top w:val="single" w:sz="4" w:space="0" w:color="000000"/>
              <w:left w:val="single" w:sz="4" w:space="0" w:color="000000"/>
              <w:bottom w:val="single" w:sz="4" w:space="0" w:color="000000"/>
              <w:right w:val="single" w:sz="4" w:space="0" w:color="000000"/>
            </w:tcBorders>
            <w:vAlign w:val="center"/>
          </w:tcPr>
          <w:p w14:paraId="6640C3E7"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分值</w:t>
            </w:r>
          </w:p>
        </w:tc>
        <w:tc>
          <w:tcPr>
            <w:tcW w:w="517" w:type="pct"/>
            <w:gridSpan w:val="2"/>
            <w:tcBorders>
              <w:top w:val="single" w:sz="4" w:space="0" w:color="000000"/>
              <w:left w:val="single" w:sz="4" w:space="0" w:color="000000"/>
              <w:bottom w:val="single" w:sz="4" w:space="0" w:color="000000"/>
              <w:right w:val="single" w:sz="4" w:space="0" w:color="000000"/>
            </w:tcBorders>
            <w:vAlign w:val="center"/>
          </w:tcPr>
          <w:p w14:paraId="5DA865E9"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执行率</w:t>
            </w:r>
          </w:p>
        </w:tc>
        <w:tc>
          <w:tcPr>
            <w:tcW w:w="434" w:type="pct"/>
            <w:tcBorders>
              <w:top w:val="single" w:sz="4" w:space="0" w:color="000000"/>
              <w:left w:val="single" w:sz="4" w:space="0" w:color="000000"/>
              <w:bottom w:val="single" w:sz="4" w:space="0" w:color="000000"/>
              <w:right w:val="single" w:sz="4" w:space="0" w:color="000000"/>
            </w:tcBorders>
            <w:vAlign w:val="center"/>
          </w:tcPr>
          <w:p w14:paraId="205A7230"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得分</w:t>
            </w:r>
          </w:p>
        </w:tc>
      </w:tr>
      <w:tr w:rsidR="003E7E7C" w14:paraId="280EE26D" w14:textId="77777777">
        <w:trPr>
          <w:trHeight w:val="396"/>
        </w:trPr>
        <w:tc>
          <w:tcPr>
            <w:tcW w:w="863" w:type="pct"/>
            <w:gridSpan w:val="2"/>
            <w:vMerge/>
            <w:tcBorders>
              <w:top w:val="single" w:sz="4" w:space="0" w:color="000000"/>
              <w:left w:val="single" w:sz="4" w:space="0" w:color="000000"/>
              <w:bottom w:val="single" w:sz="4" w:space="0" w:color="000000"/>
              <w:right w:val="single" w:sz="4" w:space="0" w:color="000000"/>
            </w:tcBorders>
            <w:vAlign w:val="center"/>
          </w:tcPr>
          <w:p w14:paraId="2501240C" w14:textId="77777777" w:rsidR="003E7E7C" w:rsidRDefault="003E7E7C">
            <w:pPr>
              <w:jc w:val="center"/>
              <w:rPr>
                <w:rFonts w:ascii="宋体" w:eastAsia="宋体" w:hAnsi="宋体" w:cs="宋体" w:hint="default"/>
                <w:color w:val="000000"/>
                <w:sz w:val="18"/>
                <w:szCs w:val="18"/>
              </w:rPr>
            </w:pPr>
          </w:p>
        </w:tc>
        <w:tc>
          <w:tcPr>
            <w:tcW w:w="884" w:type="pct"/>
            <w:gridSpan w:val="2"/>
            <w:tcBorders>
              <w:top w:val="single" w:sz="4" w:space="0" w:color="000000"/>
              <w:left w:val="single" w:sz="4" w:space="0" w:color="000000"/>
              <w:bottom w:val="single" w:sz="4" w:space="0" w:color="000000"/>
              <w:right w:val="single" w:sz="4" w:space="0" w:color="000000"/>
            </w:tcBorders>
            <w:vAlign w:val="center"/>
          </w:tcPr>
          <w:p w14:paraId="37D09E1A"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年度资金总额</w:t>
            </w:r>
          </w:p>
        </w:tc>
        <w:tc>
          <w:tcPr>
            <w:tcW w:w="421" w:type="pct"/>
            <w:tcBorders>
              <w:top w:val="single" w:sz="4" w:space="0" w:color="000000"/>
              <w:left w:val="single" w:sz="4" w:space="0" w:color="000000"/>
              <w:bottom w:val="single" w:sz="4" w:space="0" w:color="000000"/>
              <w:right w:val="single" w:sz="4" w:space="0" w:color="000000"/>
            </w:tcBorders>
            <w:vAlign w:val="center"/>
          </w:tcPr>
          <w:p w14:paraId="594E18B2"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0.00</w:t>
            </w:r>
          </w:p>
        </w:tc>
        <w:tc>
          <w:tcPr>
            <w:tcW w:w="643" w:type="pct"/>
            <w:gridSpan w:val="2"/>
            <w:tcBorders>
              <w:top w:val="single" w:sz="4" w:space="0" w:color="000000"/>
              <w:left w:val="single" w:sz="4" w:space="0" w:color="000000"/>
              <w:bottom w:val="single" w:sz="4" w:space="0" w:color="000000"/>
              <w:right w:val="single" w:sz="4" w:space="0" w:color="000000"/>
            </w:tcBorders>
            <w:vAlign w:val="center"/>
          </w:tcPr>
          <w:p w14:paraId="241648EC"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500.00</w:t>
            </w:r>
          </w:p>
        </w:tc>
        <w:tc>
          <w:tcPr>
            <w:tcW w:w="575" w:type="pct"/>
            <w:gridSpan w:val="2"/>
            <w:tcBorders>
              <w:top w:val="single" w:sz="4" w:space="0" w:color="000000"/>
              <w:left w:val="single" w:sz="4" w:space="0" w:color="000000"/>
              <w:bottom w:val="single" w:sz="4" w:space="0" w:color="000000"/>
              <w:right w:val="single" w:sz="4" w:space="0" w:color="000000"/>
            </w:tcBorders>
            <w:vAlign w:val="center"/>
          </w:tcPr>
          <w:p w14:paraId="05F83A90"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500.00</w:t>
            </w:r>
          </w:p>
        </w:tc>
        <w:tc>
          <w:tcPr>
            <w:tcW w:w="660" w:type="pct"/>
            <w:gridSpan w:val="2"/>
            <w:tcBorders>
              <w:top w:val="single" w:sz="4" w:space="0" w:color="000000"/>
              <w:left w:val="single" w:sz="4" w:space="0" w:color="000000"/>
              <w:bottom w:val="single" w:sz="4" w:space="0" w:color="000000"/>
              <w:right w:val="single" w:sz="4" w:space="0" w:color="000000"/>
            </w:tcBorders>
            <w:vAlign w:val="center"/>
          </w:tcPr>
          <w:p w14:paraId="1EEB5BF7"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17" w:type="pct"/>
            <w:gridSpan w:val="2"/>
            <w:tcBorders>
              <w:top w:val="single" w:sz="4" w:space="0" w:color="000000"/>
              <w:left w:val="single" w:sz="4" w:space="0" w:color="000000"/>
              <w:bottom w:val="single" w:sz="4" w:space="0" w:color="000000"/>
              <w:right w:val="single" w:sz="4" w:space="0" w:color="000000"/>
            </w:tcBorders>
            <w:vAlign w:val="center"/>
          </w:tcPr>
          <w:p w14:paraId="4633C84E"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100.00%</w:t>
            </w:r>
          </w:p>
        </w:tc>
        <w:tc>
          <w:tcPr>
            <w:tcW w:w="434" w:type="pct"/>
            <w:tcBorders>
              <w:top w:val="single" w:sz="4" w:space="0" w:color="000000"/>
              <w:left w:val="single" w:sz="4" w:space="0" w:color="000000"/>
              <w:bottom w:val="single" w:sz="4" w:space="0" w:color="000000"/>
              <w:right w:val="single" w:sz="4" w:space="0" w:color="000000"/>
            </w:tcBorders>
            <w:vAlign w:val="center"/>
          </w:tcPr>
          <w:p w14:paraId="4B982D4E"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10.00分</w:t>
            </w:r>
          </w:p>
        </w:tc>
      </w:tr>
      <w:tr w:rsidR="003E7E7C" w14:paraId="5DFFD443" w14:textId="77777777">
        <w:trPr>
          <w:trHeight w:val="396"/>
        </w:trPr>
        <w:tc>
          <w:tcPr>
            <w:tcW w:w="863" w:type="pct"/>
            <w:gridSpan w:val="2"/>
            <w:vMerge/>
            <w:tcBorders>
              <w:top w:val="single" w:sz="4" w:space="0" w:color="000000"/>
              <w:left w:val="single" w:sz="4" w:space="0" w:color="000000"/>
              <w:bottom w:val="single" w:sz="4" w:space="0" w:color="000000"/>
              <w:right w:val="single" w:sz="4" w:space="0" w:color="000000"/>
            </w:tcBorders>
            <w:vAlign w:val="center"/>
          </w:tcPr>
          <w:p w14:paraId="5E114850" w14:textId="77777777" w:rsidR="003E7E7C" w:rsidRDefault="003E7E7C">
            <w:pPr>
              <w:jc w:val="center"/>
              <w:rPr>
                <w:rFonts w:ascii="宋体" w:eastAsia="宋体" w:hAnsi="宋体" w:cs="宋体" w:hint="default"/>
                <w:color w:val="000000"/>
                <w:sz w:val="18"/>
                <w:szCs w:val="18"/>
              </w:rPr>
            </w:pPr>
          </w:p>
        </w:tc>
        <w:tc>
          <w:tcPr>
            <w:tcW w:w="884" w:type="pct"/>
            <w:gridSpan w:val="2"/>
            <w:tcBorders>
              <w:top w:val="single" w:sz="4" w:space="0" w:color="000000"/>
              <w:left w:val="single" w:sz="4" w:space="0" w:color="000000"/>
              <w:bottom w:val="single" w:sz="4" w:space="0" w:color="000000"/>
              <w:right w:val="single" w:sz="4" w:space="0" w:color="000000"/>
            </w:tcBorders>
            <w:vAlign w:val="center"/>
          </w:tcPr>
          <w:p w14:paraId="5810014C"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其中：当年财政拨款</w:t>
            </w:r>
          </w:p>
        </w:tc>
        <w:tc>
          <w:tcPr>
            <w:tcW w:w="421" w:type="pct"/>
            <w:tcBorders>
              <w:top w:val="single" w:sz="4" w:space="0" w:color="000000"/>
              <w:left w:val="single" w:sz="4" w:space="0" w:color="000000"/>
              <w:bottom w:val="single" w:sz="4" w:space="0" w:color="000000"/>
              <w:right w:val="single" w:sz="4" w:space="0" w:color="000000"/>
            </w:tcBorders>
            <w:vAlign w:val="center"/>
          </w:tcPr>
          <w:p w14:paraId="790EB173"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0.00</w:t>
            </w:r>
          </w:p>
        </w:tc>
        <w:tc>
          <w:tcPr>
            <w:tcW w:w="643" w:type="pct"/>
            <w:gridSpan w:val="2"/>
            <w:tcBorders>
              <w:top w:val="single" w:sz="4" w:space="0" w:color="000000"/>
              <w:left w:val="single" w:sz="4" w:space="0" w:color="000000"/>
              <w:bottom w:val="single" w:sz="4" w:space="0" w:color="000000"/>
              <w:right w:val="single" w:sz="4" w:space="0" w:color="000000"/>
            </w:tcBorders>
            <w:vAlign w:val="center"/>
          </w:tcPr>
          <w:p w14:paraId="43BA77BF"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500.00</w:t>
            </w:r>
          </w:p>
        </w:tc>
        <w:tc>
          <w:tcPr>
            <w:tcW w:w="575" w:type="pct"/>
            <w:gridSpan w:val="2"/>
            <w:tcBorders>
              <w:top w:val="single" w:sz="4" w:space="0" w:color="000000"/>
              <w:left w:val="single" w:sz="4" w:space="0" w:color="000000"/>
              <w:bottom w:val="single" w:sz="4" w:space="0" w:color="000000"/>
              <w:right w:val="single" w:sz="4" w:space="0" w:color="000000"/>
            </w:tcBorders>
            <w:vAlign w:val="center"/>
          </w:tcPr>
          <w:p w14:paraId="6390B4AC"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500.00</w:t>
            </w:r>
          </w:p>
        </w:tc>
        <w:tc>
          <w:tcPr>
            <w:tcW w:w="660" w:type="pct"/>
            <w:gridSpan w:val="2"/>
            <w:tcBorders>
              <w:top w:val="single" w:sz="4" w:space="0" w:color="000000"/>
              <w:left w:val="single" w:sz="4" w:space="0" w:color="000000"/>
              <w:bottom w:val="single" w:sz="4" w:space="0" w:color="000000"/>
              <w:right w:val="single" w:sz="4" w:space="0" w:color="000000"/>
            </w:tcBorders>
            <w:vAlign w:val="center"/>
          </w:tcPr>
          <w:p w14:paraId="417025F7"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517" w:type="pct"/>
            <w:gridSpan w:val="2"/>
            <w:tcBorders>
              <w:top w:val="single" w:sz="4" w:space="0" w:color="000000"/>
              <w:left w:val="single" w:sz="4" w:space="0" w:color="000000"/>
              <w:bottom w:val="single" w:sz="4" w:space="0" w:color="000000"/>
              <w:right w:val="single" w:sz="4" w:space="0" w:color="000000"/>
            </w:tcBorders>
            <w:vAlign w:val="center"/>
          </w:tcPr>
          <w:p w14:paraId="066D5BC3"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434" w:type="pct"/>
            <w:tcBorders>
              <w:top w:val="single" w:sz="4" w:space="0" w:color="000000"/>
              <w:left w:val="single" w:sz="4" w:space="0" w:color="000000"/>
              <w:bottom w:val="single" w:sz="4" w:space="0" w:color="000000"/>
              <w:right w:val="single" w:sz="4" w:space="0" w:color="000000"/>
            </w:tcBorders>
            <w:vAlign w:val="center"/>
          </w:tcPr>
          <w:p w14:paraId="2C65F1F3"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3E7E7C" w14:paraId="5B108C08" w14:textId="77777777">
        <w:trPr>
          <w:trHeight w:val="396"/>
        </w:trPr>
        <w:tc>
          <w:tcPr>
            <w:tcW w:w="863" w:type="pct"/>
            <w:gridSpan w:val="2"/>
            <w:vMerge/>
            <w:tcBorders>
              <w:top w:val="single" w:sz="4" w:space="0" w:color="000000"/>
              <w:left w:val="single" w:sz="4" w:space="0" w:color="000000"/>
              <w:bottom w:val="single" w:sz="4" w:space="0" w:color="000000"/>
              <w:right w:val="single" w:sz="4" w:space="0" w:color="000000"/>
            </w:tcBorders>
            <w:vAlign w:val="center"/>
          </w:tcPr>
          <w:p w14:paraId="3A7EF824" w14:textId="77777777" w:rsidR="003E7E7C" w:rsidRDefault="003E7E7C">
            <w:pPr>
              <w:jc w:val="center"/>
              <w:rPr>
                <w:rFonts w:ascii="宋体" w:eastAsia="宋体" w:hAnsi="宋体" w:cs="宋体" w:hint="default"/>
                <w:color w:val="000000"/>
                <w:sz w:val="18"/>
                <w:szCs w:val="18"/>
              </w:rPr>
            </w:pPr>
          </w:p>
        </w:tc>
        <w:tc>
          <w:tcPr>
            <w:tcW w:w="884" w:type="pct"/>
            <w:gridSpan w:val="2"/>
            <w:tcBorders>
              <w:top w:val="single" w:sz="4" w:space="0" w:color="000000"/>
              <w:left w:val="single" w:sz="4" w:space="0" w:color="000000"/>
              <w:bottom w:val="single" w:sz="4" w:space="0" w:color="000000"/>
              <w:right w:val="single" w:sz="4" w:space="0" w:color="000000"/>
            </w:tcBorders>
            <w:vAlign w:val="center"/>
          </w:tcPr>
          <w:p w14:paraId="340242D6"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上年结转资金</w:t>
            </w:r>
          </w:p>
        </w:tc>
        <w:tc>
          <w:tcPr>
            <w:tcW w:w="421" w:type="pct"/>
            <w:tcBorders>
              <w:top w:val="single" w:sz="4" w:space="0" w:color="000000"/>
              <w:left w:val="single" w:sz="4" w:space="0" w:color="000000"/>
              <w:bottom w:val="single" w:sz="4" w:space="0" w:color="000000"/>
              <w:right w:val="single" w:sz="4" w:space="0" w:color="000000"/>
            </w:tcBorders>
            <w:vAlign w:val="center"/>
          </w:tcPr>
          <w:p w14:paraId="55CAE9B4"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643" w:type="pct"/>
            <w:gridSpan w:val="2"/>
            <w:tcBorders>
              <w:top w:val="single" w:sz="4" w:space="0" w:color="000000"/>
              <w:left w:val="single" w:sz="4" w:space="0" w:color="000000"/>
              <w:bottom w:val="single" w:sz="4" w:space="0" w:color="000000"/>
              <w:right w:val="single" w:sz="4" w:space="0" w:color="000000"/>
            </w:tcBorders>
            <w:vAlign w:val="center"/>
          </w:tcPr>
          <w:p w14:paraId="64746FB0"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575" w:type="pct"/>
            <w:gridSpan w:val="2"/>
            <w:tcBorders>
              <w:top w:val="single" w:sz="4" w:space="0" w:color="000000"/>
              <w:left w:val="single" w:sz="4" w:space="0" w:color="000000"/>
              <w:bottom w:val="single" w:sz="4" w:space="0" w:color="000000"/>
              <w:right w:val="single" w:sz="4" w:space="0" w:color="000000"/>
            </w:tcBorders>
            <w:vAlign w:val="center"/>
          </w:tcPr>
          <w:p w14:paraId="61ED8FD9"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660" w:type="pct"/>
            <w:gridSpan w:val="2"/>
            <w:tcBorders>
              <w:top w:val="single" w:sz="4" w:space="0" w:color="000000"/>
              <w:left w:val="single" w:sz="4" w:space="0" w:color="000000"/>
              <w:bottom w:val="single" w:sz="4" w:space="0" w:color="000000"/>
              <w:right w:val="single" w:sz="4" w:space="0" w:color="000000"/>
            </w:tcBorders>
            <w:vAlign w:val="center"/>
          </w:tcPr>
          <w:p w14:paraId="71B45AA9"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517" w:type="pct"/>
            <w:gridSpan w:val="2"/>
            <w:tcBorders>
              <w:top w:val="single" w:sz="4" w:space="0" w:color="000000"/>
              <w:left w:val="single" w:sz="4" w:space="0" w:color="000000"/>
              <w:bottom w:val="single" w:sz="4" w:space="0" w:color="000000"/>
              <w:right w:val="single" w:sz="4" w:space="0" w:color="000000"/>
            </w:tcBorders>
            <w:vAlign w:val="center"/>
          </w:tcPr>
          <w:p w14:paraId="2F06F5A3"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434" w:type="pct"/>
            <w:tcBorders>
              <w:top w:val="single" w:sz="4" w:space="0" w:color="000000"/>
              <w:left w:val="single" w:sz="4" w:space="0" w:color="000000"/>
              <w:bottom w:val="single" w:sz="4" w:space="0" w:color="000000"/>
              <w:right w:val="single" w:sz="4" w:space="0" w:color="000000"/>
            </w:tcBorders>
            <w:vAlign w:val="center"/>
          </w:tcPr>
          <w:p w14:paraId="390A4BF3"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3E7E7C" w14:paraId="484A871A" w14:textId="77777777">
        <w:trPr>
          <w:trHeight w:val="396"/>
        </w:trPr>
        <w:tc>
          <w:tcPr>
            <w:tcW w:w="863" w:type="pct"/>
            <w:gridSpan w:val="2"/>
            <w:vMerge/>
            <w:tcBorders>
              <w:top w:val="single" w:sz="4" w:space="0" w:color="000000"/>
              <w:left w:val="single" w:sz="4" w:space="0" w:color="000000"/>
              <w:bottom w:val="single" w:sz="4" w:space="0" w:color="000000"/>
              <w:right w:val="single" w:sz="4" w:space="0" w:color="000000"/>
            </w:tcBorders>
            <w:vAlign w:val="center"/>
          </w:tcPr>
          <w:p w14:paraId="24D8F82F" w14:textId="77777777" w:rsidR="003E7E7C" w:rsidRDefault="003E7E7C">
            <w:pPr>
              <w:jc w:val="center"/>
              <w:rPr>
                <w:rFonts w:ascii="宋体" w:eastAsia="宋体" w:hAnsi="宋体" w:cs="宋体" w:hint="default"/>
                <w:color w:val="000000"/>
                <w:sz w:val="18"/>
                <w:szCs w:val="18"/>
              </w:rPr>
            </w:pPr>
          </w:p>
        </w:tc>
        <w:tc>
          <w:tcPr>
            <w:tcW w:w="884" w:type="pct"/>
            <w:gridSpan w:val="2"/>
            <w:tcBorders>
              <w:top w:val="single" w:sz="4" w:space="0" w:color="000000"/>
              <w:left w:val="single" w:sz="4" w:space="0" w:color="000000"/>
              <w:bottom w:val="single" w:sz="4" w:space="0" w:color="000000"/>
              <w:right w:val="single" w:sz="4" w:space="0" w:color="000000"/>
            </w:tcBorders>
            <w:vAlign w:val="center"/>
          </w:tcPr>
          <w:p w14:paraId="32B5DE6B"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其他资金</w:t>
            </w:r>
          </w:p>
        </w:tc>
        <w:tc>
          <w:tcPr>
            <w:tcW w:w="421" w:type="pct"/>
            <w:tcBorders>
              <w:top w:val="single" w:sz="4" w:space="0" w:color="000000"/>
              <w:left w:val="single" w:sz="4" w:space="0" w:color="000000"/>
              <w:bottom w:val="single" w:sz="4" w:space="0" w:color="000000"/>
              <w:right w:val="single" w:sz="4" w:space="0" w:color="000000"/>
            </w:tcBorders>
            <w:vAlign w:val="center"/>
          </w:tcPr>
          <w:p w14:paraId="06228352"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643" w:type="pct"/>
            <w:gridSpan w:val="2"/>
            <w:tcBorders>
              <w:top w:val="single" w:sz="4" w:space="0" w:color="000000"/>
              <w:left w:val="single" w:sz="4" w:space="0" w:color="000000"/>
              <w:bottom w:val="single" w:sz="4" w:space="0" w:color="000000"/>
              <w:right w:val="single" w:sz="4" w:space="0" w:color="000000"/>
            </w:tcBorders>
            <w:vAlign w:val="center"/>
          </w:tcPr>
          <w:p w14:paraId="75148919"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575" w:type="pct"/>
            <w:gridSpan w:val="2"/>
            <w:tcBorders>
              <w:top w:val="single" w:sz="4" w:space="0" w:color="000000"/>
              <w:left w:val="single" w:sz="4" w:space="0" w:color="000000"/>
              <w:bottom w:val="single" w:sz="4" w:space="0" w:color="000000"/>
              <w:right w:val="single" w:sz="4" w:space="0" w:color="000000"/>
            </w:tcBorders>
            <w:vAlign w:val="center"/>
          </w:tcPr>
          <w:p w14:paraId="2FDC79A5"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660" w:type="pct"/>
            <w:gridSpan w:val="2"/>
            <w:tcBorders>
              <w:top w:val="single" w:sz="4" w:space="0" w:color="000000"/>
              <w:left w:val="single" w:sz="4" w:space="0" w:color="000000"/>
              <w:bottom w:val="single" w:sz="4" w:space="0" w:color="000000"/>
              <w:right w:val="single" w:sz="4" w:space="0" w:color="000000"/>
            </w:tcBorders>
            <w:vAlign w:val="center"/>
          </w:tcPr>
          <w:p w14:paraId="383388A2"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517" w:type="pct"/>
            <w:gridSpan w:val="2"/>
            <w:tcBorders>
              <w:top w:val="single" w:sz="4" w:space="0" w:color="000000"/>
              <w:left w:val="single" w:sz="4" w:space="0" w:color="000000"/>
              <w:bottom w:val="single" w:sz="4" w:space="0" w:color="000000"/>
              <w:right w:val="single" w:sz="4" w:space="0" w:color="000000"/>
            </w:tcBorders>
            <w:vAlign w:val="center"/>
          </w:tcPr>
          <w:p w14:paraId="2C0D7297"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434" w:type="pct"/>
            <w:tcBorders>
              <w:top w:val="single" w:sz="4" w:space="0" w:color="000000"/>
              <w:left w:val="single" w:sz="4" w:space="0" w:color="000000"/>
              <w:bottom w:val="single" w:sz="4" w:space="0" w:color="000000"/>
              <w:right w:val="single" w:sz="4" w:space="0" w:color="000000"/>
            </w:tcBorders>
            <w:vAlign w:val="center"/>
          </w:tcPr>
          <w:p w14:paraId="1AF1C620"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3E7E7C" w14:paraId="3340C40B" w14:textId="77777777">
        <w:trPr>
          <w:trHeight w:val="396"/>
        </w:trPr>
        <w:tc>
          <w:tcPr>
            <w:tcW w:w="429" w:type="pct"/>
            <w:vMerge w:val="restart"/>
            <w:tcBorders>
              <w:top w:val="single" w:sz="4" w:space="0" w:color="000000"/>
              <w:left w:val="single" w:sz="4" w:space="0" w:color="000000"/>
              <w:bottom w:val="single" w:sz="4" w:space="0" w:color="000000"/>
              <w:right w:val="single" w:sz="4" w:space="0" w:color="000000"/>
            </w:tcBorders>
            <w:vAlign w:val="center"/>
          </w:tcPr>
          <w:p w14:paraId="6E2DC33D"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年度总体目标</w:t>
            </w:r>
          </w:p>
        </w:tc>
        <w:tc>
          <w:tcPr>
            <w:tcW w:w="2382" w:type="pct"/>
            <w:gridSpan w:val="6"/>
            <w:tcBorders>
              <w:top w:val="single" w:sz="4" w:space="0" w:color="000000"/>
              <w:left w:val="single" w:sz="4" w:space="0" w:color="000000"/>
              <w:bottom w:val="single" w:sz="4" w:space="0" w:color="000000"/>
              <w:right w:val="single" w:sz="4" w:space="0" w:color="000000"/>
            </w:tcBorders>
            <w:vAlign w:val="center"/>
          </w:tcPr>
          <w:p w14:paraId="6CA7F058"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预期目标</w:t>
            </w:r>
          </w:p>
        </w:tc>
        <w:tc>
          <w:tcPr>
            <w:tcW w:w="2187" w:type="pct"/>
            <w:gridSpan w:val="7"/>
            <w:tcBorders>
              <w:top w:val="single" w:sz="4" w:space="0" w:color="000000"/>
              <w:left w:val="single" w:sz="4" w:space="0" w:color="000000"/>
              <w:bottom w:val="single" w:sz="4" w:space="0" w:color="000000"/>
              <w:right w:val="single" w:sz="4" w:space="0" w:color="000000"/>
            </w:tcBorders>
            <w:vAlign w:val="center"/>
          </w:tcPr>
          <w:p w14:paraId="01BC6379"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实际完成情况</w:t>
            </w:r>
          </w:p>
        </w:tc>
      </w:tr>
      <w:tr w:rsidR="003E7E7C" w14:paraId="0FEEA16E" w14:textId="77777777">
        <w:trPr>
          <w:trHeight w:val="396"/>
        </w:trPr>
        <w:tc>
          <w:tcPr>
            <w:tcW w:w="429" w:type="pct"/>
            <w:vMerge/>
            <w:tcBorders>
              <w:top w:val="single" w:sz="4" w:space="0" w:color="000000"/>
              <w:left w:val="single" w:sz="4" w:space="0" w:color="000000"/>
              <w:bottom w:val="single" w:sz="4" w:space="0" w:color="000000"/>
              <w:right w:val="single" w:sz="4" w:space="0" w:color="000000"/>
            </w:tcBorders>
            <w:vAlign w:val="center"/>
          </w:tcPr>
          <w:p w14:paraId="56AD9E7B" w14:textId="77777777" w:rsidR="003E7E7C" w:rsidRDefault="003E7E7C">
            <w:pPr>
              <w:jc w:val="center"/>
              <w:rPr>
                <w:rFonts w:ascii="宋体" w:eastAsia="宋体" w:hAnsi="宋体" w:cs="宋体" w:hint="default"/>
                <w:color w:val="000000"/>
                <w:sz w:val="18"/>
                <w:szCs w:val="18"/>
              </w:rPr>
            </w:pPr>
          </w:p>
        </w:tc>
        <w:tc>
          <w:tcPr>
            <w:tcW w:w="2382" w:type="pct"/>
            <w:gridSpan w:val="6"/>
            <w:tcBorders>
              <w:top w:val="single" w:sz="4" w:space="0" w:color="000000"/>
              <w:left w:val="single" w:sz="4" w:space="0" w:color="000000"/>
              <w:bottom w:val="single" w:sz="4" w:space="0" w:color="000000"/>
              <w:right w:val="single" w:sz="4" w:space="0" w:color="000000"/>
            </w:tcBorders>
            <w:vAlign w:val="center"/>
          </w:tcPr>
          <w:p w14:paraId="5DA5C646" w14:textId="77777777" w:rsidR="003E7E7C"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本项目内容为：支持一家民贸民品企业，完成三次监督检查，贴息资金管理力度明显提升，贴息资金合理使用。缓解企业资金压力，使企业健康发展，造福社会。促进企业创收。</w:t>
            </w:r>
          </w:p>
        </w:tc>
        <w:tc>
          <w:tcPr>
            <w:tcW w:w="2187" w:type="pct"/>
            <w:gridSpan w:val="7"/>
            <w:tcBorders>
              <w:top w:val="single" w:sz="4" w:space="0" w:color="000000"/>
              <w:left w:val="single" w:sz="4" w:space="0" w:color="000000"/>
              <w:bottom w:val="single" w:sz="4" w:space="0" w:color="000000"/>
              <w:right w:val="single" w:sz="4" w:space="0" w:color="000000"/>
            </w:tcBorders>
            <w:vAlign w:val="center"/>
          </w:tcPr>
          <w:p w14:paraId="3BB4535B" w14:textId="77777777" w:rsidR="003E7E7C"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2022年民贸民品贴息金额为500万元，按时拨付于新疆五江兴华实业有限公司民贸民品贷款贴息500万元，完成资金按时拨付，贴息资金合理使用。</w:t>
            </w:r>
          </w:p>
        </w:tc>
      </w:tr>
      <w:tr w:rsidR="003E7E7C" w14:paraId="18095D0C" w14:textId="77777777">
        <w:trPr>
          <w:trHeight w:val="396"/>
        </w:trPr>
        <w:tc>
          <w:tcPr>
            <w:tcW w:w="429" w:type="pct"/>
            <w:vMerge w:val="restart"/>
            <w:tcBorders>
              <w:top w:val="single" w:sz="4" w:space="0" w:color="000000"/>
              <w:left w:val="single" w:sz="4" w:space="0" w:color="000000"/>
              <w:bottom w:val="single" w:sz="4" w:space="0" w:color="000000"/>
              <w:right w:val="single" w:sz="4" w:space="0" w:color="000000"/>
            </w:tcBorders>
            <w:vAlign w:val="center"/>
          </w:tcPr>
          <w:p w14:paraId="50B3A47E" w14:textId="77777777" w:rsidR="003E7E7C" w:rsidRDefault="003E7E7C">
            <w:pPr>
              <w:jc w:val="center"/>
              <w:rPr>
                <w:rFonts w:ascii="宋体" w:eastAsia="宋体" w:hAnsi="宋体" w:cs="宋体" w:hint="default"/>
                <w:color w:val="000000"/>
                <w:sz w:val="18"/>
                <w:szCs w:val="18"/>
              </w:rPr>
            </w:pPr>
          </w:p>
        </w:tc>
        <w:tc>
          <w:tcPr>
            <w:tcW w:w="434" w:type="pct"/>
            <w:vMerge w:val="restart"/>
            <w:tcBorders>
              <w:top w:val="single" w:sz="4" w:space="0" w:color="000000"/>
              <w:left w:val="single" w:sz="4" w:space="0" w:color="000000"/>
              <w:bottom w:val="single" w:sz="4" w:space="0" w:color="000000"/>
              <w:right w:val="single" w:sz="4" w:space="0" w:color="000000"/>
            </w:tcBorders>
            <w:vAlign w:val="center"/>
          </w:tcPr>
          <w:p w14:paraId="16BA6412"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一级指标</w:t>
            </w:r>
          </w:p>
        </w:tc>
        <w:tc>
          <w:tcPr>
            <w:tcW w:w="430" w:type="pct"/>
            <w:vMerge w:val="restart"/>
            <w:tcBorders>
              <w:top w:val="single" w:sz="4" w:space="0" w:color="000000"/>
              <w:left w:val="single" w:sz="4" w:space="0" w:color="000000"/>
              <w:bottom w:val="single" w:sz="4" w:space="0" w:color="000000"/>
              <w:right w:val="single" w:sz="4" w:space="0" w:color="000000"/>
            </w:tcBorders>
            <w:vAlign w:val="center"/>
          </w:tcPr>
          <w:p w14:paraId="079DC868"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二级指标</w:t>
            </w:r>
          </w:p>
        </w:tc>
        <w:tc>
          <w:tcPr>
            <w:tcW w:w="1138" w:type="pct"/>
            <w:gridSpan w:val="3"/>
            <w:vMerge w:val="restart"/>
            <w:tcBorders>
              <w:top w:val="single" w:sz="4" w:space="0" w:color="000000"/>
              <w:left w:val="single" w:sz="4" w:space="0" w:color="000000"/>
              <w:bottom w:val="single" w:sz="4" w:space="0" w:color="000000"/>
              <w:right w:val="single" w:sz="4" w:space="0" w:color="000000"/>
            </w:tcBorders>
            <w:vAlign w:val="center"/>
          </w:tcPr>
          <w:p w14:paraId="4B1DE44B"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三级指标</w:t>
            </w:r>
          </w:p>
        </w:tc>
        <w:tc>
          <w:tcPr>
            <w:tcW w:w="379" w:type="pct"/>
            <w:vMerge w:val="restart"/>
            <w:tcBorders>
              <w:top w:val="single" w:sz="4" w:space="0" w:color="000000"/>
              <w:left w:val="single" w:sz="4" w:space="0" w:color="000000"/>
              <w:bottom w:val="single" w:sz="4" w:space="0" w:color="000000"/>
              <w:right w:val="single" w:sz="4" w:space="0" w:color="000000"/>
            </w:tcBorders>
            <w:vAlign w:val="center"/>
          </w:tcPr>
          <w:p w14:paraId="54CBF905"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年度指标值</w:t>
            </w:r>
          </w:p>
        </w:tc>
        <w:tc>
          <w:tcPr>
            <w:tcW w:w="453" w:type="pct"/>
            <w:vMerge w:val="restart"/>
            <w:tcBorders>
              <w:top w:val="single" w:sz="4" w:space="0" w:color="000000"/>
              <w:left w:val="single" w:sz="4" w:space="0" w:color="000000"/>
              <w:bottom w:val="single" w:sz="4" w:space="0" w:color="000000"/>
              <w:right w:val="single" w:sz="4" w:space="0" w:color="000000"/>
            </w:tcBorders>
            <w:vAlign w:val="center"/>
          </w:tcPr>
          <w:p w14:paraId="301D249C"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实际完成值</w:t>
            </w:r>
          </w:p>
        </w:tc>
        <w:tc>
          <w:tcPr>
            <w:tcW w:w="429" w:type="pct"/>
            <w:gridSpan w:val="2"/>
            <w:vMerge w:val="restart"/>
            <w:tcBorders>
              <w:top w:val="single" w:sz="4" w:space="0" w:color="000000"/>
              <w:left w:val="single" w:sz="4" w:space="0" w:color="000000"/>
              <w:bottom w:val="single" w:sz="4" w:space="0" w:color="000000"/>
              <w:right w:val="single" w:sz="4" w:space="0" w:color="000000"/>
            </w:tcBorders>
            <w:vAlign w:val="center"/>
          </w:tcPr>
          <w:p w14:paraId="69124ECF"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分值</w:t>
            </w:r>
          </w:p>
        </w:tc>
        <w:tc>
          <w:tcPr>
            <w:tcW w:w="591" w:type="pct"/>
            <w:gridSpan w:val="2"/>
            <w:vMerge w:val="restart"/>
            <w:tcBorders>
              <w:top w:val="single" w:sz="4" w:space="0" w:color="000000"/>
              <w:left w:val="single" w:sz="4" w:space="0" w:color="000000"/>
              <w:bottom w:val="single" w:sz="4" w:space="0" w:color="000000"/>
              <w:right w:val="single" w:sz="4" w:space="0" w:color="000000"/>
            </w:tcBorders>
            <w:vAlign w:val="center"/>
          </w:tcPr>
          <w:p w14:paraId="7E6648BE"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得分</w:t>
            </w:r>
          </w:p>
        </w:tc>
        <w:tc>
          <w:tcPr>
            <w:tcW w:w="713" w:type="pct"/>
            <w:gridSpan w:val="2"/>
            <w:vMerge w:val="restart"/>
            <w:tcBorders>
              <w:top w:val="single" w:sz="4" w:space="0" w:color="000000"/>
              <w:left w:val="single" w:sz="4" w:space="0" w:color="000000"/>
              <w:bottom w:val="single" w:sz="4" w:space="0" w:color="000000"/>
              <w:right w:val="single" w:sz="4" w:space="0" w:color="000000"/>
            </w:tcBorders>
            <w:vAlign w:val="center"/>
          </w:tcPr>
          <w:p w14:paraId="3501904B"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偏差原因分析及改进措施</w:t>
            </w:r>
          </w:p>
        </w:tc>
      </w:tr>
      <w:tr w:rsidR="003E7E7C" w14:paraId="57F3E0AF" w14:textId="77777777">
        <w:trPr>
          <w:trHeight w:val="396"/>
        </w:trPr>
        <w:tc>
          <w:tcPr>
            <w:tcW w:w="429" w:type="pct"/>
            <w:vMerge/>
            <w:tcBorders>
              <w:top w:val="single" w:sz="4" w:space="0" w:color="000000"/>
              <w:left w:val="single" w:sz="4" w:space="0" w:color="000000"/>
              <w:bottom w:val="single" w:sz="4" w:space="0" w:color="000000"/>
              <w:right w:val="single" w:sz="4" w:space="0" w:color="000000"/>
            </w:tcBorders>
            <w:vAlign w:val="center"/>
          </w:tcPr>
          <w:p w14:paraId="3A4359FF" w14:textId="77777777" w:rsidR="003E7E7C" w:rsidRDefault="003E7E7C">
            <w:pPr>
              <w:jc w:val="center"/>
              <w:rPr>
                <w:rFonts w:ascii="宋体" w:eastAsia="宋体" w:hAnsi="宋体" w:cs="宋体" w:hint="default"/>
                <w:color w:val="000000"/>
                <w:sz w:val="18"/>
                <w:szCs w:val="18"/>
              </w:rPr>
            </w:pPr>
          </w:p>
        </w:tc>
        <w:tc>
          <w:tcPr>
            <w:tcW w:w="434" w:type="pct"/>
            <w:vMerge/>
            <w:tcBorders>
              <w:top w:val="single" w:sz="4" w:space="0" w:color="000000"/>
              <w:left w:val="single" w:sz="4" w:space="0" w:color="000000"/>
              <w:bottom w:val="single" w:sz="4" w:space="0" w:color="000000"/>
              <w:right w:val="single" w:sz="4" w:space="0" w:color="000000"/>
            </w:tcBorders>
            <w:vAlign w:val="center"/>
          </w:tcPr>
          <w:p w14:paraId="44E04DCC" w14:textId="77777777" w:rsidR="003E7E7C" w:rsidRDefault="003E7E7C">
            <w:pPr>
              <w:jc w:val="center"/>
              <w:rPr>
                <w:rFonts w:ascii="宋体" w:eastAsia="宋体" w:hAnsi="宋体" w:cs="宋体" w:hint="default"/>
                <w:color w:val="000000"/>
                <w:sz w:val="18"/>
                <w:szCs w:val="18"/>
              </w:rPr>
            </w:pPr>
          </w:p>
        </w:tc>
        <w:tc>
          <w:tcPr>
            <w:tcW w:w="430" w:type="pct"/>
            <w:vMerge/>
            <w:tcBorders>
              <w:top w:val="single" w:sz="4" w:space="0" w:color="000000"/>
              <w:left w:val="single" w:sz="4" w:space="0" w:color="000000"/>
              <w:bottom w:val="single" w:sz="4" w:space="0" w:color="000000"/>
              <w:right w:val="single" w:sz="4" w:space="0" w:color="000000"/>
            </w:tcBorders>
            <w:vAlign w:val="center"/>
          </w:tcPr>
          <w:p w14:paraId="6C1573DB" w14:textId="77777777" w:rsidR="003E7E7C" w:rsidRDefault="003E7E7C">
            <w:pPr>
              <w:jc w:val="center"/>
              <w:rPr>
                <w:rFonts w:ascii="宋体" w:eastAsia="宋体" w:hAnsi="宋体" w:cs="宋体" w:hint="default"/>
                <w:color w:val="000000"/>
                <w:sz w:val="18"/>
                <w:szCs w:val="18"/>
              </w:rPr>
            </w:pPr>
          </w:p>
        </w:tc>
        <w:tc>
          <w:tcPr>
            <w:tcW w:w="1138" w:type="pct"/>
            <w:gridSpan w:val="3"/>
            <w:vMerge/>
            <w:tcBorders>
              <w:top w:val="single" w:sz="4" w:space="0" w:color="000000"/>
              <w:left w:val="single" w:sz="4" w:space="0" w:color="000000"/>
              <w:bottom w:val="single" w:sz="4" w:space="0" w:color="000000"/>
              <w:right w:val="single" w:sz="4" w:space="0" w:color="000000"/>
            </w:tcBorders>
            <w:vAlign w:val="center"/>
          </w:tcPr>
          <w:p w14:paraId="0E0A9637" w14:textId="77777777" w:rsidR="003E7E7C" w:rsidRDefault="003E7E7C">
            <w:pPr>
              <w:jc w:val="center"/>
              <w:rPr>
                <w:rFonts w:ascii="宋体" w:eastAsia="宋体" w:hAnsi="宋体" w:cs="宋体" w:hint="default"/>
                <w:color w:val="000000"/>
                <w:sz w:val="18"/>
                <w:szCs w:val="18"/>
              </w:rPr>
            </w:pPr>
          </w:p>
        </w:tc>
        <w:tc>
          <w:tcPr>
            <w:tcW w:w="379" w:type="pct"/>
            <w:vMerge/>
            <w:tcBorders>
              <w:top w:val="single" w:sz="4" w:space="0" w:color="000000"/>
              <w:left w:val="single" w:sz="4" w:space="0" w:color="000000"/>
              <w:bottom w:val="single" w:sz="4" w:space="0" w:color="000000"/>
              <w:right w:val="single" w:sz="4" w:space="0" w:color="000000"/>
            </w:tcBorders>
            <w:vAlign w:val="center"/>
          </w:tcPr>
          <w:p w14:paraId="473186FC" w14:textId="77777777" w:rsidR="003E7E7C" w:rsidRDefault="003E7E7C">
            <w:pPr>
              <w:jc w:val="center"/>
              <w:rPr>
                <w:rFonts w:ascii="宋体" w:eastAsia="宋体" w:hAnsi="宋体" w:cs="宋体" w:hint="default"/>
                <w:color w:val="000000"/>
                <w:sz w:val="18"/>
                <w:szCs w:val="18"/>
              </w:rPr>
            </w:pPr>
          </w:p>
        </w:tc>
        <w:tc>
          <w:tcPr>
            <w:tcW w:w="453" w:type="pct"/>
            <w:vMerge/>
            <w:tcBorders>
              <w:top w:val="single" w:sz="4" w:space="0" w:color="000000"/>
              <w:left w:val="single" w:sz="4" w:space="0" w:color="000000"/>
              <w:bottom w:val="single" w:sz="4" w:space="0" w:color="000000"/>
              <w:right w:val="single" w:sz="4" w:space="0" w:color="000000"/>
            </w:tcBorders>
            <w:vAlign w:val="center"/>
          </w:tcPr>
          <w:p w14:paraId="52144491" w14:textId="77777777" w:rsidR="003E7E7C" w:rsidRDefault="003E7E7C">
            <w:pPr>
              <w:jc w:val="center"/>
              <w:rPr>
                <w:rFonts w:ascii="宋体" w:eastAsia="宋体" w:hAnsi="宋体" w:cs="宋体" w:hint="default"/>
                <w:color w:val="000000"/>
                <w:sz w:val="18"/>
                <w:szCs w:val="18"/>
              </w:rPr>
            </w:pPr>
          </w:p>
        </w:tc>
        <w:tc>
          <w:tcPr>
            <w:tcW w:w="429" w:type="pct"/>
            <w:gridSpan w:val="2"/>
            <w:vMerge/>
            <w:tcBorders>
              <w:top w:val="single" w:sz="4" w:space="0" w:color="000000"/>
              <w:left w:val="single" w:sz="4" w:space="0" w:color="000000"/>
              <w:bottom w:val="single" w:sz="4" w:space="0" w:color="000000"/>
              <w:right w:val="single" w:sz="4" w:space="0" w:color="000000"/>
            </w:tcBorders>
            <w:vAlign w:val="center"/>
          </w:tcPr>
          <w:p w14:paraId="6E975267" w14:textId="77777777" w:rsidR="003E7E7C" w:rsidRDefault="003E7E7C">
            <w:pPr>
              <w:jc w:val="center"/>
              <w:rPr>
                <w:rFonts w:ascii="宋体" w:eastAsia="宋体" w:hAnsi="宋体" w:cs="宋体" w:hint="default"/>
                <w:color w:val="000000"/>
                <w:sz w:val="18"/>
                <w:szCs w:val="18"/>
              </w:rPr>
            </w:pPr>
          </w:p>
        </w:tc>
        <w:tc>
          <w:tcPr>
            <w:tcW w:w="591" w:type="pct"/>
            <w:gridSpan w:val="2"/>
            <w:vMerge/>
            <w:tcBorders>
              <w:top w:val="single" w:sz="4" w:space="0" w:color="000000"/>
              <w:left w:val="single" w:sz="4" w:space="0" w:color="000000"/>
              <w:bottom w:val="single" w:sz="4" w:space="0" w:color="000000"/>
              <w:right w:val="single" w:sz="4" w:space="0" w:color="000000"/>
            </w:tcBorders>
            <w:vAlign w:val="center"/>
          </w:tcPr>
          <w:p w14:paraId="3E41308E" w14:textId="77777777" w:rsidR="003E7E7C" w:rsidRDefault="003E7E7C">
            <w:pPr>
              <w:jc w:val="center"/>
              <w:rPr>
                <w:rFonts w:ascii="宋体" w:eastAsia="宋体" w:hAnsi="宋体" w:cs="宋体" w:hint="default"/>
                <w:color w:val="000000"/>
                <w:sz w:val="18"/>
                <w:szCs w:val="18"/>
              </w:rPr>
            </w:pPr>
          </w:p>
        </w:tc>
        <w:tc>
          <w:tcPr>
            <w:tcW w:w="713" w:type="pct"/>
            <w:gridSpan w:val="2"/>
            <w:vMerge/>
            <w:tcBorders>
              <w:top w:val="single" w:sz="4" w:space="0" w:color="000000"/>
              <w:left w:val="single" w:sz="4" w:space="0" w:color="000000"/>
              <w:bottom w:val="single" w:sz="4" w:space="0" w:color="000000"/>
              <w:right w:val="single" w:sz="4" w:space="0" w:color="000000"/>
            </w:tcBorders>
            <w:vAlign w:val="center"/>
          </w:tcPr>
          <w:p w14:paraId="65F08A3B" w14:textId="77777777" w:rsidR="003E7E7C" w:rsidRDefault="003E7E7C">
            <w:pPr>
              <w:jc w:val="center"/>
              <w:rPr>
                <w:rFonts w:ascii="宋体" w:eastAsia="宋体" w:hAnsi="宋体" w:cs="宋体" w:hint="default"/>
                <w:color w:val="000000"/>
                <w:sz w:val="18"/>
                <w:szCs w:val="18"/>
              </w:rPr>
            </w:pPr>
          </w:p>
        </w:tc>
      </w:tr>
      <w:tr w:rsidR="003E7E7C" w14:paraId="74D6B0B4" w14:textId="77777777">
        <w:trPr>
          <w:trHeight w:val="396"/>
        </w:trPr>
        <w:tc>
          <w:tcPr>
            <w:tcW w:w="429" w:type="pct"/>
            <w:vMerge w:val="restart"/>
            <w:tcBorders>
              <w:top w:val="single" w:sz="4" w:space="0" w:color="000000"/>
              <w:left w:val="single" w:sz="4" w:space="0" w:color="000000"/>
              <w:bottom w:val="single" w:sz="4" w:space="0" w:color="000000"/>
              <w:right w:val="single" w:sz="4" w:space="0" w:color="000000"/>
            </w:tcBorders>
            <w:vAlign w:val="center"/>
          </w:tcPr>
          <w:p w14:paraId="41FF7EF4"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年度绩效指标完成情况</w:t>
            </w:r>
          </w:p>
        </w:tc>
        <w:tc>
          <w:tcPr>
            <w:tcW w:w="434" w:type="pct"/>
            <w:vMerge w:val="restart"/>
            <w:tcBorders>
              <w:top w:val="single" w:sz="4" w:space="0" w:color="000000"/>
              <w:left w:val="single" w:sz="4" w:space="0" w:color="000000"/>
              <w:bottom w:val="single" w:sz="4" w:space="0" w:color="000000"/>
              <w:right w:val="single" w:sz="4" w:space="0" w:color="000000"/>
            </w:tcBorders>
            <w:vAlign w:val="center"/>
          </w:tcPr>
          <w:p w14:paraId="01B62745"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产出指标</w:t>
            </w:r>
          </w:p>
        </w:tc>
        <w:tc>
          <w:tcPr>
            <w:tcW w:w="430" w:type="pct"/>
            <w:tcBorders>
              <w:top w:val="single" w:sz="4" w:space="0" w:color="000000"/>
              <w:left w:val="single" w:sz="4" w:space="0" w:color="000000"/>
              <w:bottom w:val="single" w:sz="4" w:space="0" w:color="000000"/>
              <w:right w:val="single" w:sz="4" w:space="0" w:color="000000"/>
            </w:tcBorders>
            <w:vAlign w:val="center"/>
          </w:tcPr>
          <w:p w14:paraId="440D2043"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数量指标</w:t>
            </w:r>
          </w:p>
        </w:tc>
        <w:tc>
          <w:tcPr>
            <w:tcW w:w="1138" w:type="pct"/>
            <w:gridSpan w:val="3"/>
            <w:tcBorders>
              <w:top w:val="single" w:sz="4" w:space="0" w:color="000000"/>
              <w:left w:val="single" w:sz="4" w:space="0" w:color="000000"/>
              <w:bottom w:val="single" w:sz="4" w:space="0" w:color="000000"/>
              <w:right w:val="single" w:sz="4" w:space="0" w:color="000000"/>
            </w:tcBorders>
            <w:noWrap/>
            <w:vAlign w:val="center"/>
          </w:tcPr>
          <w:p w14:paraId="469B8BE6" w14:textId="77777777" w:rsidR="003E7E7C"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支持民贸民品企业数量</w:t>
            </w:r>
          </w:p>
        </w:tc>
        <w:tc>
          <w:tcPr>
            <w:tcW w:w="379" w:type="pct"/>
            <w:tcBorders>
              <w:top w:val="single" w:sz="4" w:space="0" w:color="000000"/>
              <w:left w:val="single" w:sz="4" w:space="0" w:color="000000"/>
              <w:bottom w:val="single" w:sz="4" w:space="0" w:color="000000"/>
              <w:right w:val="single" w:sz="4" w:space="0" w:color="000000"/>
            </w:tcBorders>
            <w:vAlign w:val="center"/>
          </w:tcPr>
          <w:p w14:paraId="5852D410"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=1个</w:t>
            </w:r>
          </w:p>
        </w:tc>
        <w:tc>
          <w:tcPr>
            <w:tcW w:w="453" w:type="pct"/>
            <w:tcBorders>
              <w:top w:val="single" w:sz="4" w:space="0" w:color="000000"/>
              <w:left w:val="single" w:sz="4" w:space="0" w:color="000000"/>
              <w:bottom w:val="single" w:sz="4" w:space="0" w:color="000000"/>
              <w:right w:val="single" w:sz="4" w:space="0" w:color="000000"/>
            </w:tcBorders>
            <w:vAlign w:val="center"/>
          </w:tcPr>
          <w:p w14:paraId="7C9E5E06"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1个</w:t>
            </w:r>
          </w:p>
        </w:tc>
        <w:tc>
          <w:tcPr>
            <w:tcW w:w="429" w:type="pct"/>
            <w:gridSpan w:val="2"/>
            <w:tcBorders>
              <w:top w:val="single" w:sz="4" w:space="0" w:color="000000"/>
              <w:left w:val="single" w:sz="4" w:space="0" w:color="000000"/>
              <w:bottom w:val="single" w:sz="4" w:space="0" w:color="000000"/>
              <w:right w:val="single" w:sz="4" w:space="0" w:color="000000"/>
            </w:tcBorders>
            <w:vAlign w:val="center"/>
          </w:tcPr>
          <w:p w14:paraId="628A01D1"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91" w:type="pct"/>
            <w:gridSpan w:val="2"/>
            <w:tcBorders>
              <w:top w:val="single" w:sz="4" w:space="0" w:color="000000"/>
              <w:left w:val="single" w:sz="4" w:space="0" w:color="000000"/>
              <w:bottom w:val="single" w:sz="4" w:space="0" w:color="000000"/>
              <w:right w:val="single" w:sz="4" w:space="0" w:color="000000"/>
            </w:tcBorders>
            <w:vAlign w:val="center"/>
          </w:tcPr>
          <w:p w14:paraId="63748FA8"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713" w:type="pct"/>
            <w:gridSpan w:val="2"/>
            <w:tcBorders>
              <w:top w:val="single" w:sz="4" w:space="0" w:color="000000"/>
              <w:left w:val="single" w:sz="4" w:space="0" w:color="000000"/>
              <w:bottom w:val="single" w:sz="4" w:space="0" w:color="000000"/>
              <w:right w:val="single" w:sz="4" w:space="0" w:color="000000"/>
            </w:tcBorders>
            <w:vAlign w:val="center"/>
          </w:tcPr>
          <w:p w14:paraId="09B80CFB" w14:textId="77777777" w:rsidR="003E7E7C" w:rsidRDefault="003E7E7C">
            <w:pPr>
              <w:jc w:val="left"/>
              <w:rPr>
                <w:rFonts w:ascii="宋体" w:eastAsia="宋体" w:hAnsi="宋体" w:cs="宋体" w:hint="default"/>
                <w:color w:val="000000"/>
                <w:sz w:val="18"/>
                <w:szCs w:val="18"/>
              </w:rPr>
            </w:pPr>
          </w:p>
        </w:tc>
      </w:tr>
      <w:tr w:rsidR="003E7E7C" w14:paraId="6CE89A81" w14:textId="77777777">
        <w:trPr>
          <w:trHeight w:val="396"/>
        </w:trPr>
        <w:tc>
          <w:tcPr>
            <w:tcW w:w="429" w:type="pct"/>
            <w:vMerge/>
            <w:tcBorders>
              <w:top w:val="single" w:sz="4" w:space="0" w:color="000000"/>
              <w:left w:val="single" w:sz="4" w:space="0" w:color="000000"/>
              <w:bottom w:val="single" w:sz="4" w:space="0" w:color="000000"/>
              <w:right w:val="single" w:sz="4" w:space="0" w:color="000000"/>
            </w:tcBorders>
            <w:vAlign w:val="center"/>
          </w:tcPr>
          <w:p w14:paraId="6B45DA15" w14:textId="77777777" w:rsidR="003E7E7C" w:rsidRDefault="003E7E7C">
            <w:pPr>
              <w:jc w:val="center"/>
              <w:rPr>
                <w:rFonts w:ascii="宋体" w:eastAsia="宋体" w:hAnsi="宋体" w:cs="宋体" w:hint="default"/>
                <w:color w:val="000000"/>
                <w:sz w:val="18"/>
                <w:szCs w:val="18"/>
              </w:rPr>
            </w:pPr>
          </w:p>
        </w:tc>
        <w:tc>
          <w:tcPr>
            <w:tcW w:w="434" w:type="pct"/>
            <w:vMerge/>
            <w:tcBorders>
              <w:top w:val="single" w:sz="4" w:space="0" w:color="000000"/>
              <w:left w:val="single" w:sz="4" w:space="0" w:color="000000"/>
              <w:bottom w:val="single" w:sz="4" w:space="0" w:color="000000"/>
              <w:right w:val="single" w:sz="4" w:space="0" w:color="000000"/>
            </w:tcBorders>
            <w:vAlign w:val="center"/>
          </w:tcPr>
          <w:p w14:paraId="71CC38A9" w14:textId="77777777" w:rsidR="003E7E7C" w:rsidRDefault="003E7E7C">
            <w:pPr>
              <w:jc w:val="center"/>
              <w:rPr>
                <w:rFonts w:ascii="宋体" w:eastAsia="宋体" w:hAnsi="宋体" w:cs="宋体" w:hint="default"/>
                <w:color w:val="000000"/>
                <w:sz w:val="18"/>
                <w:szCs w:val="18"/>
              </w:rPr>
            </w:pPr>
          </w:p>
        </w:tc>
        <w:tc>
          <w:tcPr>
            <w:tcW w:w="430" w:type="pct"/>
            <w:tcBorders>
              <w:top w:val="single" w:sz="4" w:space="0" w:color="000000"/>
              <w:left w:val="single" w:sz="4" w:space="0" w:color="000000"/>
              <w:bottom w:val="single" w:sz="4" w:space="0" w:color="000000"/>
              <w:right w:val="single" w:sz="4" w:space="0" w:color="000000"/>
            </w:tcBorders>
            <w:vAlign w:val="center"/>
          </w:tcPr>
          <w:p w14:paraId="42A68DED"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数量指标</w:t>
            </w:r>
          </w:p>
        </w:tc>
        <w:tc>
          <w:tcPr>
            <w:tcW w:w="1138" w:type="pct"/>
            <w:gridSpan w:val="3"/>
            <w:tcBorders>
              <w:top w:val="single" w:sz="4" w:space="0" w:color="000000"/>
              <w:left w:val="single" w:sz="4" w:space="0" w:color="000000"/>
              <w:bottom w:val="single" w:sz="4" w:space="0" w:color="000000"/>
              <w:right w:val="single" w:sz="4" w:space="0" w:color="000000"/>
            </w:tcBorders>
            <w:noWrap/>
            <w:vAlign w:val="center"/>
          </w:tcPr>
          <w:p w14:paraId="0A9F918C" w14:textId="77777777" w:rsidR="003E7E7C"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各地县市监督检查次数</w:t>
            </w:r>
          </w:p>
        </w:tc>
        <w:tc>
          <w:tcPr>
            <w:tcW w:w="379" w:type="pct"/>
            <w:tcBorders>
              <w:top w:val="single" w:sz="4" w:space="0" w:color="000000"/>
              <w:left w:val="single" w:sz="4" w:space="0" w:color="000000"/>
              <w:bottom w:val="single" w:sz="4" w:space="0" w:color="000000"/>
              <w:right w:val="single" w:sz="4" w:space="0" w:color="000000"/>
            </w:tcBorders>
            <w:vAlign w:val="center"/>
          </w:tcPr>
          <w:p w14:paraId="269F502C"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&gt;=3次</w:t>
            </w:r>
          </w:p>
        </w:tc>
        <w:tc>
          <w:tcPr>
            <w:tcW w:w="453" w:type="pct"/>
            <w:tcBorders>
              <w:top w:val="single" w:sz="4" w:space="0" w:color="000000"/>
              <w:left w:val="single" w:sz="4" w:space="0" w:color="000000"/>
              <w:bottom w:val="single" w:sz="4" w:space="0" w:color="000000"/>
              <w:right w:val="single" w:sz="4" w:space="0" w:color="000000"/>
            </w:tcBorders>
            <w:vAlign w:val="center"/>
          </w:tcPr>
          <w:p w14:paraId="48D3772F"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1次</w:t>
            </w:r>
          </w:p>
        </w:tc>
        <w:tc>
          <w:tcPr>
            <w:tcW w:w="429" w:type="pct"/>
            <w:gridSpan w:val="2"/>
            <w:tcBorders>
              <w:top w:val="single" w:sz="4" w:space="0" w:color="000000"/>
              <w:left w:val="single" w:sz="4" w:space="0" w:color="000000"/>
              <w:bottom w:val="single" w:sz="4" w:space="0" w:color="000000"/>
              <w:right w:val="single" w:sz="4" w:space="0" w:color="000000"/>
            </w:tcBorders>
            <w:vAlign w:val="center"/>
          </w:tcPr>
          <w:p w14:paraId="73901FB0"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91" w:type="pct"/>
            <w:gridSpan w:val="2"/>
            <w:tcBorders>
              <w:top w:val="single" w:sz="4" w:space="0" w:color="000000"/>
              <w:left w:val="single" w:sz="4" w:space="0" w:color="000000"/>
              <w:bottom w:val="single" w:sz="4" w:space="0" w:color="000000"/>
              <w:right w:val="single" w:sz="4" w:space="0" w:color="000000"/>
            </w:tcBorders>
            <w:vAlign w:val="center"/>
          </w:tcPr>
          <w:p w14:paraId="7B1C8610"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3.3</w:t>
            </w:r>
          </w:p>
        </w:tc>
        <w:tc>
          <w:tcPr>
            <w:tcW w:w="713" w:type="pct"/>
            <w:gridSpan w:val="2"/>
            <w:tcBorders>
              <w:top w:val="single" w:sz="4" w:space="0" w:color="000000"/>
              <w:left w:val="single" w:sz="4" w:space="0" w:color="000000"/>
              <w:bottom w:val="single" w:sz="4" w:space="0" w:color="000000"/>
              <w:right w:val="single" w:sz="4" w:space="0" w:color="000000"/>
            </w:tcBorders>
            <w:vAlign w:val="center"/>
          </w:tcPr>
          <w:p w14:paraId="10502002" w14:textId="77777777" w:rsidR="003E7E7C"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疫情影响，未完成指标。</w:t>
            </w:r>
          </w:p>
        </w:tc>
      </w:tr>
      <w:tr w:rsidR="003E7E7C" w14:paraId="0D068F3A" w14:textId="77777777">
        <w:trPr>
          <w:trHeight w:val="396"/>
        </w:trPr>
        <w:tc>
          <w:tcPr>
            <w:tcW w:w="429" w:type="pct"/>
            <w:vMerge/>
            <w:tcBorders>
              <w:top w:val="single" w:sz="4" w:space="0" w:color="000000"/>
              <w:left w:val="single" w:sz="4" w:space="0" w:color="000000"/>
              <w:bottom w:val="single" w:sz="4" w:space="0" w:color="000000"/>
              <w:right w:val="single" w:sz="4" w:space="0" w:color="000000"/>
            </w:tcBorders>
            <w:vAlign w:val="center"/>
          </w:tcPr>
          <w:p w14:paraId="327C4664" w14:textId="77777777" w:rsidR="003E7E7C" w:rsidRDefault="003E7E7C">
            <w:pPr>
              <w:jc w:val="center"/>
              <w:rPr>
                <w:rFonts w:ascii="宋体" w:eastAsia="宋体" w:hAnsi="宋体" w:cs="宋体" w:hint="default"/>
                <w:color w:val="000000"/>
                <w:sz w:val="18"/>
                <w:szCs w:val="18"/>
              </w:rPr>
            </w:pPr>
          </w:p>
        </w:tc>
        <w:tc>
          <w:tcPr>
            <w:tcW w:w="434" w:type="pct"/>
            <w:vMerge/>
            <w:tcBorders>
              <w:top w:val="single" w:sz="4" w:space="0" w:color="000000"/>
              <w:left w:val="single" w:sz="4" w:space="0" w:color="000000"/>
              <w:bottom w:val="single" w:sz="4" w:space="0" w:color="000000"/>
              <w:right w:val="single" w:sz="4" w:space="0" w:color="000000"/>
            </w:tcBorders>
            <w:vAlign w:val="center"/>
          </w:tcPr>
          <w:p w14:paraId="64A54A29" w14:textId="77777777" w:rsidR="003E7E7C" w:rsidRDefault="003E7E7C">
            <w:pPr>
              <w:jc w:val="center"/>
              <w:rPr>
                <w:rFonts w:ascii="宋体" w:eastAsia="宋体" w:hAnsi="宋体" w:cs="宋体" w:hint="default"/>
                <w:color w:val="000000"/>
                <w:sz w:val="18"/>
                <w:szCs w:val="18"/>
              </w:rPr>
            </w:pPr>
          </w:p>
        </w:tc>
        <w:tc>
          <w:tcPr>
            <w:tcW w:w="430" w:type="pct"/>
            <w:tcBorders>
              <w:top w:val="single" w:sz="4" w:space="0" w:color="000000"/>
              <w:left w:val="single" w:sz="4" w:space="0" w:color="000000"/>
              <w:bottom w:val="single" w:sz="4" w:space="0" w:color="000000"/>
              <w:right w:val="single" w:sz="4" w:space="0" w:color="000000"/>
            </w:tcBorders>
            <w:vAlign w:val="center"/>
          </w:tcPr>
          <w:p w14:paraId="341AECF3"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质量指标</w:t>
            </w:r>
          </w:p>
        </w:tc>
        <w:tc>
          <w:tcPr>
            <w:tcW w:w="1138" w:type="pct"/>
            <w:gridSpan w:val="3"/>
            <w:tcBorders>
              <w:top w:val="single" w:sz="4" w:space="0" w:color="000000"/>
              <w:left w:val="single" w:sz="4" w:space="0" w:color="000000"/>
              <w:bottom w:val="single" w:sz="4" w:space="0" w:color="000000"/>
              <w:right w:val="single" w:sz="4" w:space="0" w:color="000000"/>
            </w:tcBorders>
            <w:noWrap/>
            <w:vAlign w:val="center"/>
          </w:tcPr>
          <w:p w14:paraId="0800E8E4" w14:textId="77777777" w:rsidR="003E7E7C"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资金使用合</w:t>
            </w:r>
            <w:proofErr w:type="gramStart"/>
            <w:r>
              <w:rPr>
                <w:rFonts w:ascii="宋体" w:eastAsia="宋体" w:hAnsi="宋体" w:cs="宋体"/>
                <w:color w:val="000000"/>
                <w:kern w:val="0"/>
                <w:sz w:val="18"/>
                <w:szCs w:val="18"/>
                <w:lang w:bidi="ar"/>
              </w:rPr>
              <w:t>规</w:t>
            </w:r>
            <w:proofErr w:type="gramEnd"/>
            <w:r>
              <w:rPr>
                <w:rFonts w:ascii="宋体" w:eastAsia="宋体" w:hAnsi="宋体" w:cs="宋体"/>
                <w:color w:val="000000"/>
                <w:kern w:val="0"/>
                <w:sz w:val="18"/>
                <w:szCs w:val="18"/>
                <w:lang w:bidi="ar"/>
              </w:rPr>
              <w:t>率（%）</w:t>
            </w:r>
          </w:p>
        </w:tc>
        <w:tc>
          <w:tcPr>
            <w:tcW w:w="379" w:type="pct"/>
            <w:tcBorders>
              <w:top w:val="single" w:sz="4" w:space="0" w:color="000000"/>
              <w:left w:val="single" w:sz="4" w:space="0" w:color="000000"/>
              <w:bottom w:val="single" w:sz="4" w:space="0" w:color="000000"/>
              <w:right w:val="single" w:sz="4" w:space="0" w:color="000000"/>
            </w:tcBorders>
            <w:vAlign w:val="center"/>
          </w:tcPr>
          <w:p w14:paraId="25F338AA"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w:t>
            </w:r>
          </w:p>
        </w:tc>
        <w:tc>
          <w:tcPr>
            <w:tcW w:w="453" w:type="pct"/>
            <w:tcBorders>
              <w:top w:val="single" w:sz="4" w:space="0" w:color="000000"/>
              <w:left w:val="single" w:sz="4" w:space="0" w:color="000000"/>
              <w:bottom w:val="single" w:sz="4" w:space="0" w:color="000000"/>
              <w:right w:val="single" w:sz="4" w:space="0" w:color="000000"/>
            </w:tcBorders>
            <w:vAlign w:val="center"/>
          </w:tcPr>
          <w:p w14:paraId="7ED19052"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w:t>
            </w:r>
          </w:p>
        </w:tc>
        <w:tc>
          <w:tcPr>
            <w:tcW w:w="429" w:type="pct"/>
            <w:gridSpan w:val="2"/>
            <w:tcBorders>
              <w:top w:val="single" w:sz="4" w:space="0" w:color="000000"/>
              <w:left w:val="single" w:sz="4" w:space="0" w:color="000000"/>
              <w:bottom w:val="single" w:sz="4" w:space="0" w:color="000000"/>
              <w:right w:val="single" w:sz="4" w:space="0" w:color="000000"/>
            </w:tcBorders>
            <w:vAlign w:val="center"/>
          </w:tcPr>
          <w:p w14:paraId="489A8D54"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91" w:type="pct"/>
            <w:gridSpan w:val="2"/>
            <w:tcBorders>
              <w:top w:val="single" w:sz="4" w:space="0" w:color="000000"/>
              <w:left w:val="single" w:sz="4" w:space="0" w:color="000000"/>
              <w:bottom w:val="single" w:sz="4" w:space="0" w:color="000000"/>
              <w:right w:val="single" w:sz="4" w:space="0" w:color="000000"/>
            </w:tcBorders>
            <w:vAlign w:val="center"/>
          </w:tcPr>
          <w:p w14:paraId="6C2CACF3"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713" w:type="pct"/>
            <w:gridSpan w:val="2"/>
            <w:tcBorders>
              <w:top w:val="single" w:sz="4" w:space="0" w:color="000000"/>
              <w:left w:val="single" w:sz="4" w:space="0" w:color="000000"/>
              <w:bottom w:val="single" w:sz="4" w:space="0" w:color="000000"/>
              <w:right w:val="single" w:sz="4" w:space="0" w:color="000000"/>
            </w:tcBorders>
            <w:vAlign w:val="center"/>
          </w:tcPr>
          <w:p w14:paraId="08F3D387" w14:textId="77777777" w:rsidR="003E7E7C" w:rsidRDefault="003E7E7C">
            <w:pPr>
              <w:jc w:val="left"/>
              <w:rPr>
                <w:rFonts w:ascii="宋体" w:eastAsia="宋体" w:hAnsi="宋体" w:cs="宋体" w:hint="default"/>
                <w:color w:val="000000"/>
                <w:sz w:val="18"/>
                <w:szCs w:val="18"/>
              </w:rPr>
            </w:pPr>
          </w:p>
        </w:tc>
      </w:tr>
      <w:tr w:rsidR="003E7E7C" w14:paraId="7162A8DE" w14:textId="77777777">
        <w:trPr>
          <w:trHeight w:val="396"/>
        </w:trPr>
        <w:tc>
          <w:tcPr>
            <w:tcW w:w="429" w:type="pct"/>
            <w:vMerge/>
            <w:tcBorders>
              <w:top w:val="single" w:sz="4" w:space="0" w:color="000000"/>
              <w:left w:val="single" w:sz="4" w:space="0" w:color="000000"/>
              <w:bottom w:val="single" w:sz="4" w:space="0" w:color="000000"/>
              <w:right w:val="single" w:sz="4" w:space="0" w:color="000000"/>
            </w:tcBorders>
            <w:vAlign w:val="center"/>
          </w:tcPr>
          <w:p w14:paraId="4FB16BDA" w14:textId="77777777" w:rsidR="003E7E7C" w:rsidRDefault="003E7E7C">
            <w:pPr>
              <w:jc w:val="center"/>
              <w:rPr>
                <w:rFonts w:ascii="宋体" w:eastAsia="宋体" w:hAnsi="宋体" w:cs="宋体" w:hint="default"/>
                <w:color w:val="000000"/>
                <w:sz w:val="18"/>
                <w:szCs w:val="18"/>
              </w:rPr>
            </w:pPr>
          </w:p>
        </w:tc>
        <w:tc>
          <w:tcPr>
            <w:tcW w:w="434" w:type="pct"/>
            <w:vMerge/>
            <w:tcBorders>
              <w:top w:val="single" w:sz="4" w:space="0" w:color="000000"/>
              <w:left w:val="single" w:sz="4" w:space="0" w:color="000000"/>
              <w:bottom w:val="single" w:sz="4" w:space="0" w:color="000000"/>
              <w:right w:val="single" w:sz="4" w:space="0" w:color="000000"/>
            </w:tcBorders>
            <w:vAlign w:val="center"/>
          </w:tcPr>
          <w:p w14:paraId="6483647B" w14:textId="77777777" w:rsidR="003E7E7C" w:rsidRDefault="003E7E7C">
            <w:pPr>
              <w:jc w:val="center"/>
              <w:rPr>
                <w:rFonts w:ascii="宋体" w:eastAsia="宋体" w:hAnsi="宋体" w:cs="宋体" w:hint="default"/>
                <w:color w:val="000000"/>
                <w:sz w:val="18"/>
                <w:szCs w:val="18"/>
              </w:rPr>
            </w:pPr>
          </w:p>
        </w:tc>
        <w:tc>
          <w:tcPr>
            <w:tcW w:w="430" w:type="pct"/>
            <w:tcBorders>
              <w:top w:val="single" w:sz="4" w:space="0" w:color="000000"/>
              <w:left w:val="single" w:sz="4" w:space="0" w:color="000000"/>
              <w:bottom w:val="single" w:sz="4" w:space="0" w:color="000000"/>
              <w:right w:val="single" w:sz="4" w:space="0" w:color="000000"/>
            </w:tcBorders>
            <w:vAlign w:val="center"/>
          </w:tcPr>
          <w:p w14:paraId="1FB2BE2B"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时效指标</w:t>
            </w:r>
          </w:p>
        </w:tc>
        <w:tc>
          <w:tcPr>
            <w:tcW w:w="1138" w:type="pct"/>
            <w:gridSpan w:val="3"/>
            <w:tcBorders>
              <w:top w:val="single" w:sz="4" w:space="0" w:color="000000"/>
              <w:left w:val="single" w:sz="4" w:space="0" w:color="000000"/>
              <w:bottom w:val="single" w:sz="4" w:space="0" w:color="000000"/>
              <w:right w:val="single" w:sz="4" w:space="0" w:color="000000"/>
            </w:tcBorders>
            <w:noWrap/>
            <w:vAlign w:val="center"/>
          </w:tcPr>
          <w:p w14:paraId="27363849" w14:textId="77777777" w:rsidR="003E7E7C"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项目执行期限</w:t>
            </w:r>
          </w:p>
        </w:tc>
        <w:tc>
          <w:tcPr>
            <w:tcW w:w="379" w:type="pct"/>
            <w:tcBorders>
              <w:top w:val="single" w:sz="4" w:space="0" w:color="000000"/>
              <w:left w:val="single" w:sz="4" w:space="0" w:color="000000"/>
              <w:bottom w:val="single" w:sz="4" w:space="0" w:color="000000"/>
              <w:right w:val="single" w:sz="4" w:space="0" w:color="000000"/>
            </w:tcBorders>
            <w:vAlign w:val="center"/>
          </w:tcPr>
          <w:p w14:paraId="661A18FE"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=1年</w:t>
            </w:r>
          </w:p>
        </w:tc>
        <w:tc>
          <w:tcPr>
            <w:tcW w:w="453" w:type="pct"/>
            <w:tcBorders>
              <w:top w:val="single" w:sz="4" w:space="0" w:color="000000"/>
              <w:left w:val="single" w:sz="4" w:space="0" w:color="000000"/>
              <w:bottom w:val="single" w:sz="4" w:space="0" w:color="000000"/>
              <w:right w:val="single" w:sz="4" w:space="0" w:color="000000"/>
            </w:tcBorders>
            <w:vAlign w:val="center"/>
          </w:tcPr>
          <w:p w14:paraId="123DA543"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1年</w:t>
            </w:r>
          </w:p>
        </w:tc>
        <w:tc>
          <w:tcPr>
            <w:tcW w:w="429" w:type="pct"/>
            <w:gridSpan w:val="2"/>
            <w:tcBorders>
              <w:top w:val="single" w:sz="4" w:space="0" w:color="000000"/>
              <w:left w:val="single" w:sz="4" w:space="0" w:color="000000"/>
              <w:bottom w:val="single" w:sz="4" w:space="0" w:color="000000"/>
              <w:right w:val="single" w:sz="4" w:space="0" w:color="000000"/>
            </w:tcBorders>
            <w:vAlign w:val="center"/>
          </w:tcPr>
          <w:p w14:paraId="61F9BEC6"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91" w:type="pct"/>
            <w:gridSpan w:val="2"/>
            <w:tcBorders>
              <w:top w:val="single" w:sz="4" w:space="0" w:color="000000"/>
              <w:left w:val="single" w:sz="4" w:space="0" w:color="000000"/>
              <w:bottom w:val="single" w:sz="4" w:space="0" w:color="000000"/>
              <w:right w:val="single" w:sz="4" w:space="0" w:color="000000"/>
            </w:tcBorders>
            <w:vAlign w:val="center"/>
          </w:tcPr>
          <w:p w14:paraId="45189E0D"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713" w:type="pct"/>
            <w:gridSpan w:val="2"/>
            <w:tcBorders>
              <w:top w:val="single" w:sz="4" w:space="0" w:color="000000"/>
              <w:left w:val="single" w:sz="4" w:space="0" w:color="000000"/>
              <w:bottom w:val="single" w:sz="4" w:space="0" w:color="000000"/>
              <w:right w:val="single" w:sz="4" w:space="0" w:color="000000"/>
            </w:tcBorders>
            <w:vAlign w:val="center"/>
          </w:tcPr>
          <w:p w14:paraId="5C7436AE" w14:textId="77777777" w:rsidR="003E7E7C" w:rsidRDefault="003E7E7C">
            <w:pPr>
              <w:jc w:val="left"/>
              <w:rPr>
                <w:rFonts w:ascii="宋体" w:eastAsia="宋体" w:hAnsi="宋体" w:cs="宋体" w:hint="default"/>
                <w:color w:val="000000"/>
                <w:sz w:val="18"/>
                <w:szCs w:val="18"/>
              </w:rPr>
            </w:pPr>
          </w:p>
        </w:tc>
      </w:tr>
      <w:tr w:rsidR="003E7E7C" w14:paraId="67BD00F5" w14:textId="77777777">
        <w:trPr>
          <w:trHeight w:val="396"/>
        </w:trPr>
        <w:tc>
          <w:tcPr>
            <w:tcW w:w="429" w:type="pct"/>
            <w:vMerge/>
            <w:tcBorders>
              <w:top w:val="single" w:sz="4" w:space="0" w:color="000000"/>
              <w:left w:val="single" w:sz="4" w:space="0" w:color="000000"/>
              <w:bottom w:val="single" w:sz="4" w:space="0" w:color="000000"/>
              <w:right w:val="single" w:sz="4" w:space="0" w:color="000000"/>
            </w:tcBorders>
            <w:vAlign w:val="center"/>
          </w:tcPr>
          <w:p w14:paraId="70F54FEC" w14:textId="77777777" w:rsidR="003E7E7C" w:rsidRDefault="003E7E7C">
            <w:pPr>
              <w:jc w:val="center"/>
              <w:rPr>
                <w:rFonts w:ascii="宋体" w:eastAsia="宋体" w:hAnsi="宋体" w:cs="宋体" w:hint="default"/>
                <w:color w:val="000000"/>
                <w:sz w:val="18"/>
                <w:szCs w:val="18"/>
              </w:rPr>
            </w:pPr>
          </w:p>
        </w:tc>
        <w:tc>
          <w:tcPr>
            <w:tcW w:w="434" w:type="pct"/>
            <w:vMerge/>
            <w:tcBorders>
              <w:top w:val="single" w:sz="4" w:space="0" w:color="000000"/>
              <w:left w:val="single" w:sz="4" w:space="0" w:color="000000"/>
              <w:bottom w:val="single" w:sz="4" w:space="0" w:color="000000"/>
              <w:right w:val="single" w:sz="4" w:space="0" w:color="000000"/>
            </w:tcBorders>
            <w:vAlign w:val="center"/>
          </w:tcPr>
          <w:p w14:paraId="0E07F391" w14:textId="77777777" w:rsidR="003E7E7C" w:rsidRDefault="003E7E7C">
            <w:pPr>
              <w:jc w:val="center"/>
              <w:rPr>
                <w:rFonts w:ascii="宋体" w:eastAsia="宋体" w:hAnsi="宋体" w:cs="宋体" w:hint="default"/>
                <w:color w:val="000000"/>
                <w:sz w:val="18"/>
                <w:szCs w:val="18"/>
              </w:rPr>
            </w:pPr>
          </w:p>
        </w:tc>
        <w:tc>
          <w:tcPr>
            <w:tcW w:w="430" w:type="pct"/>
            <w:tcBorders>
              <w:top w:val="single" w:sz="4" w:space="0" w:color="000000"/>
              <w:left w:val="single" w:sz="4" w:space="0" w:color="000000"/>
              <w:bottom w:val="single" w:sz="4" w:space="0" w:color="000000"/>
              <w:right w:val="single" w:sz="4" w:space="0" w:color="000000"/>
            </w:tcBorders>
            <w:vAlign w:val="center"/>
          </w:tcPr>
          <w:p w14:paraId="6217CBA1"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成本指标</w:t>
            </w:r>
          </w:p>
        </w:tc>
        <w:tc>
          <w:tcPr>
            <w:tcW w:w="1138" w:type="pct"/>
            <w:gridSpan w:val="3"/>
            <w:tcBorders>
              <w:top w:val="single" w:sz="4" w:space="0" w:color="000000"/>
              <w:left w:val="single" w:sz="4" w:space="0" w:color="000000"/>
              <w:bottom w:val="single" w:sz="4" w:space="0" w:color="000000"/>
              <w:right w:val="single" w:sz="4" w:space="0" w:color="000000"/>
            </w:tcBorders>
            <w:noWrap/>
            <w:vAlign w:val="center"/>
          </w:tcPr>
          <w:p w14:paraId="45EBC40B" w14:textId="77777777" w:rsidR="003E7E7C"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项目预算控制率(%)</w:t>
            </w:r>
          </w:p>
        </w:tc>
        <w:tc>
          <w:tcPr>
            <w:tcW w:w="379" w:type="pct"/>
            <w:tcBorders>
              <w:top w:val="single" w:sz="4" w:space="0" w:color="000000"/>
              <w:left w:val="single" w:sz="4" w:space="0" w:color="000000"/>
              <w:bottom w:val="single" w:sz="4" w:space="0" w:color="000000"/>
              <w:right w:val="single" w:sz="4" w:space="0" w:color="000000"/>
            </w:tcBorders>
            <w:vAlign w:val="center"/>
          </w:tcPr>
          <w:p w14:paraId="00CCAAB3"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w:t>
            </w:r>
          </w:p>
        </w:tc>
        <w:tc>
          <w:tcPr>
            <w:tcW w:w="453" w:type="pct"/>
            <w:tcBorders>
              <w:top w:val="single" w:sz="4" w:space="0" w:color="000000"/>
              <w:left w:val="single" w:sz="4" w:space="0" w:color="000000"/>
              <w:bottom w:val="single" w:sz="4" w:space="0" w:color="000000"/>
              <w:right w:val="single" w:sz="4" w:space="0" w:color="000000"/>
            </w:tcBorders>
            <w:vAlign w:val="center"/>
          </w:tcPr>
          <w:p w14:paraId="46BD3A31"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w:t>
            </w:r>
          </w:p>
        </w:tc>
        <w:tc>
          <w:tcPr>
            <w:tcW w:w="429" w:type="pct"/>
            <w:gridSpan w:val="2"/>
            <w:tcBorders>
              <w:top w:val="single" w:sz="4" w:space="0" w:color="000000"/>
              <w:left w:val="single" w:sz="4" w:space="0" w:color="000000"/>
              <w:bottom w:val="single" w:sz="4" w:space="0" w:color="000000"/>
              <w:right w:val="single" w:sz="4" w:space="0" w:color="000000"/>
            </w:tcBorders>
            <w:vAlign w:val="center"/>
          </w:tcPr>
          <w:p w14:paraId="646E473C"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91" w:type="pct"/>
            <w:gridSpan w:val="2"/>
            <w:tcBorders>
              <w:top w:val="single" w:sz="4" w:space="0" w:color="000000"/>
              <w:left w:val="single" w:sz="4" w:space="0" w:color="000000"/>
              <w:bottom w:val="single" w:sz="4" w:space="0" w:color="000000"/>
              <w:right w:val="single" w:sz="4" w:space="0" w:color="000000"/>
            </w:tcBorders>
            <w:vAlign w:val="center"/>
          </w:tcPr>
          <w:p w14:paraId="75AFC181"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713" w:type="pct"/>
            <w:gridSpan w:val="2"/>
            <w:tcBorders>
              <w:top w:val="single" w:sz="4" w:space="0" w:color="000000"/>
              <w:left w:val="single" w:sz="4" w:space="0" w:color="000000"/>
              <w:bottom w:val="single" w:sz="4" w:space="0" w:color="000000"/>
              <w:right w:val="single" w:sz="4" w:space="0" w:color="000000"/>
            </w:tcBorders>
            <w:vAlign w:val="center"/>
          </w:tcPr>
          <w:p w14:paraId="729F639A" w14:textId="77777777" w:rsidR="003E7E7C" w:rsidRDefault="003E7E7C">
            <w:pPr>
              <w:jc w:val="left"/>
              <w:rPr>
                <w:rFonts w:ascii="宋体" w:eastAsia="宋体" w:hAnsi="宋体" w:cs="宋体" w:hint="default"/>
                <w:color w:val="000000"/>
                <w:sz w:val="18"/>
                <w:szCs w:val="18"/>
              </w:rPr>
            </w:pPr>
          </w:p>
        </w:tc>
      </w:tr>
      <w:tr w:rsidR="003E7E7C" w14:paraId="73E67310" w14:textId="77777777">
        <w:trPr>
          <w:trHeight w:val="396"/>
        </w:trPr>
        <w:tc>
          <w:tcPr>
            <w:tcW w:w="429" w:type="pct"/>
            <w:vMerge/>
            <w:tcBorders>
              <w:top w:val="single" w:sz="4" w:space="0" w:color="000000"/>
              <w:left w:val="single" w:sz="4" w:space="0" w:color="000000"/>
              <w:bottom w:val="single" w:sz="4" w:space="0" w:color="000000"/>
              <w:right w:val="single" w:sz="4" w:space="0" w:color="000000"/>
            </w:tcBorders>
            <w:vAlign w:val="center"/>
          </w:tcPr>
          <w:p w14:paraId="58DA9423" w14:textId="77777777" w:rsidR="003E7E7C" w:rsidRDefault="003E7E7C">
            <w:pPr>
              <w:jc w:val="center"/>
              <w:rPr>
                <w:rFonts w:ascii="宋体" w:eastAsia="宋体" w:hAnsi="宋体" w:cs="宋体" w:hint="default"/>
                <w:color w:val="000000"/>
                <w:sz w:val="18"/>
                <w:szCs w:val="18"/>
              </w:rPr>
            </w:pPr>
          </w:p>
        </w:tc>
        <w:tc>
          <w:tcPr>
            <w:tcW w:w="434" w:type="pct"/>
            <w:vMerge w:val="restart"/>
            <w:tcBorders>
              <w:top w:val="single" w:sz="4" w:space="0" w:color="000000"/>
              <w:left w:val="single" w:sz="4" w:space="0" w:color="000000"/>
              <w:bottom w:val="single" w:sz="4" w:space="0" w:color="000000"/>
              <w:right w:val="single" w:sz="4" w:space="0" w:color="000000"/>
            </w:tcBorders>
            <w:vAlign w:val="center"/>
          </w:tcPr>
          <w:p w14:paraId="5471FA73"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效益指标</w:t>
            </w:r>
          </w:p>
        </w:tc>
        <w:tc>
          <w:tcPr>
            <w:tcW w:w="430" w:type="pct"/>
            <w:tcBorders>
              <w:top w:val="single" w:sz="4" w:space="0" w:color="000000"/>
              <w:left w:val="single" w:sz="4" w:space="0" w:color="000000"/>
              <w:bottom w:val="single" w:sz="4" w:space="0" w:color="000000"/>
              <w:right w:val="single" w:sz="4" w:space="0" w:color="000000"/>
            </w:tcBorders>
            <w:vAlign w:val="center"/>
          </w:tcPr>
          <w:p w14:paraId="33A1F1A8"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经济效益指标</w:t>
            </w:r>
          </w:p>
        </w:tc>
        <w:tc>
          <w:tcPr>
            <w:tcW w:w="1138" w:type="pct"/>
            <w:gridSpan w:val="3"/>
            <w:tcBorders>
              <w:top w:val="single" w:sz="4" w:space="0" w:color="000000"/>
              <w:left w:val="single" w:sz="4" w:space="0" w:color="000000"/>
              <w:bottom w:val="single" w:sz="4" w:space="0" w:color="000000"/>
              <w:right w:val="single" w:sz="4" w:space="0" w:color="000000"/>
            </w:tcBorders>
            <w:noWrap/>
            <w:vAlign w:val="center"/>
          </w:tcPr>
          <w:p w14:paraId="66C098BD" w14:textId="77777777" w:rsidR="003E7E7C" w:rsidRDefault="003E7E7C">
            <w:pPr>
              <w:jc w:val="left"/>
              <w:rPr>
                <w:rFonts w:ascii="宋体" w:eastAsia="宋体" w:hAnsi="宋体" w:cs="宋体" w:hint="default"/>
                <w:color w:val="000000"/>
                <w:sz w:val="18"/>
                <w:szCs w:val="18"/>
              </w:rPr>
            </w:pPr>
          </w:p>
        </w:tc>
        <w:tc>
          <w:tcPr>
            <w:tcW w:w="379" w:type="pct"/>
            <w:tcBorders>
              <w:top w:val="single" w:sz="4" w:space="0" w:color="000000"/>
              <w:left w:val="single" w:sz="4" w:space="0" w:color="000000"/>
              <w:bottom w:val="single" w:sz="4" w:space="0" w:color="000000"/>
              <w:right w:val="single" w:sz="4" w:space="0" w:color="000000"/>
            </w:tcBorders>
            <w:vAlign w:val="center"/>
          </w:tcPr>
          <w:p w14:paraId="05B07B48" w14:textId="77777777" w:rsidR="003E7E7C" w:rsidRDefault="003E7E7C">
            <w:pPr>
              <w:jc w:val="center"/>
              <w:rPr>
                <w:rFonts w:ascii="宋体" w:eastAsia="宋体" w:hAnsi="宋体" w:cs="宋体" w:hint="default"/>
                <w:color w:val="000000"/>
                <w:sz w:val="18"/>
                <w:szCs w:val="18"/>
              </w:rPr>
            </w:pPr>
          </w:p>
        </w:tc>
        <w:tc>
          <w:tcPr>
            <w:tcW w:w="453" w:type="pct"/>
            <w:tcBorders>
              <w:top w:val="single" w:sz="4" w:space="0" w:color="000000"/>
              <w:left w:val="single" w:sz="4" w:space="0" w:color="000000"/>
              <w:bottom w:val="single" w:sz="4" w:space="0" w:color="000000"/>
              <w:right w:val="single" w:sz="4" w:space="0" w:color="000000"/>
            </w:tcBorders>
            <w:vAlign w:val="center"/>
          </w:tcPr>
          <w:p w14:paraId="5E762CDB" w14:textId="77777777" w:rsidR="003E7E7C" w:rsidRDefault="003E7E7C">
            <w:pPr>
              <w:jc w:val="center"/>
              <w:rPr>
                <w:rFonts w:ascii="宋体" w:eastAsia="宋体" w:hAnsi="宋体" w:cs="宋体" w:hint="default"/>
                <w:color w:val="000000"/>
                <w:sz w:val="18"/>
                <w:szCs w:val="18"/>
              </w:rPr>
            </w:pPr>
          </w:p>
        </w:tc>
        <w:tc>
          <w:tcPr>
            <w:tcW w:w="429" w:type="pct"/>
            <w:gridSpan w:val="2"/>
            <w:tcBorders>
              <w:top w:val="single" w:sz="4" w:space="0" w:color="000000"/>
              <w:left w:val="single" w:sz="4" w:space="0" w:color="000000"/>
              <w:bottom w:val="single" w:sz="4" w:space="0" w:color="000000"/>
              <w:right w:val="single" w:sz="4" w:space="0" w:color="000000"/>
            </w:tcBorders>
            <w:vAlign w:val="center"/>
          </w:tcPr>
          <w:p w14:paraId="76A3B422" w14:textId="77777777" w:rsidR="003E7E7C" w:rsidRDefault="003E7E7C">
            <w:pPr>
              <w:jc w:val="center"/>
              <w:rPr>
                <w:rFonts w:ascii="宋体" w:eastAsia="宋体" w:hAnsi="宋体" w:cs="宋体" w:hint="default"/>
                <w:color w:val="000000"/>
                <w:sz w:val="18"/>
                <w:szCs w:val="18"/>
              </w:rPr>
            </w:pPr>
          </w:p>
        </w:tc>
        <w:tc>
          <w:tcPr>
            <w:tcW w:w="591" w:type="pct"/>
            <w:gridSpan w:val="2"/>
            <w:tcBorders>
              <w:top w:val="single" w:sz="4" w:space="0" w:color="000000"/>
              <w:left w:val="single" w:sz="4" w:space="0" w:color="000000"/>
              <w:bottom w:val="single" w:sz="4" w:space="0" w:color="000000"/>
              <w:right w:val="single" w:sz="4" w:space="0" w:color="000000"/>
            </w:tcBorders>
            <w:vAlign w:val="center"/>
          </w:tcPr>
          <w:p w14:paraId="01426FBF" w14:textId="77777777" w:rsidR="003E7E7C" w:rsidRDefault="003E7E7C">
            <w:pPr>
              <w:jc w:val="center"/>
              <w:rPr>
                <w:rFonts w:ascii="宋体" w:eastAsia="宋体" w:hAnsi="宋体" w:cs="宋体" w:hint="default"/>
                <w:color w:val="000000"/>
                <w:sz w:val="18"/>
                <w:szCs w:val="18"/>
              </w:rPr>
            </w:pPr>
          </w:p>
        </w:tc>
        <w:tc>
          <w:tcPr>
            <w:tcW w:w="713" w:type="pct"/>
            <w:gridSpan w:val="2"/>
            <w:tcBorders>
              <w:top w:val="single" w:sz="4" w:space="0" w:color="000000"/>
              <w:left w:val="single" w:sz="4" w:space="0" w:color="000000"/>
              <w:bottom w:val="single" w:sz="4" w:space="0" w:color="000000"/>
              <w:right w:val="single" w:sz="4" w:space="0" w:color="000000"/>
            </w:tcBorders>
            <w:vAlign w:val="center"/>
          </w:tcPr>
          <w:p w14:paraId="6CC59B5F" w14:textId="77777777" w:rsidR="003E7E7C" w:rsidRDefault="003E7E7C">
            <w:pPr>
              <w:jc w:val="left"/>
              <w:rPr>
                <w:rFonts w:ascii="宋体" w:eastAsia="宋体" w:hAnsi="宋体" w:cs="宋体" w:hint="default"/>
                <w:color w:val="000000"/>
                <w:sz w:val="18"/>
                <w:szCs w:val="18"/>
              </w:rPr>
            </w:pPr>
          </w:p>
        </w:tc>
      </w:tr>
      <w:tr w:rsidR="003E7E7C" w14:paraId="17217ED0" w14:textId="77777777">
        <w:trPr>
          <w:trHeight w:val="396"/>
        </w:trPr>
        <w:tc>
          <w:tcPr>
            <w:tcW w:w="429" w:type="pct"/>
            <w:vMerge/>
            <w:tcBorders>
              <w:top w:val="single" w:sz="4" w:space="0" w:color="000000"/>
              <w:left w:val="single" w:sz="4" w:space="0" w:color="000000"/>
              <w:bottom w:val="single" w:sz="4" w:space="0" w:color="000000"/>
              <w:right w:val="single" w:sz="4" w:space="0" w:color="000000"/>
            </w:tcBorders>
            <w:vAlign w:val="center"/>
          </w:tcPr>
          <w:p w14:paraId="6AD9133D" w14:textId="77777777" w:rsidR="003E7E7C" w:rsidRDefault="003E7E7C">
            <w:pPr>
              <w:jc w:val="center"/>
              <w:rPr>
                <w:rFonts w:ascii="宋体" w:eastAsia="宋体" w:hAnsi="宋体" w:cs="宋体" w:hint="default"/>
                <w:color w:val="000000"/>
                <w:sz w:val="18"/>
                <w:szCs w:val="18"/>
              </w:rPr>
            </w:pPr>
          </w:p>
        </w:tc>
        <w:tc>
          <w:tcPr>
            <w:tcW w:w="434" w:type="pct"/>
            <w:vMerge/>
            <w:tcBorders>
              <w:top w:val="single" w:sz="4" w:space="0" w:color="000000"/>
              <w:left w:val="single" w:sz="4" w:space="0" w:color="000000"/>
              <w:bottom w:val="single" w:sz="4" w:space="0" w:color="000000"/>
              <w:right w:val="single" w:sz="4" w:space="0" w:color="000000"/>
            </w:tcBorders>
            <w:vAlign w:val="center"/>
          </w:tcPr>
          <w:p w14:paraId="24C3F0B1" w14:textId="77777777" w:rsidR="003E7E7C" w:rsidRDefault="003E7E7C">
            <w:pPr>
              <w:jc w:val="center"/>
              <w:rPr>
                <w:rFonts w:ascii="宋体" w:eastAsia="宋体" w:hAnsi="宋体" w:cs="宋体" w:hint="default"/>
                <w:color w:val="000000"/>
                <w:sz w:val="18"/>
                <w:szCs w:val="18"/>
              </w:rPr>
            </w:pPr>
          </w:p>
        </w:tc>
        <w:tc>
          <w:tcPr>
            <w:tcW w:w="430" w:type="pct"/>
            <w:tcBorders>
              <w:top w:val="single" w:sz="4" w:space="0" w:color="000000"/>
              <w:left w:val="single" w:sz="4" w:space="0" w:color="000000"/>
              <w:bottom w:val="single" w:sz="4" w:space="0" w:color="000000"/>
              <w:right w:val="single" w:sz="4" w:space="0" w:color="000000"/>
            </w:tcBorders>
            <w:vAlign w:val="center"/>
          </w:tcPr>
          <w:p w14:paraId="0BF56E93"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社会效益指标</w:t>
            </w:r>
          </w:p>
        </w:tc>
        <w:tc>
          <w:tcPr>
            <w:tcW w:w="1138" w:type="pct"/>
            <w:gridSpan w:val="3"/>
            <w:tcBorders>
              <w:top w:val="single" w:sz="4" w:space="0" w:color="000000"/>
              <w:left w:val="single" w:sz="4" w:space="0" w:color="000000"/>
              <w:bottom w:val="single" w:sz="4" w:space="0" w:color="000000"/>
              <w:right w:val="single" w:sz="4" w:space="0" w:color="000000"/>
            </w:tcBorders>
            <w:noWrap/>
            <w:vAlign w:val="center"/>
          </w:tcPr>
          <w:p w14:paraId="619FC0B0" w14:textId="77777777" w:rsidR="003E7E7C"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支持民贸民品企业发展</w:t>
            </w:r>
          </w:p>
        </w:tc>
        <w:tc>
          <w:tcPr>
            <w:tcW w:w="379" w:type="pct"/>
            <w:tcBorders>
              <w:top w:val="single" w:sz="4" w:space="0" w:color="000000"/>
              <w:left w:val="single" w:sz="4" w:space="0" w:color="000000"/>
              <w:bottom w:val="single" w:sz="4" w:space="0" w:color="000000"/>
              <w:right w:val="single" w:sz="4" w:space="0" w:color="000000"/>
            </w:tcBorders>
            <w:vAlign w:val="center"/>
          </w:tcPr>
          <w:p w14:paraId="48AFFE1F"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有效支持</w:t>
            </w:r>
          </w:p>
        </w:tc>
        <w:tc>
          <w:tcPr>
            <w:tcW w:w="453" w:type="pct"/>
            <w:tcBorders>
              <w:top w:val="single" w:sz="4" w:space="0" w:color="000000"/>
              <w:left w:val="single" w:sz="4" w:space="0" w:color="000000"/>
              <w:bottom w:val="single" w:sz="4" w:space="0" w:color="000000"/>
              <w:right w:val="single" w:sz="4" w:space="0" w:color="000000"/>
            </w:tcBorders>
            <w:vAlign w:val="center"/>
          </w:tcPr>
          <w:p w14:paraId="22B4D177"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完全达到预期效果</w:t>
            </w:r>
          </w:p>
        </w:tc>
        <w:tc>
          <w:tcPr>
            <w:tcW w:w="429" w:type="pct"/>
            <w:gridSpan w:val="2"/>
            <w:tcBorders>
              <w:top w:val="single" w:sz="4" w:space="0" w:color="000000"/>
              <w:left w:val="single" w:sz="4" w:space="0" w:color="000000"/>
              <w:bottom w:val="single" w:sz="4" w:space="0" w:color="000000"/>
              <w:right w:val="single" w:sz="4" w:space="0" w:color="000000"/>
            </w:tcBorders>
            <w:vAlign w:val="center"/>
          </w:tcPr>
          <w:p w14:paraId="0DD492C8"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30</w:t>
            </w:r>
          </w:p>
        </w:tc>
        <w:tc>
          <w:tcPr>
            <w:tcW w:w="591" w:type="pct"/>
            <w:gridSpan w:val="2"/>
            <w:tcBorders>
              <w:top w:val="single" w:sz="4" w:space="0" w:color="000000"/>
              <w:left w:val="single" w:sz="4" w:space="0" w:color="000000"/>
              <w:bottom w:val="single" w:sz="4" w:space="0" w:color="000000"/>
              <w:right w:val="single" w:sz="4" w:space="0" w:color="000000"/>
            </w:tcBorders>
            <w:vAlign w:val="center"/>
          </w:tcPr>
          <w:p w14:paraId="2F0FC040"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30</w:t>
            </w:r>
          </w:p>
        </w:tc>
        <w:tc>
          <w:tcPr>
            <w:tcW w:w="713" w:type="pct"/>
            <w:gridSpan w:val="2"/>
            <w:tcBorders>
              <w:top w:val="single" w:sz="4" w:space="0" w:color="000000"/>
              <w:left w:val="single" w:sz="4" w:space="0" w:color="000000"/>
              <w:bottom w:val="single" w:sz="4" w:space="0" w:color="000000"/>
              <w:right w:val="single" w:sz="4" w:space="0" w:color="000000"/>
            </w:tcBorders>
            <w:vAlign w:val="center"/>
          </w:tcPr>
          <w:p w14:paraId="0A4F1691" w14:textId="77777777" w:rsidR="003E7E7C" w:rsidRDefault="003E7E7C">
            <w:pPr>
              <w:jc w:val="left"/>
              <w:rPr>
                <w:rFonts w:ascii="宋体" w:eastAsia="宋体" w:hAnsi="宋体" w:cs="宋体" w:hint="default"/>
                <w:color w:val="000000"/>
                <w:sz w:val="18"/>
                <w:szCs w:val="18"/>
              </w:rPr>
            </w:pPr>
          </w:p>
        </w:tc>
      </w:tr>
      <w:tr w:rsidR="003E7E7C" w14:paraId="624057F3" w14:textId="77777777">
        <w:trPr>
          <w:trHeight w:val="396"/>
        </w:trPr>
        <w:tc>
          <w:tcPr>
            <w:tcW w:w="429" w:type="pct"/>
            <w:vMerge/>
            <w:tcBorders>
              <w:top w:val="single" w:sz="4" w:space="0" w:color="000000"/>
              <w:left w:val="single" w:sz="4" w:space="0" w:color="000000"/>
              <w:bottom w:val="single" w:sz="4" w:space="0" w:color="000000"/>
              <w:right w:val="single" w:sz="4" w:space="0" w:color="000000"/>
            </w:tcBorders>
            <w:vAlign w:val="center"/>
          </w:tcPr>
          <w:p w14:paraId="7B0AA5A2" w14:textId="77777777" w:rsidR="003E7E7C" w:rsidRDefault="003E7E7C">
            <w:pPr>
              <w:jc w:val="center"/>
              <w:rPr>
                <w:rFonts w:ascii="宋体" w:eastAsia="宋体" w:hAnsi="宋体" w:cs="宋体" w:hint="default"/>
                <w:color w:val="000000"/>
                <w:sz w:val="18"/>
                <w:szCs w:val="18"/>
              </w:rPr>
            </w:pPr>
          </w:p>
        </w:tc>
        <w:tc>
          <w:tcPr>
            <w:tcW w:w="434" w:type="pct"/>
            <w:vMerge/>
            <w:tcBorders>
              <w:top w:val="single" w:sz="4" w:space="0" w:color="000000"/>
              <w:left w:val="single" w:sz="4" w:space="0" w:color="000000"/>
              <w:bottom w:val="single" w:sz="4" w:space="0" w:color="000000"/>
              <w:right w:val="single" w:sz="4" w:space="0" w:color="000000"/>
            </w:tcBorders>
            <w:vAlign w:val="center"/>
          </w:tcPr>
          <w:p w14:paraId="62814145" w14:textId="77777777" w:rsidR="003E7E7C" w:rsidRDefault="003E7E7C">
            <w:pPr>
              <w:jc w:val="center"/>
              <w:rPr>
                <w:rFonts w:ascii="宋体" w:eastAsia="宋体" w:hAnsi="宋体" w:cs="宋体" w:hint="default"/>
                <w:color w:val="000000"/>
                <w:sz w:val="18"/>
                <w:szCs w:val="18"/>
              </w:rPr>
            </w:pPr>
          </w:p>
        </w:tc>
        <w:tc>
          <w:tcPr>
            <w:tcW w:w="430" w:type="pct"/>
            <w:tcBorders>
              <w:top w:val="single" w:sz="4" w:space="0" w:color="000000"/>
              <w:left w:val="single" w:sz="4" w:space="0" w:color="000000"/>
              <w:bottom w:val="single" w:sz="4" w:space="0" w:color="000000"/>
              <w:right w:val="single" w:sz="4" w:space="0" w:color="000000"/>
            </w:tcBorders>
            <w:vAlign w:val="center"/>
          </w:tcPr>
          <w:p w14:paraId="13B1D301"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生态效益指标</w:t>
            </w:r>
          </w:p>
        </w:tc>
        <w:tc>
          <w:tcPr>
            <w:tcW w:w="1138" w:type="pct"/>
            <w:gridSpan w:val="3"/>
            <w:tcBorders>
              <w:top w:val="single" w:sz="4" w:space="0" w:color="000000"/>
              <w:left w:val="single" w:sz="4" w:space="0" w:color="000000"/>
              <w:bottom w:val="single" w:sz="4" w:space="0" w:color="000000"/>
              <w:right w:val="single" w:sz="4" w:space="0" w:color="000000"/>
            </w:tcBorders>
            <w:noWrap/>
            <w:vAlign w:val="center"/>
          </w:tcPr>
          <w:p w14:paraId="27F88629" w14:textId="77777777" w:rsidR="003E7E7C" w:rsidRDefault="003E7E7C">
            <w:pPr>
              <w:jc w:val="left"/>
              <w:rPr>
                <w:rFonts w:ascii="宋体" w:eastAsia="宋体" w:hAnsi="宋体" w:cs="宋体" w:hint="default"/>
                <w:color w:val="000000"/>
                <w:sz w:val="18"/>
                <w:szCs w:val="18"/>
              </w:rPr>
            </w:pPr>
          </w:p>
        </w:tc>
        <w:tc>
          <w:tcPr>
            <w:tcW w:w="379" w:type="pct"/>
            <w:tcBorders>
              <w:top w:val="single" w:sz="4" w:space="0" w:color="000000"/>
              <w:left w:val="single" w:sz="4" w:space="0" w:color="000000"/>
              <w:bottom w:val="single" w:sz="4" w:space="0" w:color="000000"/>
              <w:right w:val="single" w:sz="4" w:space="0" w:color="000000"/>
            </w:tcBorders>
            <w:vAlign w:val="center"/>
          </w:tcPr>
          <w:p w14:paraId="043FA099" w14:textId="77777777" w:rsidR="003E7E7C" w:rsidRDefault="003E7E7C">
            <w:pPr>
              <w:jc w:val="center"/>
              <w:rPr>
                <w:rFonts w:ascii="宋体" w:eastAsia="宋体" w:hAnsi="宋体" w:cs="宋体" w:hint="default"/>
                <w:color w:val="000000"/>
                <w:sz w:val="18"/>
                <w:szCs w:val="18"/>
              </w:rPr>
            </w:pPr>
          </w:p>
        </w:tc>
        <w:tc>
          <w:tcPr>
            <w:tcW w:w="453" w:type="pct"/>
            <w:tcBorders>
              <w:top w:val="single" w:sz="4" w:space="0" w:color="000000"/>
              <w:left w:val="single" w:sz="4" w:space="0" w:color="000000"/>
              <w:bottom w:val="single" w:sz="4" w:space="0" w:color="000000"/>
              <w:right w:val="single" w:sz="4" w:space="0" w:color="000000"/>
            </w:tcBorders>
            <w:vAlign w:val="center"/>
          </w:tcPr>
          <w:p w14:paraId="1800CEEC" w14:textId="77777777" w:rsidR="003E7E7C" w:rsidRDefault="003E7E7C">
            <w:pPr>
              <w:jc w:val="center"/>
              <w:rPr>
                <w:rFonts w:ascii="宋体" w:eastAsia="宋体" w:hAnsi="宋体" w:cs="宋体" w:hint="default"/>
                <w:color w:val="000000"/>
                <w:sz w:val="18"/>
                <w:szCs w:val="18"/>
              </w:rPr>
            </w:pPr>
          </w:p>
        </w:tc>
        <w:tc>
          <w:tcPr>
            <w:tcW w:w="429" w:type="pct"/>
            <w:gridSpan w:val="2"/>
            <w:tcBorders>
              <w:top w:val="single" w:sz="4" w:space="0" w:color="000000"/>
              <w:left w:val="single" w:sz="4" w:space="0" w:color="000000"/>
              <w:bottom w:val="single" w:sz="4" w:space="0" w:color="000000"/>
              <w:right w:val="single" w:sz="4" w:space="0" w:color="000000"/>
            </w:tcBorders>
            <w:vAlign w:val="center"/>
          </w:tcPr>
          <w:p w14:paraId="720EF631" w14:textId="77777777" w:rsidR="003E7E7C" w:rsidRDefault="003E7E7C">
            <w:pPr>
              <w:jc w:val="center"/>
              <w:rPr>
                <w:rFonts w:ascii="宋体" w:eastAsia="宋体" w:hAnsi="宋体" w:cs="宋体" w:hint="default"/>
                <w:color w:val="000000"/>
                <w:sz w:val="18"/>
                <w:szCs w:val="18"/>
              </w:rPr>
            </w:pPr>
          </w:p>
        </w:tc>
        <w:tc>
          <w:tcPr>
            <w:tcW w:w="591" w:type="pct"/>
            <w:gridSpan w:val="2"/>
            <w:tcBorders>
              <w:top w:val="single" w:sz="4" w:space="0" w:color="000000"/>
              <w:left w:val="single" w:sz="4" w:space="0" w:color="000000"/>
              <w:bottom w:val="single" w:sz="4" w:space="0" w:color="000000"/>
              <w:right w:val="single" w:sz="4" w:space="0" w:color="000000"/>
            </w:tcBorders>
            <w:vAlign w:val="center"/>
          </w:tcPr>
          <w:p w14:paraId="4307BA6D" w14:textId="77777777" w:rsidR="003E7E7C" w:rsidRDefault="003E7E7C">
            <w:pPr>
              <w:jc w:val="center"/>
              <w:rPr>
                <w:rFonts w:ascii="宋体" w:eastAsia="宋体" w:hAnsi="宋体" w:cs="宋体" w:hint="default"/>
                <w:color w:val="000000"/>
                <w:sz w:val="18"/>
                <w:szCs w:val="18"/>
              </w:rPr>
            </w:pPr>
          </w:p>
        </w:tc>
        <w:tc>
          <w:tcPr>
            <w:tcW w:w="713" w:type="pct"/>
            <w:gridSpan w:val="2"/>
            <w:tcBorders>
              <w:top w:val="single" w:sz="4" w:space="0" w:color="000000"/>
              <w:left w:val="single" w:sz="4" w:space="0" w:color="000000"/>
              <w:bottom w:val="single" w:sz="4" w:space="0" w:color="000000"/>
              <w:right w:val="single" w:sz="4" w:space="0" w:color="000000"/>
            </w:tcBorders>
            <w:vAlign w:val="center"/>
          </w:tcPr>
          <w:p w14:paraId="1A87AE8F" w14:textId="77777777" w:rsidR="003E7E7C" w:rsidRDefault="003E7E7C">
            <w:pPr>
              <w:jc w:val="left"/>
              <w:rPr>
                <w:rFonts w:ascii="宋体" w:eastAsia="宋体" w:hAnsi="宋体" w:cs="宋体" w:hint="default"/>
                <w:color w:val="000000"/>
                <w:sz w:val="18"/>
                <w:szCs w:val="18"/>
              </w:rPr>
            </w:pPr>
          </w:p>
        </w:tc>
      </w:tr>
      <w:tr w:rsidR="003E7E7C" w14:paraId="2228CC54" w14:textId="77777777">
        <w:trPr>
          <w:trHeight w:val="396"/>
        </w:trPr>
        <w:tc>
          <w:tcPr>
            <w:tcW w:w="429" w:type="pct"/>
            <w:vMerge/>
            <w:tcBorders>
              <w:top w:val="single" w:sz="4" w:space="0" w:color="000000"/>
              <w:left w:val="single" w:sz="4" w:space="0" w:color="000000"/>
              <w:bottom w:val="single" w:sz="4" w:space="0" w:color="000000"/>
              <w:right w:val="single" w:sz="4" w:space="0" w:color="000000"/>
            </w:tcBorders>
            <w:vAlign w:val="center"/>
          </w:tcPr>
          <w:p w14:paraId="597AE15D" w14:textId="77777777" w:rsidR="003E7E7C" w:rsidRDefault="003E7E7C">
            <w:pPr>
              <w:jc w:val="center"/>
              <w:rPr>
                <w:rFonts w:ascii="宋体" w:eastAsia="宋体" w:hAnsi="宋体" w:cs="宋体" w:hint="default"/>
                <w:color w:val="000000"/>
                <w:sz w:val="18"/>
                <w:szCs w:val="18"/>
              </w:rPr>
            </w:pPr>
          </w:p>
        </w:tc>
        <w:tc>
          <w:tcPr>
            <w:tcW w:w="434" w:type="pct"/>
            <w:vMerge/>
            <w:tcBorders>
              <w:top w:val="single" w:sz="4" w:space="0" w:color="000000"/>
              <w:left w:val="single" w:sz="4" w:space="0" w:color="000000"/>
              <w:bottom w:val="single" w:sz="4" w:space="0" w:color="000000"/>
              <w:right w:val="single" w:sz="4" w:space="0" w:color="000000"/>
            </w:tcBorders>
            <w:vAlign w:val="center"/>
          </w:tcPr>
          <w:p w14:paraId="5A248FB0" w14:textId="77777777" w:rsidR="003E7E7C" w:rsidRDefault="003E7E7C">
            <w:pPr>
              <w:jc w:val="center"/>
              <w:rPr>
                <w:rFonts w:ascii="宋体" w:eastAsia="宋体" w:hAnsi="宋体" w:cs="宋体" w:hint="default"/>
                <w:color w:val="000000"/>
                <w:sz w:val="18"/>
                <w:szCs w:val="18"/>
              </w:rPr>
            </w:pPr>
          </w:p>
        </w:tc>
        <w:tc>
          <w:tcPr>
            <w:tcW w:w="430" w:type="pct"/>
            <w:tcBorders>
              <w:top w:val="single" w:sz="4" w:space="0" w:color="000000"/>
              <w:left w:val="single" w:sz="4" w:space="0" w:color="000000"/>
              <w:bottom w:val="single" w:sz="4" w:space="0" w:color="000000"/>
              <w:right w:val="single" w:sz="4" w:space="0" w:color="000000"/>
            </w:tcBorders>
            <w:vAlign w:val="center"/>
          </w:tcPr>
          <w:p w14:paraId="47A94A26"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可持续影响指标</w:t>
            </w:r>
          </w:p>
        </w:tc>
        <w:tc>
          <w:tcPr>
            <w:tcW w:w="1138" w:type="pct"/>
            <w:gridSpan w:val="3"/>
            <w:tcBorders>
              <w:top w:val="single" w:sz="4" w:space="0" w:color="000000"/>
              <w:left w:val="single" w:sz="4" w:space="0" w:color="000000"/>
              <w:bottom w:val="single" w:sz="4" w:space="0" w:color="000000"/>
              <w:right w:val="single" w:sz="4" w:space="0" w:color="000000"/>
            </w:tcBorders>
            <w:noWrap/>
            <w:vAlign w:val="center"/>
          </w:tcPr>
          <w:p w14:paraId="448E6D45" w14:textId="77777777" w:rsidR="003E7E7C" w:rsidRDefault="003E7E7C">
            <w:pPr>
              <w:jc w:val="left"/>
              <w:rPr>
                <w:rFonts w:ascii="宋体" w:eastAsia="宋体" w:hAnsi="宋体" w:cs="宋体" w:hint="default"/>
                <w:color w:val="000000"/>
                <w:sz w:val="18"/>
                <w:szCs w:val="18"/>
              </w:rPr>
            </w:pPr>
          </w:p>
        </w:tc>
        <w:tc>
          <w:tcPr>
            <w:tcW w:w="379" w:type="pct"/>
            <w:tcBorders>
              <w:top w:val="single" w:sz="4" w:space="0" w:color="000000"/>
              <w:left w:val="single" w:sz="4" w:space="0" w:color="000000"/>
              <w:bottom w:val="single" w:sz="4" w:space="0" w:color="000000"/>
              <w:right w:val="single" w:sz="4" w:space="0" w:color="000000"/>
            </w:tcBorders>
            <w:vAlign w:val="center"/>
          </w:tcPr>
          <w:p w14:paraId="2702C543" w14:textId="77777777" w:rsidR="003E7E7C" w:rsidRDefault="003E7E7C">
            <w:pPr>
              <w:jc w:val="center"/>
              <w:rPr>
                <w:rFonts w:ascii="宋体" w:eastAsia="宋体" w:hAnsi="宋体" w:cs="宋体" w:hint="default"/>
                <w:color w:val="000000"/>
                <w:sz w:val="18"/>
                <w:szCs w:val="18"/>
              </w:rPr>
            </w:pPr>
          </w:p>
        </w:tc>
        <w:tc>
          <w:tcPr>
            <w:tcW w:w="453" w:type="pct"/>
            <w:tcBorders>
              <w:top w:val="single" w:sz="4" w:space="0" w:color="000000"/>
              <w:left w:val="single" w:sz="4" w:space="0" w:color="000000"/>
              <w:bottom w:val="single" w:sz="4" w:space="0" w:color="000000"/>
              <w:right w:val="single" w:sz="4" w:space="0" w:color="000000"/>
            </w:tcBorders>
            <w:vAlign w:val="center"/>
          </w:tcPr>
          <w:p w14:paraId="305662F9" w14:textId="77777777" w:rsidR="003E7E7C" w:rsidRDefault="003E7E7C">
            <w:pPr>
              <w:jc w:val="center"/>
              <w:rPr>
                <w:rFonts w:ascii="宋体" w:eastAsia="宋体" w:hAnsi="宋体" w:cs="宋体" w:hint="default"/>
                <w:color w:val="000000"/>
                <w:sz w:val="18"/>
                <w:szCs w:val="18"/>
              </w:rPr>
            </w:pPr>
          </w:p>
        </w:tc>
        <w:tc>
          <w:tcPr>
            <w:tcW w:w="429" w:type="pct"/>
            <w:gridSpan w:val="2"/>
            <w:tcBorders>
              <w:top w:val="single" w:sz="4" w:space="0" w:color="000000"/>
              <w:left w:val="single" w:sz="4" w:space="0" w:color="000000"/>
              <w:bottom w:val="single" w:sz="4" w:space="0" w:color="000000"/>
              <w:right w:val="single" w:sz="4" w:space="0" w:color="000000"/>
            </w:tcBorders>
            <w:vAlign w:val="center"/>
          </w:tcPr>
          <w:p w14:paraId="7D1FB6CE" w14:textId="77777777" w:rsidR="003E7E7C" w:rsidRDefault="003E7E7C">
            <w:pPr>
              <w:jc w:val="center"/>
              <w:rPr>
                <w:rFonts w:ascii="宋体" w:eastAsia="宋体" w:hAnsi="宋体" w:cs="宋体" w:hint="default"/>
                <w:color w:val="000000"/>
                <w:sz w:val="18"/>
                <w:szCs w:val="18"/>
              </w:rPr>
            </w:pPr>
          </w:p>
        </w:tc>
        <w:tc>
          <w:tcPr>
            <w:tcW w:w="591" w:type="pct"/>
            <w:gridSpan w:val="2"/>
            <w:tcBorders>
              <w:top w:val="single" w:sz="4" w:space="0" w:color="000000"/>
              <w:left w:val="single" w:sz="4" w:space="0" w:color="000000"/>
              <w:bottom w:val="single" w:sz="4" w:space="0" w:color="000000"/>
              <w:right w:val="single" w:sz="4" w:space="0" w:color="000000"/>
            </w:tcBorders>
            <w:vAlign w:val="center"/>
          </w:tcPr>
          <w:p w14:paraId="44B5008F" w14:textId="77777777" w:rsidR="003E7E7C" w:rsidRDefault="003E7E7C">
            <w:pPr>
              <w:jc w:val="center"/>
              <w:rPr>
                <w:rFonts w:ascii="宋体" w:eastAsia="宋体" w:hAnsi="宋体" w:cs="宋体" w:hint="default"/>
                <w:color w:val="000000"/>
                <w:sz w:val="18"/>
                <w:szCs w:val="18"/>
              </w:rPr>
            </w:pPr>
          </w:p>
        </w:tc>
        <w:tc>
          <w:tcPr>
            <w:tcW w:w="713" w:type="pct"/>
            <w:gridSpan w:val="2"/>
            <w:tcBorders>
              <w:top w:val="single" w:sz="4" w:space="0" w:color="000000"/>
              <w:left w:val="single" w:sz="4" w:space="0" w:color="000000"/>
              <w:bottom w:val="single" w:sz="4" w:space="0" w:color="000000"/>
              <w:right w:val="single" w:sz="4" w:space="0" w:color="000000"/>
            </w:tcBorders>
            <w:vAlign w:val="center"/>
          </w:tcPr>
          <w:p w14:paraId="6EE35460" w14:textId="77777777" w:rsidR="003E7E7C" w:rsidRDefault="003E7E7C">
            <w:pPr>
              <w:jc w:val="left"/>
              <w:rPr>
                <w:rFonts w:ascii="宋体" w:eastAsia="宋体" w:hAnsi="宋体" w:cs="宋体" w:hint="default"/>
                <w:color w:val="000000"/>
                <w:sz w:val="18"/>
                <w:szCs w:val="18"/>
              </w:rPr>
            </w:pPr>
          </w:p>
        </w:tc>
      </w:tr>
      <w:tr w:rsidR="003E7E7C" w14:paraId="4FBE87CC" w14:textId="77777777">
        <w:trPr>
          <w:trHeight w:val="396"/>
        </w:trPr>
        <w:tc>
          <w:tcPr>
            <w:tcW w:w="429" w:type="pct"/>
            <w:vMerge/>
            <w:tcBorders>
              <w:top w:val="single" w:sz="4" w:space="0" w:color="000000"/>
              <w:left w:val="single" w:sz="4" w:space="0" w:color="000000"/>
              <w:bottom w:val="single" w:sz="4" w:space="0" w:color="000000"/>
              <w:right w:val="single" w:sz="4" w:space="0" w:color="000000"/>
            </w:tcBorders>
            <w:vAlign w:val="center"/>
          </w:tcPr>
          <w:p w14:paraId="12338A43" w14:textId="77777777" w:rsidR="003E7E7C" w:rsidRDefault="003E7E7C">
            <w:pPr>
              <w:jc w:val="center"/>
              <w:rPr>
                <w:rFonts w:ascii="宋体" w:eastAsia="宋体" w:hAnsi="宋体" w:cs="宋体" w:hint="default"/>
                <w:color w:val="000000"/>
                <w:sz w:val="18"/>
                <w:szCs w:val="18"/>
              </w:rPr>
            </w:pPr>
          </w:p>
        </w:tc>
        <w:tc>
          <w:tcPr>
            <w:tcW w:w="434" w:type="pct"/>
            <w:tcBorders>
              <w:top w:val="single" w:sz="4" w:space="0" w:color="000000"/>
              <w:left w:val="single" w:sz="4" w:space="0" w:color="000000"/>
              <w:bottom w:val="single" w:sz="4" w:space="0" w:color="000000"/>
              <w:right w:val="single" w:sz="4" w:space="0" w:color="000000"/>
            </w:tcBorders>
            <w:vAlign w:val="center"/>
          </w:tcPr>
          <w:p w14:paraId="5E4BD45A"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满意度指标</w:t>
            </w:r>
          </w:p>
        </w:tc>
        <w:tc>
          <w:tcPr>
            <w:tcW w:w="430" w:type="pct"/>
            <w:tcBorders>
              <w:top w:val="single" w:sz="4" w:space="0" w:color="000000"/>
              <w:left w:val="single" w:sz="4" w:space="0" w:color="000000"/>
              <w:bottom w:val="single" w:sz="4" w:space="0" w:color="000000"/>
              <w:right w:val="single" w:sz="4" w:space="0" w:color="000000"/>
            </w:tcBorders>
            <w:vAlign w:val="center"/>
          </w:tcPr>
          <w:p w14:paraId="1E1E5A63"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满意度指标</w:t>
            </w:r>
          </w:p>
        </w:tc>
        <w:tc>
          <w:tcPr>
            <w:tcW w:w="1138" w:type="pct"/>
            <w:gridSpan w:val="3"/>
            <w:tcBorders>
              <w:top w:val="single" w:sz="4" w:space="0" w:color="000000"/>
              <w:left w:val="single" w:sz="4" w:space="0" w:color="000000"/>
              <w:bottom w:val="single" w:sz="4" w:space="0" w:color="000000"/>
              <w:right w:val="single" w:sz="4" w:space="0" w:color="000000"/>
            </w:tcBorders>
            <w:noWrap/>
            <w:vAlign w:val="center"/>
          </w:tcPr>
          <w:p w14:paraId="0D7E4BB4" w14:textId="77777777" w:rsidR="003E7E7C"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企业满意度（%）</w:t>
            </w:r>
          </w:p>
        </w:tc>
        <w:tc>
          <w:tcPr>
            <w:tcW w:w="379" w:type="pct"/>
            <w:tcBorders>
              <w:top w:val="single" w:sz="4" w:space="0" w:color="000000"/>
              <w:left w:val="single" w:sz="4" w:space="0" w:color="000000"/>
              <w:bottom w:val="single" w:sz="4" w:space="0" w:color="000000"/>
              <w:right w:val="single" w:sz="4" w:space="0" w:color="000000"/>
            </w:tcBorders>
            <w:vAlign w:val="center"/>
          </w:tcPr>
          <w:p w14:paraId="412AF3A9"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w:t>
            </w:r>
          </w:p>
        </w:tc>
        <w:tc>
          <w:tcPr>
            <w:tcW w:w="453" w:type="pct"/>
            <w:tcBorders>
              <w:top w:val="single" w:sz="4" w:space="0" w:color="000000"/>
              <w:left w:val="single" w:sz="4" w:space="0" w:color="000000"/>
              <w:bottom w:val="single" w:sz="4" w:space="0" w:color="000000"/>
              <w:right w:val="single" w:sz="4" w:space="0" w:color="000000"/>
            </w:tcBorders>
            <w:vAlign w:val="center"/>
          </w:tcPr>
          <w:p w14:paraId="27D267DF"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w:t>
            </w:r>
          </w:p>
        </w:tc>
        <w:tc>
          <w:tcPr>
            <w:tcW w:w="429" w:type="pct"/>
            <w:gridSpan w:val="2"/>
            <w:tcBorders>
              <w:top w:val="single" w:sz="4" w:space="0" w:color="000000"/>
              <w:left w:val="single" w:sz="4" w:space="0" w:color="000000"/>
              <w:bottom w:val="single" w:sz="4" w:space="0" w:color="000000"/>
              <w:right w:val="single" w:sz="4" w:space="0" w:color="000000"/>
            </w:tcBorders>
            <w:vAlign w:val="center"/>
          </w:tcPr>
          <w:p w14:paraId="4DE7A8CF"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91" w:type="pct"/>
            <w:gridSpan w:val="2"/>
            <w:tcBorders>
              <w:top w:val="single" w:sz="4" w:space="0" w:color="000000"/>
              <w:left w:val="single" w:sz="4" w:space="0" w:color="000000"/>
              <w:bottom w:val="single" w:sz="4" w:space="0" w:color="000000"/>
              <w:right w:val="single" w:sz="4" w:space="0" w:color="000000"/>
            </w:tcBorders>
            <w:vAlign w:val="center"/>
          </w:tcPr>
          <w:p w14:paraId="4B43DC06"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713" w:type="pct"/>
            <w:gridSpan w:val="2"/>
            <w:tcBorders>
              <w:top w:val="single" w:sz="4" w:space="0" w:color="000000"/>
              <w:left w:val="single" w:sz="4" w:space="0" w:color="000000"/>
              <w:bottom w:val="single" w:sz="4" w:space="0" w:color="000000"/>
              <w:right w:val="single" w:sz="4" w:space="0" w:color="000000"/>
            </w:tcBorders>
            <w:vAlign w:val="center"/>
          </w:tcPr>
          <w:p w14:paraId="055CAF52" w14:textId="77777777" w:rsidR="003E7E7C" w:rsidRDefault="003E7E7C">
            <w:pPr>
              <w:jc w:val="left"/>
              <w:rPr>
                <w:rFonts w:ascii="宋体" w:eastAsia="宋体" w:hAnsi="宋体" w:cs="宋体" w:hint="default"/>
                <w:color w:val="000000"/>
                <w:sz w:val="18"/>
                <w:szCs w:val="18"/>
              </w:rPr>
            </w:pPr>
          </w:p>
        </w:tc>
      </w:tr>
      <w:tr w:rsidR="003E7E7C" w14:paraId="7FD0CB66" w14:textId="77777777">
        <w:trPr>
          <w:trHeight w:val="396"/>
        </w:trPr>
        <w:tc>
          <w:tcPr>
            <w:tcW w:w="3266" w:type="pct"/>
            <w:gridSpan w:val="8"/>
            <w:tcBorders>
              <w:top w:val="single" w:sz="4" w:space="0" w:color="000000"/>
              <w:left w:val="single" w:sz="4" w:space="0" w:color="000000"/>
              <w:bottom w:val="single" w:sz="4" w:space="0" w:color="000000"/>
              <w:right w:val="single" w:sz="4" w:space="0" w:color="000000"/>
            </w:tcBorders>
            <w:vAlign w:val="center"/>
          </w:tcPr>
          <w:p w14:paraId="5B6C80FD"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总分</w:t>
            </w:r>
          </w:p>
        </w:tc>
        <w:tc>
          <w:tcPr>
            <w:tcW w:w="429" w:type="pct"/>
            <w:gridSpan w:val="2"/>
            <w:tcBorders>
              <w:top w:val="single" w:sz="4" w:space="0" w:color="000000"/>
              <w:left w:val="single" w:sz="4" w:space="0" w:color="000000"/>
              <w:bottom w:val="single" w:sz="4" w:space="0" w:color="000000"/>
              <w:right w:val="single" w:sz="4" w:space="0" w:color="000000"/>
            </w:tcBorders>
            <w:vAlign w:val="center"/>
          </w:tcPr>
          <w:p w14:paraId="6C9D489E"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w:t>
            </w:r>
          </w:p>
        </w:tc>
        <w:tc>
          <w:tcPr>
            <w:tcW w:w="591" w:type="pct"/>
            <w:gridSpan w:val="2"/>
            <w:tcBorders>
              <w:top w:val="single" w:sz="4" w:space="0" w:color="000000"/>
              <w:left w:val="single" w:sz="4" w:space="0" w:color="000000"/>
              <w:bottom w:val="single" w:sz="4" w:space="0" w:color="000000"/>
              <w:right w:val="single" w:sz="4" w:space="0" w:color="000000"/>
            </w:tcBorders>
            <w:vAlign w:val="center"/>
          </w:tcPr>
          <w:p w14:paraId="68F7C603" w14:textId="77777777" w:rsidR="003E7E7C"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93.30分</w:t>
            </w:r>
          </w:p>
        </w:tc>
        <w:tc>
          <w:tcPr>
            <w:tcW w:w="713" w:type="pct"/>
            <w:gridSpan w:val="2"/>
            <w:tcBorders>
              <w:top w:val="single" w:sz="4" w:space="0" w:color="000000"/>
              <w:left w:val="single" w:sz="4" w:space="0" w:color="000000"/>
              <w:bottom w:val="single" w:sz="4" w:space="0" w:color="000000"/>
              <w:right w:val="single" w:sz="4" w:space="0" w:color="000000"/>
            </w:tcBorders>
            <w:vAlign w:val="center"/>
          </w:tcPr>
          <w:p w14:paraId="04746199" w14:textId="77777777" w:rsidR="003E7E7C" w:rsidRDefault="003E7E7C">
            <w:pPr>
              <w:jc w:val="center"/>
              <w:rPr>
                <w:rFonts w:ascii="宋体" w:eastAsia="宋体" w:hAnsi="宋体" w:cs="宋体" w:hint="default"/>
                <w:color w:val="000000"/>
                <w:sz w:val="18"/>
                <w:szCs w:val="18"/>
              </w:rPr>
            </w:pPr>
          </w:p>
        </w:tc>
      </w:tr>
    </w:tbl>
    <w:p w14:paraId="0817F754" w14:textId="77777777" w:rsidR="003E7E7C" w:rsidRDefault="003E7E7C">
      <w:pPr>
        <w:shd w:val="clear" w:color="auto" w:fill="FFFFFF"/>
        <w:autoSpaceDE w:val="0"/>
        <w:autoSpaceDN w:val="0"/>
        <w:adjustRightInd w:val="0"/>
        <w:spacing w:before="100" w:line="520" w:lineRule="exact"/>
        <w:ind w:left="118" w:firstLine="480"/>
        <w:rPr>
          <w:rFonts w:ascii="Times New Roman" w:eastAsia="仿宋_GB2312" w:hAnsi="Times New Roman" w:hint="default"/>
          <w:kern w:val="0"/>
          <w:sz w:val="24"/>
          <w:szCs w:val="24"/>
        </w:rPr>
      </w:pPr>
    </w:p>
    <w:p w14:paraId="1A77FAF4" w14:textId="77777777" w:rsidR="003E7E7C" w:rsidRDefault="00000000">
      <w:pPr>
        <w:shd w:val="clear" w:color="auto" w:fill="FFFFFF"/>
        <w:autoSpaceDE w:val="0"/>
        <w:autoSpaceDN w:val="0"/>
        <w:adjustRightInd w:val="0"/>
        <w:spacing w:before="100" w:after="240"/>
        <w:jc w:val="center"/>
        <w:rPr>
          <w:rFonts w:ascii="Times New Roman" w:eastAsia="黑体" w:hAnsi="Times New Roman" w:hint="default"/>
          <w:b/>
          <w:kern w:val="0"/>
          <w:sz w:val="28"/>
          <w:szCs w:val="28"/>
        </w:rPr>
      </w:pPr>
      <w:r>
        <w:rPr>
          <w:rFonts w:ascii="黑体" w:eastAsia="黑体" w:hAnsi="Times New Roman" w:cs="黑体"/>
          <w:kern w:val="0"/>
          <w:sz w:val="32"/>
          <w:szCs w:val="32"/>
        </w:rPr>
        <w:t>第三部分 专业名词解释</w:t>
      </w:r>
    </w:p>
    <w:p w14:paraId="07E32747" w14:textId="77777777" w:rsidR="003E7E7C"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财政拨款收入：指同级财政当年拨付的资金。</w:t>
      </w:r>
    </w:p>
    <w:p w14:paraId="306690F5" w14:textId="77777777" w:rsidR="003E7E7C"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上级补助收入：指事业单位从主管部门和上级单位取得的非财政补助收入。</w:t>
      </w:r>
    </w:p>
    <w:p w14:paraId="69D3C963" w14:textId="77777777" w:rsidR="003E7E7C"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lastRenderedPageBreak/>
        <w:t>事业收入：指事业单位开展专业业务活动及其辅助活动所取得的收入。</w:t>
      </w:r>
    </w:p>
    <w:p w14:paraId="7CE1D89E" w14:textId="77777777" w:rsidR="003E7E7C"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经营收入：指事业单位在专业业务活动及其辅助活动之外开展非独立核算经营活动取得的收入。</w:t>
      </w:r>
    </w:p>
    <w:p w14:paraId="7F4016B0" w14:textId="77777777" w:rsidR="003E7E7C"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附属单位上缴收入：指事业单位附属的独立核算单位按有关规定上缴的收入。</w:t>
      </w:r>
    </w:p>
    <w:p w14:paraId="58B3505A" w14:textId="77777777" w:rsidR="003E7E7C"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其他收入：指除上述</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财政拨款收入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事业收入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经营收入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附属单位上缴收入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等之外取得的收入。</w:t>
      </w:r>
    </w:p>
    <w:p w14:paraId="721E749E" w14:textId="77777777" w:rsidR="003E7E7C"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14:paraId="156CCF22" w14:textId="77777777" w:rsidR="003E7E7C"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14:paraId="0A52F70A" w14:textId="77777777" w:rsidR="003E7E7C"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基本支出：指为保障机构正常运转、完成日常工作任务而发生的人员支出和公用支出。</w:t>
      </w:r>
    </w:p>
    <w:p w14:paraId="2BDBEA24" w14:textId="77777777" w:rsidR="003E7E7C"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项目支出：指在基本支出之外为完成特定行政任务和事业发展目标所发生的支出。</w:t>
      </w:r>
    </w:p>
    <w:p w14:paraId="2EB220B3" w14:textId="77777777" w:rsidR="003E7E7C"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经营支出：指事业单位在专业业务活动及其辅助活动之外</w:t>
      </w:r>
      <w:r>
        <w:rPr>
          <w:rFonts w:ascii="仿宋_GB2312" w:eastAsia="仿宋_GB2312" w:hAnsi="Times New Roman" w:cs="仿宋_GB2312"/>
          <w:kern w:val="0"/>
          <w:sz w:val="32"/>
          <w:szCs w:val="32"/>
        </w:rPr>
        <w:lastRenderedPageBreak/>
        <w:t>开展非独立核算经营活动发生的支出。</w:t>
      </w:r>
    </w:p>
    <w:p w14:paraId="029D40A8" w14:textId="77777777" w:rsidR="003E7E7C"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对附属单位补助支出：指事业单位发生的用非财政预算资金对附属单位的补助支出。</w:t>
      </w:r>
    </w:p>
    <w:p w14:paraId="65C62766" w14:textId="77777777" w:rsidR="003E7E7C" w:rsidRDefault="00000000">
      <w:pPr>
        <w:autoSpaceDE w:val="0"/>
        <w:autoSpaceDN w:val="0"/>
        <w:adjustRightInd w:val="0"/>
        <w:spacing w:line="360" w:lineRule="auto"/>
        <w:ind w:firstLine="640"/>
        <w:rPr>
          <w:rFonts w:ascii="Times New Roman" w:eastAsia="仿宋_GB2312" w:hAnsi="Times New Roman" w:hint="default"/>
          <w:sz w:val="32"/>
          <w:szCs w:val="32"/>
        </w:rPr>
      </w:pP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经费：指用财政拨款安排的因公出国（境）费、公务用车购置及运行费和公务接待费。其中，因公出国（境）</w:t>
      </w:r>
      <w:proofErr w:type="gramStart"/>
      <w:r>
        <w:rPr>
          <w:rFonts w:ascii="仿宋_GB2312" w:eastAsia="仿宋_GB2312" w:hAnsi="Times New Roman" w:cs="仿宋_GB2312"/>
          <w:sz w:val="32"/>
          <w:szCs w:val="32"/>
        </w:rPr>
        <w:t>费反映</w:t>
      </w:r>
      <w:proofErr w:type="gramEnd"/>
      <w:r>
        <w:rPr>
          <w:rFonts w:ascii="仿宋_GB2312" w:eastAsia="仿宋_GB2312" w:hAnsi="Times New Roman" w:cs="仿宋_GB2312"/>
          <w:sz w:val="32"/>
          <w:szCs w:val="32"/>
        </w:rPr>
        <w:t>单位公务出国（境）的国际旅费、国外城市间交通费、住宿费、伙食费、培训费、公杂费等支出；公务用车购置</w:t>
      </w:r>
      <w:proofErr w:type="gramStart"/>
      <w:r>
        <w:rPr>
          <w:rFonts w:ascii="仿宋_GB2312" w:eastAsia="仿宋_GB2312" w:hAnsi="Times New Roman" w:cs="仿宋_GB2312"/>
          <w:sz w:val="32"/>
          <w:szCs w:val="32"/>
        </w:rPr>
        <w:t>费反映</w:t>
      </w:r>
      <w:proofErr w:type="gramEnd"/>
      <w:r>
        <w:rPr>
          <w:rFonts w:ascii="仿宋_GB2312" w:eastAsia="仿宋_GB2312" w:hAnsi="Times New Roman" w:cs="仿宋_GB2312"/>
          <w:sz w:val="32"/>
          <w:szCs w:val="32"/>
        </w:rPr>
        <w:t>公务用车购置支出（</w:t>
      </w:r>
      <w:proofErr w:type="gramStart"/>
      <w:r>
        <w:rPr>
          <w:rFonts w:ascii="仿宋_GB2312" w:eastAsia="仿宋_GB2312" w:hAnsi="Times New Roman" w:cs="仿宋_GB2312"/>
          <w:sz w:val="32"/>
          <w:szCs w:val="32"/>
        </w:rPr>
        <w:t>含车辆</w:t>
      </w:r>
      <w:proofErr w:type="gramEnd"/>
      <w:r>
        <w:rPr>
          <w:rFonts w:ascii="仿宋_GB2312" w:eastAsia="仿宋_GB2312" w:hAnsi="Times New Roman" w:cs="仿宋_GB2312"/>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Ansi="Times New Roman" w:cs="仿宋_GB2312"/>
          <w:sz w:val="32"/>
          <w:szCs w:val="32"/>
        </w:rPr>
        <w:t>费反映</w:t>
      </w:r>
      <w:proofErr w:type="gramEnd"/>
      <w:r>
        <w:rPr>
          <w:rFonts w:ascii="仿宋_GB2312" w:eastAsia="仿宋_GB2312" w:hAnsi="Times New Roman" w:cs="仿宋_GB2312"/>
          <w:sz w:val="32"/>
          <w:szCs w:val="32"/>
        </w:rPr>
        <w:t>单位按规定开支的各类公务接待（含外宾接待）费用。</w:t>
      </w:r>
    </w:p>
    <w:p w14:paraId="7DE26100" w14:textId="77777777" w:rsidR="003E7E7C" w:rsidRDefault="00000000">
      <w:pPr>
        <w:autoSpaceDE w:val="0"/>
        <w:autoSpaceDN w:val="0"/>
        <w:adjustRightInd w:val="0"/>
        <w:spacing w:line="360" w:lineRule="auto"/>
        <w:ind w:firstLine="640"/>
        <w:rPr>
          <w:rFonts w:ascii="Times New Roman" w:eastAsia="仿宋_GB2312" w:hAnsi="Times New Roman" w:hint="default"/>
          <w:sz w:val="32"/>
          <w:szCs w:val="32"/>
        </w:rPr>
      </w:pPr>
      <w:r>
        <w:rPr>
          <w:rFonts w:ascii="仿宋_GB2312" w:eastAsia="仿宋_GB2312" w:hAnsi="Times New Roman" w:cs="仿宋_GB2312"/>
          <w:sz w:val="32"/>
          <w:szCs w:val="32"/>
        </w:rPr>
        <w:t>机关运行经费：行政单位和参照公务员法管理的事业单位财政拨款基本支出中的公用经费支出。</w:t>
      </w:r>
    </w:p>
    <w:p w14:paraId="70B031E3" w14:textId="77777777" w:rsidR="003E7E7C" w:rsidRDefault="003E7E7C">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p>
    <w:p w14:paraId="3276B918" w14:textId="77777777" w:rsidR="003E7E7C" w:rsidRDefault="003E7E7C">
      <w:pPr>
        <w:shd w:val="clear" w:color="auto" w:fill="FFFFFF"/>
        <w:autoSpaceDE w:val="0"/>
        <w:autoSpaceDN w:val="0"/>
        <w:adjustRightInd w:val="0"/>
        <w:spacing w:before="100" w:line="520" w:lineRule="exact"/>
        <w:rPr>
          <w:rFonts w:ascii="Times New Roman" w:eastAsia="仿宋_GB2312" w:hAnsi="Times New Roman" w:hint="default"/>
          <w:kern w:val="0"/>
          <w:sz w:val="24"/>
          <w:szCs w:val="24"/>
        </w:rPr>
      </w:pPr>
    </w:p>
    <w:p w14:paraId="0FA7894A" w14:textId="77777777" w:rsidR="003E7E7C" w:rsidRDefault="00000000">
      <w:pPr>
        <w:shd w:val="clear" w:color="auto" w:fill="FFFFFF"/>
        <w:autoSpaceDE w:val="0"/>
        <w:autoSpaceDN w:val="0"/>
        <w:adjustRightInd w:val="0"/>
        <w:spacing w:before="100" w:after="240"/>
        <w:jc w:val="center"/>
        <w:rPr>
          <w:rFonts w:ascii="Times New Roman" w:eastAsia="黑体" w:hAnsi="Times New Roman" w:hint="default"/>
          <w:kern w:val="0"/>
          <w:sz w:val="32"/>
          <w:szCs w:val="32"/>
        </w:rPr>
      </w:pPr>
      <w:r>
        <w:rPr>
          <w:rFonts w:ascii="黑体" w:eastAsia="黑体" w:hAnsi="Times New Roman" w:cs="黑体"/>
          <w:kern w:val="0"/>
          <w:sz w:val="32"/>
          <w:szCs w:val="32"/>
        </w:rPr>
        <w:t>第四部分 部门决算报表（见附表）</w:t>
      </w:r>
    </w:p>
    <w:p w14:paraId="294A9EDF" w14:textId="77777777" w:rsidR="003E7E7C"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一、《收入支出决算总表》</w:t>
      </w:r>
    </w:p>
    <w:p w14:paraId="2EBD9353" w14:textId="77777777" w:rsidR="003E7E7C"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二、《收入决算表》</w:t>
      </w:r>
    </w:p>
    <w:p w14:paraId="39C9A77A" w14:textId="77777777" w:rsidR="003E7E7C"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三、《支出决算表》</w:t>
      </w:r>
    </w:p>
    <w:p w14:paraId="082AC260" w14:textId="77777777" w:rsidR="003E7E7C"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四、《财政拨款收入支出决算总表》</w:t>
      </w:r>
    </w:p>
    <w:p w14:paraId="6B6F8230" w14:textId="77777777" w:rsidR="003E7E7C"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五、《一般公共预算财政拨款支出决算表》</w:t>
      </w:r>
    </w:p>
    <w:p w14:paraId="2FE256D0" w14:textId="77777777" w:rsidR="003E7E7C"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lastRenderedPageBreak/>
        <w:t>六、《一般公共预算财政拨款基本支出决算表》</w:t>
      </w:r>
    </w:p>
    <w:p w14:paraId="19292848" w14:textId="77777777" w:rsidR="003E7E7C"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七、《财政拨款</w:t>
      </w:r>
      <w:r>
        <w:rPr>
          <w:rFonts w:ascii="Times New Roman" w:eastAsia="黑体" w:hAnsi="Times New Roman" w:cs="黑体" w:hint="default"/>
          <w:sz w:val="32"/>
          <w:szCs w:val="32"/>
        </w:rPr>
        <w:t>“</w:t>
      </w:r>
      <w:r>
        <w:rPr>
          <w:rFonts w:ascii="黑体" w:eastAsia="黑体" w:hAnsi="Times New Roman" w:cs="黑体"/>
          <w:sz w:val="32"/>
          <w:szCs w:val="32"/>
        </w:rPr>
        <w:t>三公</w:t>
      </w:r>
      <w:r>
        <w:rPr>
          <w:rFonts w:ascii="Times New Roman" w:eastAsia="黑体" w:hAnsi="Times New Roman" w:cs="黑体" w:hint="default"/>
          <w:sz w:val="32"/>
          <w:szCs w:val="32"/>
        </w:rPr>
        <w:t>”</w:t>
      </w:r>
      <w:r>
        <w:rPr>
          <w:rFonts w:ascii="黑体" w:eastAsia="黑体" w:hAnsi="Times New Roman" w:cs="黑体"/>
          <w:sz w:val="32"/>
          <w:szCs w:val="32"/>
        </w:rPr>
        <w:t>经费支出决算表》</w:t>
      </w:r>
    </w:p>
    <w:p w14:paraId="5AFB06E8" w14:textId="77777777" w:rsidR="003E7E7C" w:rsidRDefault="00000000">
      <w:pPr>
        <w:autoSpaceDE w:val="0"/>
        <w:autoSpaceDN w:val="0"/>
        <w:adjustRightInd w:val="0"/>
        <w:spacing w:line="540" w:lineRule="exact"/>
        <w:ind w:firstLine="640"/>
        <w:rPr>
          <w:rFonts w:ascii="Times New Roman" w:eastAsia="黑体" w:hAnsi="Times New Roman" w:hint="default"/>
          <w:kern w:val="0"/>
          <w:sz w:val="32"/>
          <w:szCs w:val="32"/>
        </w:rPr>
      </w:pPr>
      <w:r>
        <w:rPr>
          <w:rFonts w:ascii="黑体" w:eastAsia="黑体" w:hAnsi="Times New Roman" w:cs="黑体"/>
          <w:sz w:val="32"/>
          <w:szCs w:val="32"/>
        </w:rPr>
        <w:t>八、《政府性基金预算财政拨款收入支出决算表》</w:t>
      </w:r>
    </w:p>
    <w:p w14:paraId="6B44C753" w14:textId="77777777" w:rsidR="003E7E7C" w:rsidRDefault="00000000">
      <w:pPr>
        <w:autoSpaceDE w:val="0"/>
        <w:autoSpaceDN w:val="0"/>
        <w:adjustRightInd w:val="0"/>
        <w:spacing w:line="540" w:lineRule="exact"/>
        <w:ind w:firstLine="640"/>
        <w:rPr>
          <w:rFonts w:ascii="Times New Roman" w:eastAsia="黑体" w:hAnsi="Times New Roman" w:hint="default"/>
          <w:kern w:val="0"/>
          <w:sz w:val="32"/>
          <w:szCs w:val="32"/>
        </w:rPr>
      </w:pPr>
      <w:r>
        <w:rPr>
          <w:rFonts w:ascii="黑体" w:eastAsia="黑体" w:hAnsi="Times New Roman" w:cs="黑体"/>
          <w:sz w:val="32"/>
          <w:szCs w:val="32"/>
          <w:lang w:val="zh-CN"/>
        </w:rPr>
        <w:t>九</w:t>
      </w:r>
      <w:r>
        <w:rPr>
          <w:rFonts w:ascii="黑体" w:eastAsia="黑体" w:hAnsi="Times New Roman" w:cs="黑体"/>
          <w:sz w:val="32"/>
          <w:szCs w:val="32"/>
        </w:rPr>
        <w:t>、《国有资本经营预算财政拨款收入支出决算表》</w:t>
      </w:r>
    </w:p>
    <w:p w14:paraId="489F9B36" w14:textId="77777777" w:rsidR="003E7E7C" w:rsidRDefault="003E7E7C">
      <w:pPr>
        <w:autoSpaceDE w:val="0"/>
        <w:autoSpaceDN w:val="0"/>
        <w:adjustRightInd w:val="0"/>
        <w:jc w:val="left"/>
        <w:rPr>
          <w:rFonts w:ascii="Times New Roman" w:eastAsia="黑体" w:hAnsi="Times New Roman" w:hint="default"/>
          <w:kern w:val="36"/>
          <w:sz w:val="40"/>
          <w:szCs w:val="40"/>
          <w:lang w:val="zh-CN"/>
        </w:rPr>
      </w:pPr>
    </w:p>
    <w:p w14:paraId="2E123B5D" w14:textId="77777777" w:rsidR="003E7E7C" w:rsidRDefault="003E7E7C">
      <w:pPr>
        <w:autoSpaceDE w:val="0"/>
        <w:autoSpaceDN w:val="0"/>
        <w:adjustRightInd w:val="0"/>
        <w:rPr>
          <w:rFonts w:ascii="Times New Roman" w:eastAsia="黑体" w:hAnsi="Times New Roman" w:hint="default"/>
          <w:szCs w:val="21"/>
        </w:rPr>
      </w:pPr>
    </w:p>
    <w:p w14:paraId="0C7C22F9" w14:textId="77777777" w:rsidR="003E7E7C" w:rsidRDefault="003E7E7C">
      <w:pPr>
        <w:autoSpaceDE w:val="0"/>
        <w:autoSpaceDN w:val="0"/>
        <w:adjustRightInd w:val="0"/>
        <w:jc w:val="left"/>
        <w:rPr>
          <w:rFonts w:ascii="Times New Roman" w:eastAsia="黑体" w:hAnsi="Times New Roman" w:hint="default"/>
          <w:kern w:val="36"/>
          <w:sz w:val="40"/>
          <w:szCs w:val="40"/>
          <w:lang w:val="zh-CN"/>
        </w:rPr>
      </w:pPr>
    </w:p>
    <w:p w14:paraId="1156692D" w14:textId="77777777" w:rsidR="003E7E7C" w:rsidRDefault="003E7E7C">
      <w:pPr>
        <w:autoSpaceDE w:val="0"/>
        <w:autoSpaceDN w:val="0"/>
        <w:adjustRightInd w:val="0"/>
        <w:rPr>
          <w:rFonts w:ascii="Times New Roman" w:eastAsia="黑体" w:hAnsi="Times New Roman" w:hint="default"/>
          <w:szCs w:val="21"/>
        </w:rPr>
      </w:pPr>
    </w:p>
    <w:p w14:paraId="3B0D9819" w14:textId="77777777" w:rsidR="003E7E7C" w:rsidRDefault="003E7E7C">
      <w:pPr>
        <w:autoSpaceDE w:val="0"/>
        <w:autoSpaceDN w:val="0"/>
        <w:adjustRightInd w:val="0"/>
        <w:jc w:val="left"/>
        <w:rPr>
          <w:rFonts w:ascii="Times New Roman" w:eastAsia="黑体" w:hAnsi="Times New Roman" w:hint="default"/>
          <w:kern w:val="36"/>
          <w:sz w:val="40"/>
          <w:szCs w:val="40"/>
          <w:lang w:val="zh-CN"/>
        </w:rPr>
      </w:pPr>
    </w:p>
    <w:sectPr w:rsidR="003E7E7C">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oNotUseMarginsForDrawingGridOrigin/>
  <w:doNotShadeFormData/>
  <w:noPunctuationKerning/>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dkZGMyOWI2OTRjOWQ4ZTEzMzkxOGQzMTU2NTIzNjEifQ=="/>
  </w:docVars>
  <w:rsids>
    <w:rsidRoot w:val="00172A27"/>
    <w:rsid w:val="00172A27"/>
    <w:rsid w:val="002D2B56"/>
    <w:rsid w:val="003E7E7C"/>
    <w:rsid w:val="004D0AB4"/>
    <w:rsid w:val="00501185"/>
    <w:rsid w:val="0080390C"/>
    <w:rsid w:val="009A667E"/>
    <w:rsid w:val="009C2CF5"/>
    <w:rsid w:val="009E6B4D"/>
    <w:rsid w:val="00B0531C"/>
    <w:rsid w:val="00DE1A96"/>
    <w:rsid w:val="00E42780"/>
    <w:rsid w:val="050C413A"/>
    <w:rsid w:val="05C2359D"/>
    <w:rsid w:val="49B44FEC"/>
    <w:rsid w:val="5E7E62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F3C7AF"/>
  <w15:docId w15:val="{C5CDF69A-E72C-45EE-9624-2A889FB48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uiPriority="39" w:qFormat="1"/>
    <w:lsdException w:name="Table Theme" w:semiHidden="1" w:unhideWhenUsed="1"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等线" w:eastAsia="等线" w:hAnsi="等线" w:hint="eastAsia"/>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tabs>
        <w:tab w:val="center" w:pos="4153"/>
        <w:tab w:val="right" w:pos="8306"/>
      </w:tabs>
      <w:snapToGrid w:val="0"/>
      <w:jc w:val="center"/>
    </w:pPr>
    <w:rPr>
      <w:sz w:val="18"/>
      <w:szCs w:val="18"/>
    </w:rPr>
  </w:style>
  <w:style w:type="character" w:customStyle="1" w:styleId="a6">
    <w:name w:val="页眉 字符"/>
    <w:link w:val="a5"/>
    <w:uiPriority w:val="99"/>
    <w:rPr>
      <w:rFonts w:ascii="等线" w:eastAsia="等线" w:hAnsi="等线" w:hint="default"/>
      <w:kern w:val="2"/>
      <w:sz w:val="18"/>
      <w:szCs w:val="18"/>
    </w:rPr>
  </w:style>
  <w:style w:type="character" w:customStyle="1" w:styleId="a4">
    <w:name w:val="页脚 字符"/>
    <w:link w:val="a3"/>
    <w:uiPriority w:val="99"/>
    <w:rPr>
      <w:rFonts w:ascii="等线" w:eastAsia="等线" w:hAnsi="等线" w:hint="default"/>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1135</Words>
  <Characters>6475</Characters>
  <Application>Microsoft Office Word</Application>
  <DocSecurity>0</DocSecurity>
  <Lines>53</Lines>
  <Paragraphs>15</Paragraphs>
  <ScaleCrop>false</ScaleCrop>
  <Company/>
  <LinksUpToDate>false</LinksUpToDate>
  <CharactersWithSpaces>7595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虹 潘</cp:lastModifiedBy>
  <cp:revision>9</cp:revision>
  <dcterms:created xsi:type="dcterms:W3CDTF">2023-08-21T07:16:00Z</dcterms:created>
  <dcterms:modified xsi:type="dcterms:W3CDTF">2023-09-01T08:28:00Z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B13AC15CCC4145C9A392D8761DA87A5A_13</vt:lpwstr>
  </property>
</Properties>
</file>