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C635C9" w:rsidRDefault="00C635C9">
      <w:pPr>
        <w:shd w:val="clear" w:color="auto" w:fill="FFFFFF"/>
        <w:autoSpaceDE w:val="0"/>
        <w:autoSpaceDN w:val="0"/>
        <w:adjustRightInd w:val="0"/>
        <w:spacing w:before="240" w:after="240"/>
        <w:jc w:val="center"/>
        <w:rPr>
          <w:rFonts w:ascii="Times New Roman" w:hint="default"/>
          <w:kern w:val="36"/>
          <w:sz w:val="40"/>
          <w:szCs w:val="40"/>
          <w:lang w:val="zh-CN"/>
        </w:rPr>
      </w:pPr>
    </w:p>
    <w:p w:rsidR="00C635C9" w:rsidRDefault="00C635C9">
      <w:pPr>
        <w:shd w:val="clear" w:color="auto" w:fill="FFFFFF"/>
        <w:autoSpaceDE w:val="0"/>
        <w:autoSpaceDN w:val="0"/>
        <w:adjustRightInd w:val="0"/>
        <w:spacing w:before="240" w:after="240"/>
        <w:jc w:val="center"/>
        <w:rPr>
          <w:rFonts w:ascii="Times New Roman" w:hint="default"/>
          <w:kern w:val="36"/>
          <w:sz w:val="40"/>
          <w:szCs w:val="40"/>
          <w:lang w:val="zh-CN"/>
        </w:rPr>
      </w:pPr>
    </w:p>
    <w:p w:rsidR="00C635C9"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乌鲁木齐市米东区永祥街街道办事处</w:t>
      </w:r>
    </w:p>
    <w:p w:rsidR="00C635C9"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rsidR="00C635C9" w:rsidRDefault="00C635C9">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rsidR="00C635C9"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rsidR="00C635C9"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rsidR="00C635C9"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rsidR="00C635C9"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rsidR="00C635C9"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rsidR="00C635C9"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rsidR="00C635C9"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一、《收入支出决算总表》</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四、《财政拨款收入支出决算总表》</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rsidR="00C635C9"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rsidR="00C635C9" w:rsidRDefault="00C635C9">
      <w:pPr>
        <w:autoSpaceDE w:val="0"/>
        <w:autoSpaceDN w:val="0"/>
        <w:adjustRightInd w:val="0"/>
        <w:spacing w:line="540" w:lineRule="exact"/>
        <w:ind w:firstLine="640"/>
        <w:rPr>
          <w:rFonts w:ascii="Times New Roman" w:eastAsia="仿宋_GB2312" w:hAnsi="Times New Roman" w:hint="default"/>
          <w:b/>
          <w:kern w:val="0"/>
          <w:sz w:val="28"/>
          <w:szCs w:val="28"/>
        </w:rPr>
      </w:pPr>
    </w:p>
    <w:p w:rsidR="00C635C9" w:rsidRDefault="00C635C9">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rsidR="00C635C9" w:rsidRDefault="00000000">
      <w:pPr>
        <w:shd w:val="clear" w:color="auto" w:fill="FFFFFF"/>
        <w:autoSpaceDE w:val="0"/>
        <w:autoSpaceDN w:val="0"/>
        <w:adjustRightInd w:val="0"/>
        <w:spacing w:line="360" w:lineRule="auto"/>
        <w:jc w:val="center"/>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rsidR="00C635C9"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rsidR="00C635C9"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1、受区委、区人民政府委托，统一领导和管理辖区党务、行政和社会事务工作，促进片区和谐发展；</w:t>
      </w:r>
    </w:p>
    <w:p w:rsidR="00C635C9"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2、拟订片区发展规划，提出强化</w:t>
      </w:r>
      <w:r>
        <w:rPr>
          <w:rFonts w:ascii="仿宋_GB2312" w:eastAsia="仿宋_GB2312" w:hAnsi="Times New Roman" w:cs="仿宋_GB2312" w:hint="default"/>
          <w:kern w:val="0"/>
          <w:sz w:val="32"/>
          <w:szCs w:val="32"/>
          <w:lang w:val="zh-CN"/>
        </w:rPr>
        <w:t>“</w:t>
      </w:r>
      <w:r>
        <w:rPr>
          <w:rFonts w:ascii="仿宋_GB2312" w:eastAsia="仿宋_GB2312" w:hAnsi="Times New Roman" w:cs="仿宋_GB2312" w:hint="default"/>
          <w:kern w:val="0"/>
          <w:sz w:val="32"/>
          <w:szCs w:val="32"/>
          <w:lang w:val="zh-CN"/>
        </w:rPr>
        <w:t>两个机制</w:t>
      </w:r>
      <w:r>
        <w:rPr>
          <w:rFonts w:ascii="仿宋_GB2312" w:eastAsia="仿宋_GB2312" w:hAnsi="Times New Roman" w:cs="仿宋_GB2312" w:hint="default"/>
          <w:kern w:val="0"/>
          <w:sz w:val="32"/>
          <w:szCs w:val="32"/>
          <w:lang w:val="zh-CN"/>
        </w:rPr>
        <w:t>”</w:t>
      </w:r>
      <w:r>
        <w:rPr>
          <w:rFonts w:ascii="仿宋_GB2312" w:eastAsia="仿宋_GB2312" w:hAnsi="Times New Roman" w:cs="仿宋_GB2312" w:hint="default"/>
          <w:kern w:val="0"/>
          <w:sz w:val="32"/>
          <w:szCs w:val="32"/>
          <w:lang w:val="zh-CN"/>
        </w:rPr>
        <w:t>、夯实基层基础工作的建议和措施，并组织实施；</w:t>
      </w:r>
    </w:p>
    <w:p w:rsidR="00C635C9"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3、统筹整合辖区行政资源、社会资源和公共服务资源，综合协调相关职能部门和驻区企事业单位，为辖区商户、居民提供民生保障、社会治安、城市管理等综合服务；</w:t>
      </w:r>
    </w:p>
    <w:p w:rsidR="00C635C9"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4、对相关职能部门和驻区企事业单位履行社会管理和公共服务职能情况进行监督、检查和考核；</w:t>
      </w:r>
    </w:p>
    <w:p w:rsidR="00C635C9"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hint="default"/>
          <w:kern w:val="0"/>
          <w:sz w:val="32"/>
          <w:szCs w:val="32"/>
          <w:lang w:val="zh-CN"/>
        </w:rPr>
        <w:t>5、承办区委、区人民政府交办的其他事项。部门重点工作计划</w:t>
      </w:r>
      <w:r>
        <w:rPr>
          <w:rFonts w:ascii="仿宋_GB2312" w:eastAsia="仿宋_GB2312" w:hAnsi="Times New Roman" w:cs="仿宋_GB2312"/>
          <w:kern w:val="0"/>
          <w:sz w:val="32"/>
          <w:szCs w:val="32"/>
          <w:lang w:val="zh-CN"/>
        </w:rPr>
        <w:t>。</w:t>
      </w:r>
    </w:p>
    <w:p w:rsidR="00C635C9"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乌鲁木齐市米东区永祥街街道办事处2022年度，实有人数92人，其中：在职人员92人，离休人员0人，退休人员0人。</w:t>
      </w:r>
    </w:p>
    <w:p w:rsidR="00C635C9"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从部门决算单位构成看，乌鲁木齐市米东区永祥街街道办事处部门决算包括：乌鲁木齐市米东区永祥街街道办事处</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5</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rPr>
        <w:t>为党群服务中心、社会事务（统计）服务中心（退役军人服务站）、综治中心（网格化服务中心）、城市管理综合行政执法中心、防疫专员办公</w:t>
      </w:r>
      <w:r>
        <w:rPr>
          <w:rFonts w:ascii="仿宋_GB2312" w:eastAsia="仿宋_GB2312" w:hAnsi="Times New Roman" w:cs="仿宋_GB2312"/>
          <w:kern w:val="0"/>
          <w:sz w:val="32"/>
          <w:szCs w:val="32"/>
        </w:rPr>
        <w:lastRenderedPageBreak/>
        <w:t>室（公共卫生服务指导中心）</w:t>
      </w:r>
      <w:r>
        <w:rPr>
          <w:rFonts w:ascii="仿宋_GB2312" w:eastAsia="仿宋_GB2312" w:hAnsi="Times New Roman" w:cs="仿宋_GB2312"/>
          <w:kern w:val="0"/>
          <w:sz w:val="32"/>
          <w:szCs w:val="32"/>
          <w:lang w:val="zh-CN"/>
        </w:rPr>
        <w:t>。</w:t>
      </w:r>
    </w:p>
    <w:p w:rsidR="00C635C9" w:rsidRDefault="00000000">
      <w:pPr>
        <w:shd w:val="clear" w:color="auto" w:fill="FFFFFF"/>
        <w:autoSpaceDE w:val="0"/>
        <w:autoSpaceDN w:val="0"/>
        <w:adjustRightInd w:val="0"/>
        <w:spacing w:before="100" w:after="240"/>
        <w:jc w:val="center"/>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rsidR="00C635C9"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rsidR="00C635C9"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3,248.91万元，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3,248.91</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与上年相比，增加371.49万元，增长12.91%，主要原因是：本年追加2021年未完</w:t>
      </w:r>
      <w:proofErr w:type="gramStart"/>
      <w:r>
        <w:rPr>
          <w:rFonts w:ascii="仿宋_GB2312" w:eastAsia="仿宋_GB2312" w:hAnsi="Times New Roman" w:cs="仿宋_GB2312"/>
          <w:kern w:val="0"/>
          <w:sz w:val="32"/>
          <w:szCs w:val="32"/>
        </w:rPr>
        <w:t>全支付</w:t>
      </w:r>
      <w:proofErr w:type="gramEnd"/>
      <w:r>
        <w:rPr>
          <w:rFonts w:ascii="仿宋_GB2312" w:eastAsia="仿宋_GB2312" w:hAnsi="Times New Roman" w:cs="仿宋_GB2312"/>
          <w:kern w:val="0"/>
          <w:sz w:val="32"/>
          <w:szCs w:val="32"/>
        </w:rPr>
        <w:t>的社保、公积金、养老、追加2021年事业人员绩效等人员经费，</w:t>
      </w:r>
      <w:proofErr w:type="gramStart"/>
      <w:r>
        <w:rPr>
          <w:rFonts w:ascii="仿宋_GB2312" w:eastAsia="仿宋_GB2312" w:hAnsi="Times New Roman" w:cs="仿宋_GB2312"/>
          <w:kern w:val="0"/>
          <w:sz w:val="32"/>
          <w:szCs w:val="32"/>
        </w:rPr>
        <w:t>增加分流</w:t>
      </w:r>
      <w:proofErr w:type="gramEnd"/>
      <w:r>
        <w:rPr>
          <w:rFonts w:ascii="仿宋_GB2312" w:eastAsia="仿宋_GB2312" w:hAnsi="Times New Roman" w:cs="仿宋_GB2312"/>
          <w:kern w:val="0"/>
          <w:sz w:val="32"/>
          <w:szCs w:val="32"/>
        </w:rPr>
        <w:t>执法岗人员工资、困难人员补助金等项目经费，导致收入增加。</w:t>
      </w:r>
    </w:p>
    <w:p w:rsidR="00C635C9"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3,248.91万元，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3,225.74</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23.17</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与上年相比，增加371.49万元，增长12.91%，主要原因是：本年追加2021年未完</w:t>
      </w:r>
      <w:proofErr w:type="gramStart"/>
      <w:r>
        <w:rPr>
          <w:rFonts w:ascii="仿宋_GB2312" w:eastAsia="仿宋_GB2312" w:hAnsi="Times New Roman" w:cs="仿宋_GB2312"/>
          <w:kern w:val="0"/>
          <w:sz w:val="32"/>
          <w:szCs w:val="32"/>
        </w:rPr>
        <w:t>全支付</w:t>
      </w:r>
      <w:proofErr w:type="gramEnd"/>
      <w:r>
        <w:rPr>
          <w:rFonts w:ascii="仿宋_GB2312" w:eastAsia="仿宋_GB2312" w:hAnsi="Times New Roman" w:cs="仿宋_GB2312"/>
          <w:kern w:val="0"/>
          <w:sz w:val="32"/>
          <w:szCs w:val="32"/>
        </w:rPr>
        <w:t>的社保、公积金、养老、追加2021年事业人员绩效等人员经费，</w:t>
      </w:r>
      <w:proofErr w:type="gramStart"/>
      <w:r>
        <w:rPr>
          <w:rFonts w:ascii="仿宋_GB2312" w:eastAsia="仿宋_GB2312" w:hAnsi="Times New Roman" w:cs="仿宋_GB2312"/>
          <w:kern w:val="0"/>
          <w:sz w:val="32"/>
          <w:szCs w:val="32"/>
        </w:rPr>
        <w:t>增加分流</w:t>
      </w:r>
      <w:proofErr w:type="gramEnd"/>
      <w:r>
        <w:rPr>
          <w:rFonts w:ascii="仿宋_GB2312" w:eastAsia="仿宋_GB2312" w:hAnsi="Times New Roman" w:cs="仿宋_GB2312"/>
          <w:kern w:val="0"/>
          <w:sz w:val="32"/>
          <w:szCs w:val="32"/>
        </w:rPr>
        <w:t>执法岗人员工资、困难人员补助金等项目经费，支出增加。</w:t>
      </w:r>
    </w:p>
    <w:p w:rsidR="00C635C9"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3,248.91万元，其中：财政拨款收入3,248.91万元，占100.00%；上级补助收入0.00万元，占0.00%；事业收入0.00万元，占0.00%；经营收入0.00万元，占0.00%；附属单位上缴收入0.00万元，占0.00%；其他收入0.00万元，占</w:t>
      </w:r>
      <w:r>
        <w:rPr>
          <w:rFonts w:ascii="仿宋_GB2312" w:eastAsia="仿宋_GB2312" w:hAnsi="Times New Roman" w:cs="仿宋_GB2312"/>
          <w:kern w:val="0"/>
          <w:sz w:val="32"/>
          <w:szCs w:val="32"/>
        </w:rPr>
        <w:lastRenderedPageBreak/>
        <w:t>0.00%。</w:t>
      </w:r>
    </w:p>
    <w:p w:rsidR="00C635C9"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2022年度本年支出3,225.74万元，其中：基本支出3,225.74万元，占100.00%；项目支出0.00万元，占0.00%；上缴上级支出0.00万元，占0.00%；经营支出0.00万元，占0.00%；对附属单位补助支出0.00万元，占0.00%。</w:t>
      </w:r>
    </w:p>
    <w:p w:rsidR="00C635C9"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rsidR="00C635C9"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3,248.91万元，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3,248.91</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与上年相比，增加371.49万元，增长12.91%，主要原因是：本年追加2021年未完</w:t>
      </w:r>
      <w:proofErr w:type="gramStart"/>
      <w:r>
        <w:rPr>
          <w:rFonts w:ascii="仿宋_GB2312" w:eastAsia="仿宋_GB2312" w:hAnsi="Times New Roman" w:cs="仿宋_GB2312"/>
          <w:kern w:val="0"/>
          <w:sz w:val="32"/>
          <w:szCs w:val="32"/>
        </w:rPr>
        <w:t>全支付</w:t>
      </w:r>
      <w:proofErr w:type="gramEnd"/>
      <w:r>
        <w:rPr>
          <w:rFonts w:ascii="仿宋_GB2312" w:eastAsia="仿宋_GB2312" w:hAnsi="Times New Roman" w:cs="仿宋_GB2312"/>
          <w:kern w:val="0"/>
          <w:sz w:val="32"/>
          <w:szCs w:val="32"/>
        </w:rPr>
        <w:t>的社保、公积金、养老、追加2021年事业人员绩效等人员经费，</w:t>
      </w:r>
      <w:proofErr w:type="gramStart"/>
      <w:r>
        <w:rPr>
          <w:rFonts w:ascii="仿宋_GB2312" w:eastAsia="仿宋_GB2312" w:hAnsi="Times New Roman" w:cs="仿宋_GB2312"/>
          <w:kern w:val="0"/>
          <w:sz w:val="32"/>
          <w:szCs w:val="32"/>
        </w:rPr>
        <w:t>增加分流</w:t>
      </w:r>
      <w:proofErr w:type="gramEnd"/>
      <w:r>
        <w:rPr>
          <w:rFonts w:ascii="仿宋_GB2312" w:eastAsia="仿宋_GB2312" w:hAnsi="Times New Roman" w:cs="仿宋_GB2312"/>
          <w:kern w:val="0"/>
          <w:sz w:val="32"/>
          <w:szCs w:val="32"/>
        </w:rPr>
        <w:t>执法岗人员工资、困难人员补助金等项目经费，导致收入增加。</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3,248.91万元，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23.17</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3,225.74</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与上年相比，增加371.49万元，增长12.91%，主要原因是：本年追加2021年未完</w:t>
      </w:r>
      <w:proofErr w:type="gramStart"/>
      <w:r>
        <w:rPr>
          <w:rFonts w:ascii="仿宋_GB2312" w:eastAsia="仿宋_GB2312" w:hAnsi="Times New Roman" w:cs="仿宋_GB2312"/>
          <w:kern w:val="0"/>
          <w:sz w:val="32"/>
          <w:szCs w:val="32"/>
        </w:rPr>
        <w:t>全支付</w:t>
      </w:r>
      <w:proofErr w:type="gramEnd"/>
      <w:r>
        <w:rPr>
          <w:rFonts w:ascii="仿宋_GB2312" w:eastAsia="仿宋_GB2312" w:hAnsi="Times New Roman" w:cs="仿宋_GB2312"/>
          <w:kern w:val="0"/>
          <w:sz w:val="32"/>
          <w:szCs w:val="32"/>
        </w:rPr>
        <w:t>的社保、公积金、养老、追加2021年事业人员绩效等人员经费，</w:t>
      </w:r>
      <w:proofErr w:type="gramStart"/>
      <w:r>
        <w:rPr>
          <w:rFonts w:ascii="仿宋_GB2312" w:eastAsia="仿宋_GB2312" w:hAnsi="Times New Roman" w:cs="仿宋_GB2312"/>
          <w:kern w:val="0"/>
          <w:sz w:val="32"/>
          <w:szCs w:val="32"/>
        </w:rPr>
        <w:t>增加分流</w:t>
      </w:r>
      <w:proofErr w:type="gramEnd"/>
      <w:r>
        <w:rPr>
          <w:rFonts w:ascii="仿宋_GB2312" w:eastAsia="仿宋_GB2312" w:hAnsi="Times New Roman" w:cs="仿宋_GB2312"/>
          <w:kern w:val="0"/>
          <w:sz w:val="32"/>
          <w:szCs w:val="32"/>
        </w:rPr>
        <w:t>执法岗人员工资、困难人员补助金等项目经费，支出增加。</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年初预算数4,009.89万元，决算数3,248.91万元，预决算差异率-18.98%，</w:t>
      </w:r>
      <w:r>
        <w:rPr>
          <w:rFonts w:ascii="仿宋_GB2312" w:eastAsia="仿宋_GB2312" w:hAnsi="Times New Roman" w:cs="仿宋_GB2312"/>
          <w:kern w:val="0"/>
          <w:sz w:val="32"/>
          <w:szCs w:val="32"/>
        </w:rPr>
        <w:lastRenderedPageBreak/>
        <w:t>主要原因是：本年年中调减社区运转经费、便民</w:t>
      </w:r>
      <w:proofErr w:type="gramStart"/>
      <w:r>
        <w:rPr>
          <w:rFonts w:ascii="仿宋_GB2312" w:eastAsia="仿宋_GB2312" w:hAnsi="Times New Roman" w:cs="仿宋_GB2312"/>
          <w:kern w:val="0"/>
          <w:sz w:val="32"/>
          <w:szCs w:val="32"/>
        </w:rPr>
        <w:t>站经费</w:t>
      </w:r>
      <w:proofErr w:type="gramEnd"/>
      <w:r>
        <w:rPr>
          <w:rFonts w:ascii="仿宋_GB2312" w:eastAsia="仿宋_GB2312" w:hAnsi="Times New Roman" w:cs="仿宋_GB2312"/>
          <w:kern w:val="0"/>
          <w:sz w:val="32"/>
          <w:szCs w:val="32"/>
        </w:rPr>
        <w:t>及管委会运转经费，与预算相比导致差异。财政拨款支出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年初预算数4,009.89万元，决算数3,248.91万元，预决算差异率-18.98%，主要原因是：本年年中调减社区运转经费、便民</w:t>
      </w:r>
      <w:proofErr w:type="gramStart"/>
      <w:r>
        <w:rPr>
          <w:rFonts w:ascii="仿宋_GB2312" w:eastAsia="仿宋_GB2312" w:hAnsi="Times New Roman" w:cs="仿宋_GB2312"/>
          <w:kern w:val="0"/>
          <w:sz w:val="32"/>
          <w:szCs w:val="32"/>
        </w:rPr>
        <w:t>站经费</w:t>
      </w:r>
      <w:proofErr w:type="gramEnd"/>
      <w:r>
        <w:rPr>
          <w:rFonts w:ascii="仿宋_GB2312" w:eastAsia="仿宋_GB2312" w:hAnsi="Times New Roman" w:cs="仿宋_GB2312"/>
          <w:kern w:val="0"/>
          <w:sz w:val="32"/>
          <w:szCs w:val="32"/>
        </w:rPr>
        <w:t>及管委会运转经费，与预算相比导致差异。</w:t>
      </w:r>
    </w:p>
    <w:p w:rsidR="00C635C9"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rsidR="00C635C9"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rsidR="00C635C9"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3,225.74</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增加348.32万元，增长12.11%，主要原因是：本年</w:t>
      </w:r>
      <w:r w:rsidR="00ED7666">
        <w:rPr>
          <w:rFonts w:ascii="仿宋_GB2312" w:eastAsia="仿宋_GB2312" w:hAnsi="Times New Roman" w:cs="仿宋_GB2312"/>
          <w:kern w:val="0"/>
          <w:sz w:val="32"/>
          <w:szCs w:val="32"/>
        </w:rPr>
        <w:t>增</w:t>
      </w:r>
      <w:r>
        <w:rPr>
          <w:rFonts w:ascii="仿宋_GB2312" w:eastAsia="仿宋_GB2312" w:hAnsi="Times New Roman" w:cs="仿宋_GB2312"/>
          <w:kern w:val="0"/>
          <w:sz w:val="32"/>
          <w:szCs w:val="32"/>
        </w:rPr>
        <w:t>加2021年未完</w:t>
      </w:r>
      <w:proofErr w:type="gramStart"/>
      <w:r>
        <w:rPr>
          <w:rFonts w:ascii="仿宋_GB2312" w:eastAsia="仿宋_GB2312" w:hAnsi="Times New Roman" w:cs="仿宋_GB2312"/>
          <w:kern w:val="0"/>
          <w:sz w:val="32"/>
          <w:szCs w:val="32"/>
        </w:rPr>
        <w:t>全支付</w:t>
      </w:r>
      <w:proofErr w:type="gramEnd"/>
      <w:r>
        <w:rPr>
          <w:rFonts w:ascii="仿宋_GB2312" w:eastAsia="仿宋_GB2312" w:hAnsi="Times New Roman" w:cs="仿宋_GB2312"/>
          <w:kern w:val="0"/>
          <w:sz w:val="32"/>
          <w:szCs w:val="32"/>
        </w:rPr>
        <w:t>的社保、公积金、养老、</w:t>
      </w:r>
      <w:r w:rsidR="00ED7666">
        <w:rPr>
          <w:rFonts w:ascii="仿宋_GB2312" w:eastAsia="仿宋_GB2312" w:hAnsi="Times New Roman" w:cs="仿宋_GB2312"/>
          <w:kern w:val="0"/>
          <w:sz w:val="32"/>
          <w:szCs w:val="32"/>
        </w:rPr>
        <w:t>增加</w:t>
      </w:r>
      <w:r>
        <w:rPr>
          <w:rFonts w:ascii="仿宋_GB2312" w:eastAsia="仿宋_GB2312" w:hAnsi="Times New Roman" w:cs="仿宋_GB2312"/>
          <w:kern w:val="0"/>
          <w:sz w:val="32"/>
          <w:szCs w:val="32"/>
        </w:rPr>
        <w:t>2021年事业人员绩效等人员经费，</w:t>
      </w:r>
      <w:proofErr w:type="gramStart"/>
      <w:r>
        <w:rPr>
          <w:rFonts w:ascii="仿宋_GB2312" w:eastAsia="仿宋_GB2312" w:hAnsi="Times New Roman" w:cs="仿宋_GB2312"/>
          <w:kern w:val="0"/>
          <w:sz w:val="32"/>
          <w:szCs w:val="32"/>
        </w:rPr>
        <w:t>增加分流</w:t>
      </w:r>
      <w:proofErr w:type="gramEnd"/>
      <w:r>
        <w:rPr>
          <w:rFonts w:ascii="仿宋_GB2312" w:eastAsia="仿宋_GB2312" w:hAnsi="Times New Roman" w:cs="仿宋_GB2312"/>
          <w:kern w:val="0"/>
          <w:sz w:val="32"/>
          <w:szCs w:val="32"/>
        </w:rPr>
        <w:t>执法岗人员工资、困难人员补助金等项目经费，支出增加。</w:t>
      </w:r>
    </w:p>
    <w:p w:rsidR="00C635C9"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rsidR="00C635C9"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1.一般公共服务支出（类）467.44万元，占14.49%；</w:t>
      </w:r>
    </w:p>
    <w:p w:rsidR="00C635C9"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w:t>
      </w:r>
      <w:r>
        <w:rPr>
          <w:rFonts w:ascii="仿宋_GB2312" w:eastAsia="仿宋_GB2312" w:hAnsi="Times New Roman" w:cs="仿宋_GB2312"/>
          <w:kern w:val="0"/>
          <w:sz w:val="32"/>
          <w:szCs w:val="32"/>
        </w:rPr>
        <w:t>社会保障和就业支出（类）2,755.10万元，占85.41%；</w:t>
      </w:r>
    </w:p>
    <w:p w:rsidR="00C635C9"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3.卫生健康支出（类）3.20万元，占0.10%。</w:t>
      </w:r>
    </w:p>
    <w:p w:rsidR="00C635C9" w:rsidRDefault="00000000">
      <w:pPr>
        <w:autoSpaceDE w:val="0"/>
        <w:autoSpaceDN w:val="0"/>
        <w:adjustRightInd w:val="0"/>
        <w:spacing w:line="600" w:lineRule="exact"/>
        <w:ind w:firstLine="640"/>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rsidR="00C635C9"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一般公共服务支出（类）政府办公厅（室）及相关机构事务（款）行政运行（项）:支出决算数为188.78万元，比上年决算减少59.70万元，下降24.03%，主要原因是：本年便民服务站人员流动较大，便民服务站人员减少，此项功能科目支出减</w:t>
      </w:r>
      <w:r>
        <w:rPr>
          <w:rFonts w:ascii="仿宋_GB2312" w:eastAsia="仿宋_GB2312" w:hAnsi="Times New Roman" w:cs="仿宋_GB2312"/>
          <w:sz w:val="32"/>
          <w:szCs w:val="32"/>
        </w:rPr>
        <w:lastRenderedPageBreak/>
        <w:t>少；</w:t>
      </w:r>
    </w:p>
    <w:p w:rsidR="00C635C9"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一般公共服务支出（类）政府办公厅（室）及相关机构事务（款）机关服务（项）:支出决算数为278.66万元，比上年决算增加151.25万元，增长118.71%，主要原因是：本年增加便民服务站及防疫公岗人员工资及社保，且在职人员工资、社保公积金基数上调，导致此项支出增加；</w:t>
      </w:r>
    </w:p>
    <w:p w:rsidR="00C635C9"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3.一般公共服务支出（类）其他共产党事务支出（款）行政运行（项）:支出决算数为0.00万元，比上年决算减少61.43万元，下降100.00%，主要原因是：本年此功能科目未支出；</w:t>
      </w:r>
    </w:p>
    <w:p w:rsidR="00C635C9"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社会保障和就业支出（类）民政管理事务（款）基层政权建设和社区治理（项）:支出决算数为2,634.54万元，比上年决算增加336.12万元，增长14.62%，主要原因是：本年增加便民服务站及防疫公岗人员工资及社保，且在职人员工资、社保公积金基数上调，导致此项支出增加；</w:t>
      </w:r>
    </w:p>
    <w:p w:rsidR="00C635C9"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5.社会保障和就业支出（类）行政事业单位养老支出（款）机关事业单位基本养老保险缴费支出（项）:支出决算数为117.56万元，比上年决算减少5.64万元，下降4.58%，主要原因是：本年便民服务站人员流动较大，便民服务站人员减少，养老保险缴费减少，此项功能科目支出减少；</w:t>
      </w:r>
    </w:p>
    <w:p w:rsidR="00C635C9"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6.社会保障和就业支出（类）其他生活救助（款）其他城市生活救助（项）:支出决算数为3.00万元，比上年决算增加3.00</w:t>
      </w:r>
      <w:r>
        <w:rPr>
          <w:rFonts w:ascii="仿宋_GB2312" w:eastAsia="仿宋_GB2312" w:hAnsi="Times New Roman" w:cs="仿宋_GB2312"/>
          <w:sz w:val="32"/>
          <w:szCs w:val="32"/>
        </w:rPr>
        <w:lastRenderedPageBreak/>
        <w:t>万元，增长100.00%，主要原因是：本年增加困难人员补助金项目经费，此项支出增加；</w:t>
      </w:r>
    </w:p>
    <w:p w:rsidR="00C635C9"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7.卫生健康支出（类）公共卫生（款）其他专业公共卫生机构（项）:支出决算数为0.00万元，比上年决算减少17.03万元，下降100.00%，主要原因是：本年此功能科目未支出；</w:t>
      </w:r>
    </w:p>
    <w:p w:rsidR="00C635C9"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8.卫生健康支出（类）公共卫生（款）突发公共卫生事件应急处理（项）:支出决算数为1.75万元，比上年决算增加1.75万元，增长100.00%，主要原因是：本年增加滞留外地困难人员补助金，此项功能科目支出增加；</w:t>
      </w:r>
    </w:p>
    <w:p w:rsidR="00C635C9" w:rsidRDefault="00000000">
      <w:pPr>
        <w:autoSpaceDE w:val="0"/>
        <w:autoSpaceDN w:val="0"/>
        <w:adjustRightInd w:val="0"/>
        <w:spacing w:line="600" w:lineRule="exact"/>
        <w:ind w:firstLine="640"/>
        <w:rPr>
          <w:rFonts w:ascii="Times New Roman" w:eastAsia="仿宋_GB2312" w:hAnsi="Times New Roman" w:hint="default"/>
          <w:sz w:val="32"/>
          <w:szCs w:val="32"/>
        </w:rPr>
      </w:pPr>
      <w:r>
        <w:rPr>
          <w:rFonts w:ascii="仿宋_GB2312" w:eastAsia="仿宋_GB2312" w:hAnsi="Times New Roman" w:cs="仿宋_GB2312"/>
          <w:sz w:val="32"/>
          <w:szCs w:val="32"/>
        </w:rPr>
        <w:t>9.卫生健康支出（类）计划生育事务（款）计划生育服务（项）:支出决算数为1.45万元，比上年决算增加0.00万元，增长0.00%，主要原因是：本年此项功能科目支出较上年相比无变化。</w:t>
      </w:r>
    </w:p>
    <w:p w:rsidR="00C635C9"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2022年度一般公共预算财政拨款基本支出3,225.74万元，其中：</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人员经费1,400.42万元，包括：基本工资、奖金、机关事业单位基本养老保险缴费、职工基本医疗保险缴费、公务员医疗补助缴费、其他社会保障缴费、住房公积金、其他工资福利支出、生活补助。</w:t>
      </w:r>
    </w:p>
    <w:p w:rsidR="00C635C9"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公用经费1,825.32万元，包括：办公费、水费、电费、邮</w:t>
      </w:r>
      <w:r>
        <w:rPr>
          <w:rFonts w:ascii="仿宋_GB2312" w:eastAsia="仿宋_GB2312" w:hAnsi="Times New Roman" w:cs="仿宋_GB2312"/>
          <w:kern w:val="0"/>
          <w:sz w:val="32"/>
          <w:szCs w:val="32"/>
        </w:rPr>
        <w:lastRenderedPageBreak/>
        <w:t>电费、租赁费、劳务费、公务用车运行维护费、其他交通费用、其他商品和服务支出。</w:t>
      </w:r>
    </w:p>
    <w:p w:rsidR="00C635C9"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1.45万元，比上年增加0.00万元，增长0.00%，主要原因是：与上年对比无变化。其中：因公出国（境）费支出0.00万元，占0.00%，比上年增加0.00万元，增长0.00%，主要原因是：本年单位无因公出国（境）费支出；公务用车购置及运行维护费支出1.45万元，占100.00%，比上年增加0.00万元，增长0.00%，主要原因是：与上年对比无变化；公务接待费支出0.00万元，占0.00%，比上年增加0.00万元，增长0.00%，主要原因是：本年单位无此项支出。具体情况如下：</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1.45万元，其中：公务用车购置费0.00万元，公务用车运行维护费1.45万元。公务用车运行维护费开支内容包括公务用车燃油费、车辆维修维护费、保险费、过路费等。公务用车购置数0辆，公务用车保有量17辆。</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公务接待费0.00万元，开支内容包括本年单位无此项支出。单位全年安排的国内公务接待0批次，0人次。</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1.45万元，决算数1.45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1.45万元，决算数1.45万元，预决算差异率0.00%，主要原因是：单位严格执行“三公”经费支出标准，未超预算；公务接待费全年预算数0.00万元，决算数0.00万元，预决算差异率0.00%，主要原因是：本年单位无此项支出。</w:t>
      </w:r>
    </w:p>
    <w:p w:rsidR="00C635C9"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rsidR="00C635C9"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rsidR="00C635C9"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rsidR="00C635C9"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rsidR="00C635C9"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rsidR="00C635C9"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2022年度乌鲁木齐市米东区永祥街街道办事处单位机关运</w:t>
      </w:r>
      <w:r>
        <w:rPr>
          <w:rFonts w:ascii="仿宋_GB2312" w:eastAsia="仿宋_GB2312" w:hAnsi="Times New Roman" w:cs="仿宋_GB2312"/>
          <w:kern w:val="0"/>
          <w:sz w:val="32"/>
          <w:szCs w:val="32"/>
        </w:rPr>
        <w:lastRenderedPageBreak/>
        <w:t>行经费支出1,825.32万元，比上年减少98.83万元，下降5.14%，主要原因是：本年</w:t>
      </w:r>
      <w:r>
        <w:rPr>
          <w:rFonts w:ascii="仿宋_GB2312" w:eastAsia="仿宋_GB2312" w:hAnsi="Times New Roman"/>
          <w:kern w:val="0"/>
          <w:sz w:val="32"/>
          <w:szCs w:val="24"/>
        </w:rPr>
        <w:t>因疫情等原因，</w:t>
      </w:r>
      <w:r>
        <w:rPr>
          <w:rFonts w:ascii="仿宋_GB2312" w:eastAsia="仿宋_GB2312" w:hAnsi="仿宋_GB2312"/>
          <w:kern w:val="0"/>
          <w:sz w:val="32"/>
          <w:szCs w:val="24"/>
        </w:rPr>
        <w:t>办公费、取暖费、维修（护）费等经费</w:t>
      </w:r>
      <w:r>
        <w:rPr>
          <w:rFonts w:ascii="仿宋_GB2312" w:eastAsia="仿宋_GB2312" w:hAnsi="Times New Roman"/>
          <w:kern w:val="0"/>
          <w:sz w:val="32"/>
          <w:szCs w:val="24"/>
        </w:rPr>
        <w:t>未完全支出</w:t>
      </w:r>
      <w:r>
        <w:rPr>
          <w:rFonts w:ascii="仿宋_GB2312" w:eastAsia="仿宋_GB2312" w:hAnsi="Times New Roman" w:cs="仿宋_GB2312"/>
          <w:kern w:val="0"/>
          <w:sz w:val="32"/>
          <w:szCs w:val="32"/>
        </w:rPr>
        <w:t>。</w:t>
      </w:r>
    </w:p>
    <w:p w:rsidR="00C635C9"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2022年度政府采购支出总额47.81万元，其中：政府采购货物支出37.76万元、政府采购工程支出0.00万元、政府采购服务支出10.05万元。</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授予中小企业合同金额44.01万元，占政府采购支出总额的92.05%，其中：授予小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合同金额42.06万元，占政府采购支出总额的87.97%。</w:t>
      </w:r>
    </w:p>
    <w:p w:rsidR="00C635C9"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348.87</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0.00平方米，价值0.00万元。车辆17辆，价值95.21万元，其中：副部（省）级及以上领导用车0辆、主要领导干部用车0辆、机要通信用车0辆、应急保障用车0辆、执法执勤用车2辆、特种专业技术用车0辆、离退休干部用车0辆、其他用车15辆，其他用车主要是：单位业务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rsidR="00C635C9"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根据预算绩效管理要求，我单位2022年度开展预算绩效评价项目2个，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4.75</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4.75</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rPr>
        <w:lastRenderedPageBreak/>
        <w:t>绩效管理取得的成效：一是效益评价，我单位资金运行维护决策正确，资金管理规范，项目管理到位，政策执行有力，有效发挥了财政资金的使用效率。1、预算执行方面，支出总额控制在预算总额以内；2、预算管理方面，制度执行总体较为有效；3、资产管理方面，建立了资产管理制度，定期进行了盘点和资产清理，总体执行较好；二是效率性评价，我单位各项工作实施及资金使用情况均在绩效目标设定时限完成。预算安排的基本支出保障了正常的工作运转，预算安排的项目支出非常必要，在执行上是严格遵守各项财经纪律，在项目资金的使用上也是放心的，严守法律底线、纪律底线、道德底线。发现的问题及原因：一是完善管理制度，进一步加强资产管理进一步贯彻落实中央“八项规定”和相关财经纪律和财务制度，建立本单位公务支出管理制度及厉行节约制度，加强经费审批和控制，规范支出标准与范围，并严格执行。严格按照《固定资产管理办法》的规定加强固定资产管理，及时登记、</w:t>
      </w:r>
      <w:proofErr w:type="gramStart"/>
      <w:r>
        <w:rPr>
          <w:rFonts w:ascii="仿宋_GB2312" w:eastAsia="仿宋_GB2312" w:hAnsi="Times New Roman" w:cs="仿宋_GB2312"/>
          <w:kern w:val="0"/>
          <w:sz w:val="32"/>
          <w:szCs w:val="32"/>
        </w:rPr>
        <w:t>更新台</w:t>
      </w:r>
      <w:proofErr w:type="gramEnd"/>
      <w:r>
        <w:rPr>
          <w:rFonts w:ascii="仿宋_GB2312" w:eastAsia="仿宋_GB2312" w:hAnsi="Times New Roman" w:cs="仿宋_GB2312"/>
          <w:kern w:val="0"/>
          <w:sz w:val="32"/>
          <w:szCs w:val="32"/>
        </w:rPr>
        <w:t>账，加强资产卡片管理，年终前对各类实物资产进行全面盘点，确保账</w:t>
      </w:r>
      <w:proofErr w:type="gramStart"/>
      <w:r>
        <w:rPr>
          <w:rFonts w:ascii="仿宋_GB2312" w:eastAsia="仿宋_GB2312" w:hAnsi="Times New Roman" w:cs="仿宋_GB2312"/>
          <w:kern w:val="0"/>
          <w:sz w:val="32"/>
          <w:szCs w:val="32"/>
        </w:rPr>
        <w:t>账</w:t>
      </w:r>
      <w:proofErr w:type="gramEnd"/>
      <w:r>
        <w:rPr>
          <w:rFonts w:ascii="仿宋_GB2312" w:eastAsia="仿宋_GB2312" w:hAnsi="Times New Roman" w:cs="仿宋_GB2312"/>
          <w:kern w:val="0"/>
          <w:sz w:val="32"/>
          <w:szCs w:val="32"/>
        </w:rPr>
        <w:t>、账实相符；二是因我单位财务管理人力不足和临时性的中心工作比较多，导致单位项目支出与基本支出不准或预算支出实际出现较小的偏差。下一步改进措施：一是要制定和完善基本支出、项目支出等各项支出标准，严格按项目和进度执行预算，增强预算的约束力和严肃性；二是要落实预算执行分析，及时</w:t>
      </w:r>
      <w:r>
        <w:rPr>
          <w:rFonts w:ascii="仿宋_GB2312" w:eastAsia="仿宋_GB2312" w:hAnsi="Times New Roman" w:cs="仿宋_GB2312"/>
          <w:kern w:val="0"/>
          <w:sz w:val="32"/>
          <w:szCs w:val="32"/>
        </w:rPr>
        <w:lastRenderedPageBreak/>
        <w:t>了解预算执行差异，合理调整、纠正预算执行偏差，切实提高部门预算收支管理水平。具体项目自评情况</w:t>
      </w:r>
      <w:proofErr w:type="gramStart"/>
      <w:r>
        <w:rPr>
          <w:rFonts w:ascii="仿宋_GB2312" w:eastAsia="仿宋_GB2312" w:hAnsi="Times New Roman" w:cs="仿宋_GB2312"/>
          <w:kern w:val="0"/>
          <w:sz w:val="32"/>
          <w:szCs w:val="32"/>
        </w:rPr>
        <w:t>附项目</w:t>
      </w:r>
      <w:proofErr w:type="gramEnd"/>
      <w:r>
        <w:rPr>
          <w:rFonts w:ascii="仿宋_GB2312" w:eastAsia="仿宋_GB2312" w:hAnsi="Times New Roman" w:cs="仿宋_GB2312"/>
          <w:kern w:val="0"/>
          <w:sz w:val="32"/>
          <w:szCs w:val="32"/>
        </w:rPr>
        <w:t>支出绩效自评表。</w:t>
      </w:r>
    </w:p>
    <w:tbl>
      <w:tblPr>
        <w:tblW w:w="4856" w:type="pct"/>
        <w:jc w:val="center"/>
        <w:tblLayout w:type="fixed"/>
        <w:tblLook w:val="04A0" w:firstRow="1" w:lastRow="0" w:firstColumn="1" w:lastColumn="0" w:noHBand="0" w:noVBand="1"/>
      </w:tblPr>
      <w:tblGrid>
        <w:gridCol w:w="1231"/>
        <w:gridCol w:w="997"/>
        <w:gridCol w:w="1026"/>
        <w:gridCol w:w="1077"/>
        <w:gridCol w:w="890"/>
        <w:gridCol w:w="1068"/>
        <w:gridCol w:w="471"/>
        <w:gridCol w:w="1026"/>
        <w:gridCol w:w="815"/>
      </w:tblGrid>
      <w:tr w:rsidR="00C635C9">
        <w:trPr>
          <w:trHeight w:val="405"/>
          <w:jc w:val="center"/>
        </w:trPr>
        <w:tc>
          <w:tcPr>
            <w:tcW w:w="8277" w:type="dxa"/>
            <w:gridSpan w:val="9"/>
            <w:tcBorders>
              <w:top w:val="nil"/>
              <w:left w:val="nil"/>
              <w:bottom w:val="nil"/>
              <w:right w:val="nil"/>
            </w:tcBorders>
            <w:shd w:val="clear" w:color="auto" w:fill="auto"/>
            <w:vAlign w:val="center"/>
          </w:tcPr>
          <w:p w:rsidR="00C635C9" w:rsidRDefault="00000000">
            <w:pPr>
              <w:widowControl/>
              <w:jc w:val="center"/>
              <w:rPr>
                <w:rFonts w:ascii="宋体" w:eastAsia="宋体" w:hAnsi="宋体" w:cs="宋体" w:hint="default"/>
                <w:b/>
                <w:bCs/>
                <w:color w:val="000000"/>
                <w:kern w:val="0"/>
                <w:sz w:val="32"/>
                <w:szCs w:val="32"/>
              </w:rPr>
            </w:pPr>
            <w:r>
              <w:rPr>
                <w:rFonts w:ascii="宋体" w:eastAsia="宋体" w:hAnsi="宋体" w:cs="宋体"/>
                <w:b/>
                <w:bCs/>
                <w:color w:val="000000"/>
                <w:kern w:val="0"/>
                <w:sz w:val="32"/>
                <w:szCs w:val="32"/>
              </w:rPr>
              <w:t>项目支出绩效自评表</w:t>
            </w:r>
          </w:p>
        </w:tc>
      </w:tr>
      <w:tr w:rsidR="00C635C9">
        <w:trPr>
          <w:trHeight w:val="270"/>
          <w:jc w:val="center"/>
        </w:trPr>
        <w:tc>
          <w:tcPr>
            <w:tcW w:w="8277" w:type="dxa"/>
            <w:gridSpan w:val="9"/>
            <w:tcBorders>
              <w:top w:val="nil"/>
              <w:left w:val="nil"/>
              <w:bottom w:val="single" w:sz="4" w:space="0" w:color="auto"/>
              <w:right w:val="nil"/>
            </w:tcBorders>
            <w:shd w:val="clear" w:color="auto" w:fill="auto"/>
            <w:vAlign w:val="center"/>
          </w:tcPr>
          <w:p w:rsidR="00C635C9"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C635C9">
        <w:trPr>
          <w:trHeight w:val="398"/>
          <w:jc w:val="center"/>
        </w:trPr>
        <w:tc>
          <w:tcPr>
            <w:tcW w:w="21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131" w:type="dxa"/>
            <w:gridSpan w:val="7"/>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2022年受疫情影响生活困难人员救助金（第三批）转移支出</w:t>
            </w:r>
          </w:p>
        </w:tc>
      </w:tr>
      <w:tr w:rsidR="00C635C9">
        <w:trPr>
          <w:trHeight w:val="398"/>
          <w:jc w:val="center"/>
        </w:trPr>
        <w:tc>
          <w:tcPr>
            <w:tcW w:w="21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879" w:type="dxa"/>
            <w:gridSpan w:val="3"/>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米东区永祥街道办事处</w:t>
            </w:r>
          </w:p>
        </w:tc>
        <w:tc>
          <w:tcPr>
            <w:tcW w:w="1028"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224" w:type="dxa"/>
            <w:gridSpan w:val="3"/>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米东区永祥街道办事处</w:t>
            </w:r>
          </w:p>
        </w:tc>
      </w:tr>
      <w:tr w:rsidR="00C635C9">
        <w:trPr>
          <w:trHeight w:val="398"/>
          <w:jc w:val="center"/>
        </w:trPr>
        <w:tc>
          <w:tcPr>
            <w:tcW w:w="21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98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36"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856"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1028"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453"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8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784"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C635C9">
        <w:trPr>
          <w:trHeight w:val="398"/>
          <w:jc w:val="center"/>
        </w:trPr>
        <w:tc>
          <w:tcPr>
            <w:tcW w:w="2146" w:type="dxa"/>
            <w:gridSpan w:val="2"/>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8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036"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56"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w:t>
            </w:r>
          </w:p>
        </w:tc>
        <w:tc>
          <w:tcPr>
            <w:tcW w:w="1028"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w:t>
            </w:r>
          </w:p>
        </w:tc>
        <w:tc>
          <w:tcPr>
            <w:tcW w:w="453"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784"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C635C9">
        <w:trPr>
          <w:trHeight w:val="398"/>
          <w:jc w:val="center"/>
        </w:trPr>
        <w:tc>
          <w:tcPr>
            <w:tcW w:w="2146" w:type="dxa"/>
            <w:gridSpan w:val="2"/>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8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036"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56"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w:t>
            </w:r>
          </w:p>
        </w:tc>
        <w:tc>
          <w:tcPr>
            <w:tcW w:w="1028"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w:t>
            </w:r>
          </w:p>
        </w:tc>
        <w:tc>
          <w:tcPr>
            <w:tcW w:w="453"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8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784"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635C9">
        <w:trPr>
          <w:trHeight w:val="398"/>
          <w:jc w:val="center"/>
        </w:trPr>
        <w:tc>
          <w:tcPr>
            <w:tcW w:w="2146" w:type="dxa"/>
            <w:gridSpan w:val="2"/>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8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036"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6"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28"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453"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8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784"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635C9">
        <w:trPr>
          <w:trHeight w:val="398"/>
          <w:jc w:val="center"/>
        </w:trPr>
        <w:tc>
          <w:tcPr>
            <w:tcW w:w="2146" w:type="dxa"/>
            <w:gridSpan w:val="2"/>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8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036"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6"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28"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453"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98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784"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635C9">
        <w:trPr>
          <w:trHeight w:val="398"/>
          <w:jc w:val="center"/>
        </w:trPr>
        <w:tc>
          <w:tcPr>
            <w:tcW w:w="11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839" w:type="dxa"/>
            <w:gridSpan w:val="4"/>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252" w:type="dxa"/>
            <w:gridSpan w:val="4"/>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C635C9">
        <w:trPr>
          <w:trHeight w:val="398"/>
          <w:jc w:val="center"/>
        </w:trPr>
        <w:tc>
          <w:tcPr>
            <w:tcW w:w="118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38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本项目资金主要用于为 100名受疫情影响人员发放补助，本项目的实施可有效解决受疫情影响人员的实际困难，推动疫情防控工作正常开展。</w:t>
            </w:r>
          </w:p>
        </w:tc>
        <w:tc>
          <w:tcPr>
            <w:tcW w:w="325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已为100名受疫情影响人员发放补助共计3万元，本项目的实施有效地解决了受疫情影响人员的实际困难，推动了疫情防控工作正常开展。</w:t>
            </w:r>
          </w:p>
        </w:tc>
      </w:tr>
      <w:tr w:rsidR="00C635C9">
        <w:trPr>
          <w:trHeight w:val="398"/>
          <w:jc w:val="center"/>
        </w:trPr>
        <w:tc>
          <w:tcPr>
            <w:tcW w:w="11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8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10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4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C635C9">
        <w:trPr>
          <w:trHeight w:val="398"/>
          <w:jc w:val="center"/>
        </w:trPr>
        <w:tc>
          <w:tcPr>
            <w:tcW w:w="118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87"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85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453"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87"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784"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r>
      <w:tr w:rsidR="00C635C9">
        <w:trPr>
          <w:trHeight w:val="398"/>
          <w:jc w:val="center"/>
        </w:trPr>
        <w:tc>
          <w:tcPr>
            <w:tcW w:w="11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发放补助人数</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=100个</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100个</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jc w:val="center"/>
        </w:trPr>
        <w:tc>
          <w:tcPr>
            <w:tcW w:w="118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补助覆盖率</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jc w:val="center"/>
        </w:trPr>
        <w:tc>
          <w:tcPr>
            <w:tcW w:w="118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补助资金发放及时率</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&gt;=100%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jc w:val="center"/>
        </w:trPr>
        <w:tc>
          <w:tcPr>
            <w:tcW w:w="118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补助资金标准</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=300人</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300人</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jc w:val="center"/>
        </w:trPr>
        <w:tc>
          <w:tcPr>
            <w:tcW w:w="118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jc w:val="center"/>
        </w:trPr>
        <w:tc>
          <w:tcPr>
            <w:tcW w:w="118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提升困难群众生活水平情况</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有所提升</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jc w:val="center"/>
        </w:trPr>
        <w:tc>
          <w:tcPr>
            <w:tcW w:w="118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jc w:val="center"/>
        </w:trPr>
        <w:tc>
          <w:tcPr>
            <w:tcW w:w="118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推动疫情防控工作正常开展</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长期推动</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jc w:val="center"/>
        </w:trPr>
        <w:tc>
          <w:tcPr>
            <w:tcW w:w="118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w:t>
            </w:r>
            <w:r>
              <w:rPr>
                <w:rFonts w:ascii="宋体" w:eastAsia="宋体" w:hAnsi="宋体" w:cs="宋体"/>
                <w:color w:val="000000"/>
                <w:kern w:val="0"/>
                <w:sz w:val="18"/>
                <w:szCs w:val="18"/>
              </w:rPr>
              <w:lastRenderedPageBreak/>
              <w:t>标</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满意度指</w:t>
            </w:r>
            <w:r>
              <w:rPr>
                <w:rFonts w:ascii="宋体" w:eastAsia="宋体" w:hAnsi="宋体" w:cs="宋体"/>
                <w:color w:val="000000"/>
                <w:kern w:val="0"/>
                <w:sz w:val="18"/>
                <w:szCs w:val="18"/>
              </w:rPr>
              <w:lastRenderedPageBreak/>
              <w:t>标</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受补助人</w:t>
            </w:r>
            <w:r>
              <w:rPr>
                <w:rFonts w:ascii="宋体" w:eastAsia="宋体" w:hAnsi="宋体" w:cs="宋体"/>
                <w:color w:val="000000"/>
                <w:kern w:val="0"/>
                <w:sz w:val="18"/>
                <w:szCs w:val="18"/>
              </w:rPr>
              <w:lastRenderedPageBreak/>
              <w:t>员满意度</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&gt;=95%</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jc w:val="center"/>
        </w:trPr>
        <w:tc>
          <w:tcPr>
            <w:tcW w:w="605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453"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8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784"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tbl>
      <w:tblPr>
        <w:tblpPr w:leftFromText="180" w:rightFromText="180" w:vertAnchor="text" w:horzAnchor="page" w:tblpX="1856" w:tblpY="617"/>
        <w:tblOverlap w:val="never"/>
        <w:tblW w:w="4874" w:type="pct"/>
        <w:tblLayout w:type="fixed"/>
        <w:tblLook w:val="04A0" w:firstRow="1" w:lastRow="0" w:firstColumn="1" w:lastColumn="0" w:noHBand="0" w:noVBand="1"/>
      </w:tblPr>
      <w:tblGrid>
        <w:gridCol w:w="1069"/>
        <w:gridCol w:w="1066"/>
        <w:gridCol w:w="1150"/>
        <w:gridCol w:w="1067"/>
        <w:gridCol w:w="141"/>
        <w:gridCol w:w="745"/>
        <w:gridCol w:w="880"/>
        <w:gridCol w:w="173"/>
        <w:gridCol w:w="429"/>
        <w:gridCol w:w="56"/>
        <w:gridCol w:w="1039"/>
        <w:gridCol w:w="818"/>
      </w:tblGrid>
      <w:tr w:rsidR="00C635C9">
        <w:trPr>
          <w:trHeight w:val="405"/>
        </w:trPr>
        <w:tc>
          <w:tcPr>
            <w:tcW w:w="8633" w:type="dxa"/>
            <w:gridSpan w:val="12"/>
            <w:tcBorders>
              <w:top w:val="nil"/>
              <w:left w:val="nil"/>
              <w:bottom w:val="nil"/>
              <w:right w:val="nil"/>
            </w:tcBorders>
            <w:shd w:val="clear" w:color="auto" w:fill="auto"/>
            <w:vAlign w:val="center"/>
          </w:tcPr>
          <w:p w:rsidR="00C635C9" w:rsidRDefault="00000000">
            <w:pPr>
              <w:widowControl/>
              <w:jc w:val="center"/>
              <w:rPr>
                <w:rFonts w:ascii="宋体" w:eastAsia="宋体" w:hAnsi="宋体" w:cs="宋体" w:hint="default"/>
                <w:b/>
                <w:bCs/>
                <w:color w:val="000000"/>
                <w:kern w:val="0"/>
                <w:sz w:val="32"/>
                <w:szCs w:val="32"/>
              </w:rPr>
            </w:pPr>
            <w:r>
              <w:rPr>
                <w:rFonts w:ascii="宋体" w:eastAsia="宋体" w:hAnsi="宋体" w:cs="宋体"/>
                <w:b/>
                <w:bCs/>
                <w:color w:val="000000"/>
                <w:kern w:val="0"/>
                <w:sz w:val="32"/>
                <w:szCs w:val="32"/>
              </w:rPr>
              <w:t>项目支出绩效自评表</w:t>
            </w:r>
          </w:p>
        </w:tc>
      </w:tr>
      <w:tr w:rsidR="00C635C9">
        <w:trPr>
          <w:trHeight w:val="270"/>
        </w:trPr>
        <w:tc>
          <w:tcPr>
            <w:tcW w:w="8633" w:type="dxa"/>
            <w:gridSpan w:val="12"/>
            <w:tcBorders>
              <w:top w:val="nil"/>
              <w:left w:val="nil"/>
              <w:bottom w:val="single" w:sz="4" w:space="0" w:color="auto"/>
              <w:right w:val="nil"/>
            </w:tcBorders>
            <w:shd w:val="clear" w:color="auto" w:fill="auto"/>
            <w:vAlign w:val="center"/>
          </w:tcPr>
          <w:p w:rsidR="00C635C9"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C635C9">
        <w:trPr>
          <w:trHeight w:val="398"/>
        </w:trPr>
        <w:tc>
          <w:tcPr>
            <w:tcW w:w="2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498" w:type="dxa"/>
            <w:gridSpan w:val="10"/>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proofErr w:type="gramStart"/>
            <w:r>
              <w:rPr>
                <w:rFonts w:ascii="宋体" w:eastAsia="宋体" w:hAnsi="宋体" w:cs="宋体"/>
                <w:color w:val="000000"/>
                <w:kern w:val="0"/>
                <w:sz w:val="18"/>
                <w:szCs w:val="18"/>
              </w:rPr>
              <w:t>乌财社</w:t>
            </w:r>
            <w:proofErr w:type="gramEnd"/>
            <w:r>
              <w:rPr>
                <w:rFonts w:ascii="宋体" w:eastAsia="宋体" w:hAnsi="宋体" w:cs="宋体"/>
                <w:color w:val="000000"/>
                <w:kern w:val="0"/>
                <w:sz w:val="18"/>
                <w:szCs w:val="18"/>
              </w:rPr>
              <w:t>【2022】311号关于拨付2022年第七十五批疫情防控补助资金【因疫情滞留】 的通知（转移支出）</w:t>
            </w:r>
          </w:p>
        </w:tc>
      </w:tr>
      <w:tr w:rsidR="00C635C9">
        <w:trPr>
          <w:trHeight w:val="398"/>
        </w:trPr>
        <w:tc>
          <w:tcPr>
            <w:tcW w:w="2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3103" w:type="dxa"/>
            <w:gridSpan w:val="4"/>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米东区人民政府</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342" w:type="dxa"/>
            <w:gridSpan w:val="4"/>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米东区永祥街道办事处</w:t>
            </w:r>
          </w:p>
        </w:tc>
      </w:tr>
      <w:tr w:rsidR="00C635C9">
        <w:trPr>
          <w:trHeight w:val="398"/>
        </w:trPr>
        <w:tc>
          <w:tcPr>
            <w:tcW w:w="2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150"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6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39"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818"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C635C9">
        <w:trPr>
          <w:trHeight w:val="398"/>
        </w:trPr>
        <w:tc>
          <w:tcPr>
            <w:tcW w:w="2135" w:type="dxa"/>
            <w:gridSpan w:val="2"/>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150"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06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1.75</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1.75</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39"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w:t>
            </w:r>
          </w:p>
        </w:tc>
        <w:tc>
          <w:tcPr>
            <w:tcW w:w="818"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0.00分</w:t>
            </w:r>
          </w:p>
        </w:tc>
      </w:tr>
      <w:tr w:rsidR="00C635C9">
        <w:trPr>
          <w:trHeight w:val="398"/>
        </w:trPr>
        <w:tc>
          <w:tcPr>
            <w:tcW w:w="2135" w:type="dxa"/>
            <w:gridSpan w:val="2"/>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150"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06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1.75</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1.75</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39"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18"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635C9">
        <w:trPr>
          <w:trHeight w:val="398"/>
        </w:trPr>
        <w:tc>
          <w:tcPr>
            <w:tcW w:w="2135" w:type="dxa"/>
            <w:gridSpan w:val="2"/>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150"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06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39"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18"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635C9">
        <w:trPr>
          <w:trHeight w:val="398"/>
        </w:trPr>
        <w:tc>
          <w:tcPr>
            <w:tcW w:w="2135" w:type="dxa"/>
            <w:gridSpan w:val="2"/>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150"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067"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39"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18"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C635C9">
        <w:trPr>
          <w:trHeight w:val="398"/>
        </w:trPr>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4169" w:type="dxa"/>
            <w:gridSpan w:val="5"/>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395" w:type="dxa"/>
            <w:gridSpan w:val="6"/>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C635C9">
        <w:trPr>
          <w:trHeight w:val="398"/>
        </w:trPr>
        <w:tc>
          <w:tcPr>
            <w:tcW w:w="1069"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416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为受疫情影响人员发放补助，可有效解决受疫情影响人员的实际困难，推动疫情防控工作正常开展。</w:t>
            </w:r>
          </w:p>
        </w:tc>
        <w:tc>
          <w:tcPr>
            <w:tcW w:w="339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已为25名受疫情影响人员发放补助共计1.75万元，有效解决了受疫情影响人员的实际困难，推动了疫情防控工作正常开展。</w:t>
            </w:r>
          </w:p>
        </w:tc>
      </w:tr>
      <w:tr w:rsidR="00C635C9">
        <w:trPr>
          <w:trHeight w:val="398"/>
        </w:trPr>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2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7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C635C9">
        <w:trPr>
          <w:trHeight w:val="398"/>
        </w:trPr>
        <w:tc>
          <w:tcPr>
            <w:tcW w:w="1069"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06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150"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208" w:type="dxa"/>
            <w:gridSpan w:val="2"/>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745"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602" w:type="dxa"/>
            <w:gridSpan w:val="2"/>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095" w:type="dxa"/>
            <w:gridSpan w:val="2"/>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r>
      <w:tr w:rsidR="00C635C9">
        <w:trPr>
          <w:trHeight w:val="398"/>
        </w:trPr>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10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发放补助人数</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=25人</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25人</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trPr>
        <w:tc>
          <w:tcPr>
            <w:tcW w:w="1069"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06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补助覆盖率</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trPr>
        <w:tc>
          <w:tcPr>
            <w:tcW w:w="1069"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06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补助资金发放及时率</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&gt;=100%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trPr>
        <w:tc>
          <w:tcPr>
            <w:tcW w:w="1069"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06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补助资金标准</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=700/人</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700/人</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trPr>
        <w:tc>
          <w:tcPr>
            <w:tcW w:w="1069"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0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trPr>
        <w:tc>
          <w:tcPr>
            <w:tcW w:w="1069"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06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提升困难群众生活水平情况</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有所提升</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trPr>
        <w:tc>
          <w:tcPr>
            <w:tcW w:w="1069"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06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trPr>
        <w:tc>
          <w:tcPr>
            <w:tcW w:w="1069"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066"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推动疫情防控工作正常开展</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长期推动</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trPr>
        <w:tc>
          <w:tcPr>
            <w:tcW w:w="1069" w:type="dxa"/>
            <w:vMerge/>
            <w:tcBorders>
              <w:top w:val="single" w:sz="4" w:space="0" w:color="auto"/>
              <w:left w:val="single" w:sz="4" w:space="0" w:color="auto"/>
              <w:bottom w:val="single" w:sz="4" w:space="0" w:color="auto"/>
              <w:right w:val="single" w:sz="4" w:space="0" w:color="auto"/>
            </w:tcBorders>
            <w:vAlign w:val="center"/>
          </w:tcPr>
          <w:p w:rsidR="00C635C9" w:rsidRDefault="00C635C9">
            <w:pPr>
              <w:widowControl/>
              <w:jc w:val="left"/>
              <w:rPr>
                <w:rFonts w:ascii="宋体" w:eastAsia="宋体" w:hAnsi="宋体" w:cs="宋体" w:hint="default"/>
                <w:color w:val="000000"/>
                <w:kern w:val="0"/>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受补助人员满意度</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C635C9">
        <w:trPr>
          <w:trHeight w:val="398"/>
        </w:trPr>
        <w:tc>
          <w:tcPr>
            <w:tcW w:w="611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95" w:type="dxa"/>
            <w:gridSpan w:val="2"/>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90.00分</w:t>
            </w:r>
          </w:p>
        </w:tc>
        <w:tc>
          <w:tcPr>
            <w:tcW w:w="818" w:type="dxa"/>
            <w:tcBorders>
              <w:top w:val="single" w:sz="4" w:space="0" w:color="auto"/>
              <w:left w:val="nil"/>
              <w:bottom w:val="single" w:sz="4" w:space="0" w:color="auto"/>
              <w:right w:val="single" w:sz="4" w:space="0" w:color="auto"/>
            </w:tcBorders>
            <w:shd w:val="clear" w:color="auto" w:fill="auto"/>
            <w:vAlign w:val="center"/>
          </w:tcPr>
          <w:p w:rsidR="00C635C9"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rsidR="00C635C9"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lastRenderedPageBreak/>
        <w:t>第三部分 专业名词解释</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w:t>
      </w:r>
      <w:r>
        <w:rPr>
          <w:rFonts w:ascii="仿宋_GB2312" w:eastAsia="仿宋_GB2312" w:hAnsi="Times New Roman" w:cs="仿宋_GB2312"/>
          <w:kern w:val="0"/>
          <w:sz w:val="32"/>
          <w:szCs w:val="32"/>
        </w:rPr>
        <w:lastRenderedPageBreak/>
        <w:t>发生的人员支出和公用支出。</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rsidR="00C635C9"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rsidR="00C635C9"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rsidR="00C635C9"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rsidR="00C635C9" w:rsidRDefault="00000000">
      <w:pPr>
        <w:rPr>
          <w:rFonts w:ascii="仿宋_GB2312" w:eastAsia="仿宋_GB2312" w:hAnsi="Times New Roman" w:cs="仿宋_GB2312" w:hint="default"/>
          <w:sz w:val="32"/>
          <w:szCs w:val="32"/>
        </w:rPr>
      </w:pPr>
      <w:r>
        <w:rPr>
          <w:rFonts w:ascii="仿宋_GB2312" w:eastAsia="仿宋_GB2312" w:hAnsi="Times New Roman" w:cs="仿宋_GB2312"/>
          <w:sz w:val="32"/>
          <w:szCs w:val="32"/>
        </w:rPr>
        <w:br w:type="page"/>
      </w:r>
    </w:p>
    <w:p w:rsidR="00C635C9"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lastRenderedPageBreak/>
        <w:t>第四部分 部门决算报表（见附表）</w:t>
      </w:r>
    </w:p>
    <w:p w:rsidR="00C635C9"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rsidR="00C635C9"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rsidR="00C635C9"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rsidR="00C635C9"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rsidR="00C635C9"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rsidR="00C635C9"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rsidR="00C635C9"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rsidR="00C635C9"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rsidR="00C635C9"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rsidR="00C635C9" w:rsidRDefault="00C635C9">
      <w:pPr>
        <w:autoSpaceDE w:val="0"/>
        <w:autoSpaceDN w:val="0"/>
        <w:adjustRightInd w:val="0"/>
        <w:jc w:val="left"/>
        <w:rPr>
          <w:rFonts w:ascii="Times New Roman" w:eastAsia="黑体" w:hAnsi="Times New Roman" w:hint="default"/>
          <w:kern w:val="36"/>
          <w:sz w:val="40"/>
          <w:szCs w:val="40"/>
          <w:lang w:val="zh-CN"/>
        </w:rPr>
      </w:pPr>
    </w:p>
    <w:p w:rsidR="00C635C9" w:rsidRDefault="00C635C9">
      <w:pPr>
        <w:autoSpaceDE w:val="0"/>
        <w:autoSpaceDN w:val="0"/>
        <w:adjustRightInd w:val="0"/>
        <w:rPr>
          <w:rFonts w:ascii="Times New Roman" w:eastAsia="黑体" w:hAnsi="Times New Roman" w:hint="default"/>
          <w:szCs w:val="21"/>
        </w:rPr>
      </w:pPr>
    </w:p>
    <w:p w:rsidR="00C635C9" w:rsidRDefault="00C635C9">
      <w:pPr>
        <w:autoSpaceDE w:val="0"/>
        <w:autoSpaceDN w:val="0"/>
        <w:adjustRightInd w:val="0"/>
        <w:jc w:val="left"/>
        <w:rPr>
          <w:rFonts w:ascii="Times New Roman" w:eastAsia="黑体" w:hAnsi="Times New Roman" w:hint="default"/>
          <w:kern w:val="36"/>
          <w:sz w:val="40"/>
          <w:szCs w:val="40"/>
          <w:lang w:val="zh-CN"/>
        </w:rPr>
      </w:pPr>
    </w:p>
    <w:p w:rsidR="00C635C9" w:rsidRDefault="00C635C9">
      <w:pPr>
        <w:autoSpaceDE w:val="0"/>
        <w:autoSpaceDN w:val="0"/>
        <w:adjustRightInd w:val="0"/>
        <w:rPr>
          <w:rFonts w:ascii="Times New Roman" w:eastAsia="黑体" w:hAnsi="Times New Roman" w:hint="default"/>
          <w:szCs w:val="21"/>
        </w:rPr>
      </w:pPr>
    </w:p>
    <w:p w:rsidR="00C635C9" w:rsidRDefault="00C635C9">
      <w:pPr>
        <w:autoSpaceDE w:val="0"/>
        <w:autoSpaceDN w:val="0"/>
        <w:adjustRightInd w:val="0"/>
        <w:jc w:val="left"/>
        <w:rPr>
          <w:rFonts w:ascii="Times New Roman" w:eastAsia="黑体" w:hAnsi="Times New Roman" w:hint="default"/>
          <w:kern w:val="36"/>
          <w:sz w:val="40"/>
          <w:szCs w:val="40"/>
          <w:lang w:val="zh-CN"/>
        </w:rPr>
      </w:pPr>
    </w:p>
    <w:sectPr w:rsidR="00C635C9">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VhNGJiMWVmZTg4ZjFhYWZhYWFiMzBkODkwYWRkZmUifQ=="/>
  </w:docVars>
  <w:rsids>
    <w:rsidRoot w:val="00172A27"/>
    <w:rsid w:val="00172A27"/>
    <w:rsid w:val="00C635C9"/>
    <w:rsid w:val="00ED7666"/>
    <w:rsid w:val="055746DA"/>
    <w:rsid w:val="09634450"/>
    <w:rsid w:val="6AE1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1DEA8"/>
  <w15:docId w15:val="{E3CBB067-9EB0-4516-827E-712CAFB6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18</Pages>
  <Words>1284</Words>
  <Characters>7324</Characters>
  <Application>Microsoft Office Word</Application>
  <DocSecurity>0</DocSecurity>
  <Lines>61</Lines>
  <Paragraphs>17</Paragraphs>
  <ScaleCrop>false</ScaleCrop>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2</cp:revision>
  <dcterms:created xsi:type="dcterms:W3CDTF">2023-08-22T09:10:00Z</dcterms:created>
  <dcterms:modified xsi:type="dcterms:W3CDTF">2023-08-31T17:35:00Z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AD1F9C753F63482FAB47D703B3C700F8_13</vt:lpwstr>
  </property>
</Properties>
</file>