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eastAsia="Times New Roman"/>
          <w:kern w:val="36"/>
          <w:sz w:val="40"/>
          <w:lang w:val="zh-CN"/>
        </w:rPr>
      </w:pPr>
    </w:p>
    <w:p>
      <w:pPr>
        <w:shd w:val="clear" w:color="auto" w:fill="FFFFFF"/>
        <w:spacing w:before="240" w:after="240"/>
        <w:jc w:val="center"/>
        <w:rPr>
          <w:rFonts w:eastAsia="Times New Roman"/>
          <w:kern w:val="36"/>
          <w:sz w:val="40"/>
          <w:lang w:val="zh-CN"/>
        </w:rPr>
      </w:pPr>
    </w:p>
    <w:p>
      <w:pPr>
        <w:jc w:val="center"/>
        <w:rPr>
          <w:rFonts w:hint="eastAsia" w:ascii="方正小标宋_GBK" w:hAnsi="方正小标宋_GBK" w:eastAsia="方正小标宋_GBK"/>
          <w:sz w:val="44"/>
        </w:rPr>
      </w:pPr>
      <w:r>
        <w:rPr>
          <w:rFonts w:hint="eastAsia" w:ascii="方正小标宋_GBK" w:hAnsi="方正小标宋_GBK" w:eastAsia="方正小标宋_GBK"/>
          <w:sz w:val="44"/>
        </w:rPr>
        <w:t>乌鲁木齐市米东区疾病预防控制中心</w:t>
      </w:r>
    </w:p>
    <w:p>
      <w:pPr>
        <w:jc w:val="center"/>
        <w:rPr>
          <w:rFonts w:eastAsia="Times New Roman"/>
          <w:kern w:val="36"/>
          <w:sz w:val="40"/>
          <w:lang w:val="zh-CN"/>
        </w:rPr>
      </w:pPr>
      <w:r>
        <w:rPr>
          <w:rFonts w:hint="eastAsia" w:ascii="方正小标宋_GBK" w:hAnsi="方正小标宋_GBK" w:eastAsia="方正小标宋_GBK"/>
          <w:sz w:val="44"/>
        </w:rPr>
        <w:t>2022年度部门决算公开说明</w:t>
      </w:r>
    </w:p>
    <w:p>
      <w:pPr>
        <w:shd w:val="clear" w:color="auto" w:fill="FFFFFF"/>
        <w:spacing w:before="240" w:after="240"/>
        <w:jc w:val="center"/>
        <w:rPr>
          <w:rFonts w:eastAsia="Times New Roman"/>
          <w:kern w:val="36"/>
          <w:sz w:val="40"/>
          <w:lang w:val="zh-CN"/>
        </w:rPr>
      </w:pPr>
    </w:p>
    <w:p>
      <w:pPr>
        <w:spacing w:line="540" w:lineRule="exact"/>
        <w:jc w:val="center"/>
        <w:rPr>
          <w:rFonts w:eastAsia="Times New Roman"/>
          <w:b/>
          <w:kern w:val="0"/>
          <w:sz w:val="24"/>
        </w:rPr>
      </w:pPr>
      <w:r>
        <w:rPr>
          <w:rFonts w:eastAsia="Times New Roman"/>
          <w:b/>
          <w:kern w:val="36"/>
          <w:sz w:val="36"/>
        </w:rPr>
        <w:br w:type="page"/>
      </w:r>
      <w:r>
        <w:rPr>
          <w:rFonts w:hint="eastAsia" w:ascii="仿宋_GB2312" w:hAnsi="仿宋_GB2312" w:eastAsia="仿宋_GB2312"/>
          <w:b/>
          <w:kern w:val="0"/>
          <w:sz w:val="36"/>
        </w:rPr>
        <w:t>目  录</w:t>
      </w:r>
    </w:p>
    <w:p>
      <w:pPr>
        <w:spacing w:line="360" w:lineRule="auto"/>
        <w:rPr>
          <w:rFonts w:eastAsia="Times New Roman"/>
          <w:kern w:val="0"/>
          <w:sz w:val="32"/>
        </w:rPr>
      </w:pPr>
      <w:r>
        <w:rPr>
          <w:rFonts w:hint="eastAsia" w:ascii="仿宋_GB2312" w:hAnsi="仿宋_GB2312" w:eastAsia="仿宋_GB2312"/>
          <w:b/>
          <w:kern w:val="0"/>
          <w:sz w:val="32"/>
        </w:rPr>
        <w:t>第一部分 单位概况</w:t>
      </w:r>
    </w:p>
    <w:p>
      <w:pPr>
        <w:spacing w:line="360" w:lineRule="auto"/>
        <w:rPr>
          <w:rFonts w:eastAsia="Times New Roman"/>
          <w:kern w:val="0"/>
          <w:sz w:val="32"/>
        </w:rPr>
      </w:pPr>
      <w:r>
        <w:rPr>
          <w:rFonts w:hint="eastAsia" w:ascii="仿宋_GB2312" w:hAnsi="仿宋_GB2312" w:eastAsia="仿宋_GB2312"/>
          <w:kern w:val="0"/>
          <w:sz w:val="32"/>
        </w:rPr>
        <w:t>一、主要职能</w:t>
      </w:r>
    </w:p>
    <w:p>
      <w:pPr>
        <w:spacing w:line="360" w:lineRule="auto"/>
        <w:rPr>
          <w:rFonts w:eastAsia="Times New Roman"/>
          <w:kern w:val="0"/>
          <w:sz w:val="32"/>
        </w:rPr>
      </w:pPr>
      <w:r>
        <w:rPr>
          <w:rFonts w:hint="eastAsia" w:ascii="仿宋_GB2312" w:hAnsi="仿宋_GB2312" w:eastAsia="仿宋_GB2312"/>
          <w:kern w:val="0"/>
          <w:sz w:val="32"/>
        </w:rPr>
        <w:t>二、</w:t>
      </w:r>
      <w:r>
        <w:rPr>
          <w:rFonts w:hint="eastAsia" w:ascii="仿宋_GB2312" w:hAnsi="仿宋_GB2312" w:eastAsia="仿宋_GB2312"/>
          <w:sz w:val="32"/>
        </w:rPr>
        <w:t>机构设置及人员情况</w:t>
      </w:r>
    </w:p>
    <w:p>
      <w:pPr>
        <w:spacing w:line="360" w:lineRule="auto"/>
        <w:rPr>
          <w:rFonts w:eastAsia="Times New Roman"/>
          <w:kern w:val="0"/>
          <w:sz w:val="32"/>
        </w:rPr>
      </w:pPr>
      <w:r>
        <w:rPr>
          <w:rFonts w:hint="eastAsia" w:ascii="仿宋_GB2312" w:hAnsi="仿宋_GB2312" w:eastAsia="仿宋_GB2312"/>
          <w:b/>
          <w:kern w:val="0"/>
          <w:sz w:val="32"/>
        </w:rPr>
        <w:t>第二部分 部门决算情况说明</w:t>
      </w:r>
    </w:p>
    <w:p>
      <w:pPr>
        <w:spacing w:line="360" w:lineRule="auto"/>
        <w:rPr>
          <w:rFonts w:eastAsia="Times New Roman"/>
          <w:sz w:val="32"/>
        </w:rPr>
      </w:pPr>
      <w:r>
        <w:rPr>
          <w:rFonts w:hint="eastAsia" w:ascii="仿宋_GB2312" w:hAnsi="仿宋_GB2312" w:eastAsia="仿宋_GB2312"/>
          <w:sz w:val="32"/>
        </w:rPr>
        <w:t>一、收入支出决算总体情况说明</w:t>
      </w:r>
    </w:p>
    <w:p>
      <w:pPr>
        <w:spacing w:line="360" w:lineRule="auto"/>
        <w:rPr>
          <w:rFonts w:eastAsia="Times New Roman"/>
          <w:sz w:val="32"/>
        </w:rPr>
      </w:pPr>
      <w:r>
        <w:rPr>
          <w:rFonts w:hint="eastAsia" w:ascii="仿宋_GB2312" w:hAnsi="仿宋_GB2312" w:eastAsia="仿宋_GB2312"/>
          <w:sz w:val="32"/>
        </w:rPr>
        <w:t>二、收入决算情况说明</w:t>
      </w:r>
    </w:p>
    <w:p>
      <w:pPr>
        <w:spacing w:line="360" w:lineRule="auto"/>
        <w:rPr>
          <w:rFonts w:eastAsia="Times New Roman"/>
          <w:sz w:val="32"/>
        </w:rPr>
      </w:pPr>
      <w:r>
        <w:rPr>
          <w:rFonts w:hint="eastAsia" w:ascii="仿宋_GB2312" w:hAnsi="仿宋_GB2312" w:eastAsia="仿宋_GB2312"/>
          <w:sz w:val="32"/>
        </w:rPr>
        <w:t>三、支出决算情况说明</w:t>
      </w:r>
    </w:p>
    <w:p>
      <w:pPr>
        <w:spacing w:line="360" w:lineRule="auto"/>
        <w:rPr>
          <w:rFonts w:eastAsia="Times New Roman"/>
          <w:sz w:val="32"/>
        </w:rPr>
      </w:pPr>
      <w:r>
        <w:rPr>
          <w:rFonts w:hint="eastAsia" w:ascii="仿宋_GB2312" w:hAnsi="仿宋_GB2312" w:eastAsia="仿宋_GB2312"/>
          <w:sz w:val="32"/>
        </w:rPr>
        <w:t>四、财政拨款收入支出决算总体情况说明</w:t>
      </w:r>
    </w:p>
    <w:p>
      <w:pPr>
        <w:spacing w:line="360" w:lineRule="auto"/>
        <w:rPr>
          <w:rFonts w:eastAsia="Times New Roman"/>
          <w:sz w:val="32"/>
        </w:rPr>
      </w:pPr>
      <w:r>
        <w:rPr>
          <w:rFonts w:hint="eastAsia" w:ascii="仿宋_GB2312" w:hAnsi="仿宋_GB2312" w:eastAsia="仿宋_GB2312"/>
          <w:sz w:val="32"/>
        </w:rPr>
        <w:t>五、一般公共预算财政拨款支出决算情况说明</w:t>
      </w:r>
    </w:p>
    <w:p>
      <w:pPr>
        <w:spacing w:line="360" w:lineRule="auto"/>
        <w:rPr>
          <w:rFonts w:eastAsia="Times New Roman"/>
          <w:sz w:val="32"/>
        </w:rPr>
      </w:pPr>
      <w:r>
        <w:rPr>
          <w:rFonts w:hint="eastAsia" w:ascii="仿宋_GB2312" w:hAnsi="仿宋_GB2312" w:eastAsia="仿宋_GB2312"/>
          <w:sz w:val="32"/>
        </w:rPr>
        <w:t>六、一般公共预算财政拨款基本支出决算情况说明</w:t>
      </w:r>
    </w:p>
    <w:p>
      <w:pPr>
        <w:spacing w:line="360" w:lineRule="auto"/>
        <w:rPr>
          <w:rFonts w:eastAsia="Times New Roman"/>
          <w:sz w:val="32"/>
        </w:rPr>
      </w:pPr>
      <w:r>
        <w:rPr>
          <w:rFonts w:hint="eastAsia" w:ascii="仿宋_GB2312" w:hAnsi="仿宋_GB2312" w:eastAsia="仿宋_GB2312"/>
          <w:sz w:val="32"/>
        </w:rPr>
        <w:t>七、财政拨款“三公”经费支出决算情况说明</w:t>
      </w:r>
    </w:p>
    <w:p>
      <w:pPr>
        <w:spacing w:line="360" w:lineRule="auto"/>
        <w:rPr>
          <w:rFonts w:eastAsia="Times New Roman"/>
          <w:sz w:val="32"/>
        </w:rPr>
      </w:pPr>
      <w:r>
        <w:rPr>
          <w:rFonts w:hint="eastAsia" w:ascii="仿宋_GB2312" w:hAnsi="仿宋_GB2312" w:eastAsia="仿宋_GB2312"/>
          <w:sz w:val="32"/>
        </w:rPr>
        <w:t>八、政府性基金预算</w:t>
      </w:r>
      <w:r>
        <w:rPr>
          <w:rFonts w:hint="eastAsia" w:ascii="仿宋_GB2312" w:hAnsi="仿宋_GB2312" w:eastAsia="仿宋_GB2312"/>
          <w:sz w:val="32"/>
          <w:lang w:val="zh-CN"/>
        </w:rPr>
        <w:t>财政拨款</w:t>
      </w:r>
      <w:r>
        <w:rPr>
          <w:rFonts w:hint="eastAsia" w:ascii="仿宋_GB2312" w:hAnsi="仿宋_GB2312" w:eastAsia="仿宋_GB2312"/>
          <w:sz w:val="32"/>
        </w:rPr>
        <w:t>收入支出决算情况说明</w:t>
      </w:r>
    </w:p>
    <w:p>
      <w:pPr>
        <w:spacing w:line="360" w:lineRule="auto"/>
        <w:rPr>
          <w:rFonts w:eastAsia="Times New Roman"/>
          <w:sz w:val="32"/>
        </w:rPr>
      </w:pPr>
      <w:r>
        <w:rPr>
          <w:rFonts w:hint="eastAsia" w:ascii="仿宋_GB2312" w:hAnsi="仿宋_GB2312" w:eastAsia="仿宋_GB2312"/>
          <w:sz w:val="32"/>
        </w:rPr>
        <w:t>九、国有资本经营预算财政拨款收入支出决算情况说明</w:t>
      </w:r>
    </w:p>
    <w:p>
      <w:pPr>
        <w:spacing w:line="360" w:lineRule="auto"/>
        <w:rPr>
          <w:rFonts w:eastAsia="Times New Roman"/>
          <w:sz w:val="32"/>
        </w:rPr>
      </w:pPr>
      <w:r>
        <w:rPr>
          <w:rFonts w:hint="eastAsia" w:ascii="仿宋_GB2312" w:hAnsi="仿宋_GB2312" w:eastAsia="仿宋_GB2312"/>
          <w:sz w:val="32"/>
        </w:rPr>
        <w:t>十、其他重要事项的情况说明</w:t>
      </w:r>
    </w:p>
    <w:p>
      <w:pPr>
        <w:spacing w:line="360" w:lineRule="auto"/>
        <w:rPr>
          <w:rFonts w:eastAsia="Times New Roman"/>
          <w:sz w:val="32"/>
        </w:rPr>
      </w:pPr>
      <w:r>
        <w:rPr>
          <w:rFonts w:hint="eastAsia" w:ascii="仿宋_GB2312" w:hAnsi="仿宋_GB2312" w:eastAsia="仿宋_GB2312"/>
          <w:sz w:val="32"/>
        </w:rPr>
        <w:t>（一）机关运行经费支出情况</w:t>
      </w:r>
    </w:p>
    <w:p>
      <w:pPr>
        <w:spacing w:line="360" w:lineRule="auto"/>
        <w:rPr>
          <w:rFonts w:eastAsia="Times New Roman"/>
          <w:sz w:val="32"/>
        </w:rPr>
      </w:pPr>
      <w:r>
        <w:rPr>
          <w:rFonts w:hint="eastAsia" w:ascii="仿宋_GB2312" w:hAnsi="仿宋_GB2312" w:eastAsia="仿宋_GB2312"/>
          <w:sz w:val="32"/>
        </w:rPr>
        <w:t>（二）政府采购情况</w:t>
      </w:r>
    </w:p>
    <w:p>
      <w:pPr>
        <w:spacing w:line="360" w:lineRule="auto"/>
        <w:rPr>
          <w:rFonts w:eastAsia="Times New Roman"/>
          <w:sz w:val="32"/>
        </w:rPr>
      </w:pPr>
      <w:r>
        <w:rPr>
          <w:rFonts w:hint="eastAsia" w:ascii="仿宋_GB2312" w:hAnsi="仿宋_GB2312" w:eastAsia="仿宋_GB2312"/>
          <w:sz w:val="32"/>
        </w:rPr>
        <w:t>（三）国有资产占用情况说明</w:t>
      </w:r>
    </w:p>
    <w:p>
      <w:pPr>
        <w:spacing w:line="360" w:lineRule="auto"/>
        <w:rPr>
          <w:rFonts w:eastAsia="Times New Roman"/>
          <w:sz w:val="32"/>
        </w:rPr>
      </w:pPr>
      <w:r>
        <w:rPr>
          <w:rFonts w:hint="eastAsia" w:ascii="仿宋_GB2312" w:hAnsi="仿宋_GB2312" w:eastAsia="仿宋_GB2312"/>
          <w:sz w:val="32"/>
        </w:rPr>
        <w:t>十</w:t>
      </w:r>
      <w:r>
        <w:rPr>
          <w:rFonts w:hint="eastAsia" w:ascii="仿宋_GB2312" w:hAnsi="仿宋_GB2312" w:eastAsia="仿宋_GB2312"/>
          <w:sz w:val="32"/>
          <w:lang w:val="zh-CN"/>
        </w:rPr>
        <w:t>一</w:t>
      </w:r>
      <w:r>
        <w:rPr>
          <w:rFonts w:hint="eastAsia" w:ascii="仿宋_GB2312" w:hAnsi="仿宋_GB2312" w:eastAsia="仿宋_GB2312"/>
          <w:sz w:val="32"/>
        </w:rPr>
        <w:t>、预算绩效的情况说明</w:t>
      </w:r>
    </w:p>
    <w:p>
      <w:pPr>
        <w:spacing w:line="360" w:lineRule="auto"/>
        <w:rPr>
          <w:rFonts w:eastAsia="Times New Roman"/>
          <w:b/>
          <w:kern w:val="0"/>
          <w:sz w:val="32"/>
        </w:rPr>
      </w:pPr>
      <w:r>
        <w:rPr>
          <w:rFonts w:hint="eastAsia" w:ascii="仿宋_GB2312" w:hAnsi="仿宋_GB2312" w:eastAsia="仿宋_GB2312"/>
          <w:b/>
          <w:kern w:val="0"/>
          <w:sz w:val="32"/>
        </w:rPr>
        <w:t>第三部分 专业名词解释</w:t>
      </w:r>
    </w:p>
    <w:p>
      <w:pPr>
        <w:spacing w:line="360" w:lineRule="auto"/>
        <w:rPr>
          <w:rFonts w:eastAsia="Times New Roman"/>
          <w:b/>
          <w:kern w:val="0"/>
          <w:sz w:val="32"/>
        </w:rPr>
      </w:pPr>
      <w:r>
        <w:rPr>
          <w:rFonts w:hint="eastAsia" w:ascii="仿宋_GB2312" w:hAnsi="仿宋_GB2312" w:eastAsia="仿宋_GB2312"/>
          <w:b/>
          <w:kern w:val="0"/>
          <w:sz w:val="32"/>
        </w:rPr>
        <w:t>第四部分 部</w:t>
      </w:r>
      <w:r>
        <w:rPr>
          <w:rFonts w:hint="eastAsia" w:ascii="仿宋_GB2312" w:hAnsi="仿宋_GB2312" w:eastAsia="仿宋_GB2312"/>
          <w:b/>
          <w:sz w:val="32"/>
        </w:rPr>
        <w:t>门决算报表（见附表）</w:t>
      </w:r>
    </w:p>
    <w:p>
      <w:pPr>
        <w:spacing w:line="360" w:lineRule="auto"/>
        <w:rPr>
          <w:rFonts w:eastAsia="Times New Roman"/>
          <w:sz w:val="32"/>
        </w:rPr>
      </w:pPr>
      <w:r>
        <w:rPr>
          <w:rFonts w:hint="eastAsia" w:ascii="仿宋_GB2312" w:hAnsi="仿宋_GB2312" w:eastAsia="仿宋_GB2312"/>
          <w:sz w:val="32"/>
        </w:rPr>
        <w:t>一、《收入支出决算总表》</w:t>
      </w:r>
    </w:p>
    <w:p>
      <w:pPr>
        <w:spacing w:line="360" w:lineRule="auto"/>
        <w:rPr>
          <w:rFonts w:eastAsia="Times New Roman"/>
          <w:sz w:val="32"/>
        </w:rPr>
      </w:pPr>
      <w:r>
        <w:rPr>
          <w:rFonts w:hint="eastAsia" w:ascii="仿宋_GB2312" w:hAnsi="仿宋_GB2312" w:eastAsia="仿宋_GB2312"/>
          <w:sz w:val="32"/>
        </w:rPr>
        <w:t>二、《收入决算表》</w:t>
      </w:r>
    </w:p>
    <w:p>
      <w:pPr>
        <w:spacing w:line="360" w:lineRule="auto"/>
        <w:rPr>
          <w:rFonts w:eastAsia="Times New Roman"/>
          <w:sz w:val="32"/>
        </w:rPr>
      </w:pPr>
      <w:r>
        <w:rPr>
          <w:rFonts w:hint="eastAsia" w:ascii="仿宋_GB2312" w:hAnsi="仿宋_GB2312" w:eastAsia="仿宋_GB2312"/>
          <w:sz w:val="32"/>
        </w:rPr>
        <w:t>三、《支出决算表》</w:t>
      </w:r>
    </w:p>
    <w:p>
      <w:pPr>
        <w:spacing w:line="360" w:lineRule="auto"/>
        <w:rPr>
          <w:rFonts w:eastAsia="Times New Roman"/>
          <w:sz w:val="32"/>
        </w:rPr>
      </w:pPr>
      <w:r>
        <w:rPr>
          <w:rFonts w:hint="eastAsia" w:ascii="仿宋_GB2312" w:hAnsi="仿宋_GB2312" w:eastAsia="仿宋_GB2312"/>
          <w:sz w:val="32"/>
        </w:rPr>
        <w:t>四、《财政拨款收入支出决算总表》</w:t>
      </w:r>
    </w:p>
    <w:p>
      <w:pPr>
        <w:spacing w:line="360" w:lineRule="auto"/>
        <w:rPr>
          <w:rFonts w:eastAsia="Times New Roman"/>
          <w:sz w:val="32"/>
        </w:rPr>
      </w:pPr>
      <w:r>
        <w:rPr>
          <w:rFonts w:hint="eastAsia" w:ascii="仿宋_GB2312" w:hAnsi="仿宋_GB2312" w:eastAsia="仿宋_GB2312"/>
          <w:sz w:val="32"/>
        </w:rPr>
        <w:t>五、《一般公共预算财政拨款支出决算表》</w:t>
      </w:r>
    </w:p>
    <w:p>
      <w:pPr>
        <w:spacing w:line="360" w:lineRule="auto"/>
        <w:rPr>
          <w:rFonts w:eastAsia="Times New Roman"/>
          <w:sz w:val="32"/>
        </w:rPr>
      </w:pPr>
      <w:r>
        <w:rPr>
          <w:rFonts w:hint="eastAsia" w:ascii="仿宋_GB2312" w:hAnsi="仿宋_GB2312" w:eastAsia="仿宋_GB2312"/>
          <w:sz w:val="32"/>
        </w:rPr>
        <w:t>六、《一般公共预算财政拨款基本支出决算表》</w:t>
      </w:r>
    </w:p>
    <w:p>
      <w:pPr>
        <w:spacing w:line="360" w:lineRule="auto"/>
        <w:rPr>
          <w:rFonts w:eastAsia="Times New Roman"/>
          <w:sz w:val="32"/>
        </w:rPr>
      </w:pPr>
      <w:r>
        <w:rPr>
          <w:rFonts w:hint="eastAsia" w:ascii="仿宋_GB2312" w:hAnsi="仿宋_GB2312" w:eastAsia="仿宋_GB2312"/>
          <w:sz w:val="32"/>
        </w:rPr>
        <w:t>七、《财政拨款“三公”经费支出决算表》</w:t>
      </w:r>
    </w:p>
    <w:p>
      <w:pPr>
        <w:spacing w:line="360" w:lineRule="auto"/>
        <w:rPr>
          <w:rFonts w:eastAsia="Times New Roman"/>
          <w:sz w:val="32"/>
        </w:rPr>
      </w:pPr>
      <w:r>
        <w:rPr>
          <w:rFonts w:hint="eastAsia" w:ascii="仿宋_GB2312" w:hAnsi="仿宋_GB2312" w:eastAsia="仿宋_GB2312"/>
          <w:sz w:val="32"/>
        </w:rPr>
        <w:t>八、《政府性基金预算财政拨款收入支出决算表》</w:t>
      </w:r>
    </w:p>
    <w:p>
      <w:pPr>
        <w:spacing w:line="360" w:lineRule="auto"/>
        <w:rPr>
          <w:rFonts w:eastAsia="Times New Roman"/>
          <w:sz w:val="32"/>
        </w:rPr>
      </w:pPr>
      <w:r>
        <w:rPr>
          <w:rFonts w:hint="eastAsia" w:ascii="仿宋_GB2312" w:hAnsi="仿宋_GB2312" w:eastAsia="仿宋_GB2312"/>
          <w:sz w:val="32"/>
        </w:rPr>
        <w:t>九、《国有资本经营预算财政拨款收入支出决算表》</w:t>
      </w:r>
    </w:p>
    <w:p>
      <w:pPr>
        <w:spacing w:line="540" w:lineRule="exact"/>
        <w:ind w:firstLine="640"/>
        <w:rPr>
          <w:rFonts w:eastAsia="Times New Roman"/>
          <w:b/>
          <w:kern w:val="0"/>
          <w:sz w:val="28"/>
        </w:rPr>
      </w:pPr>
    </w:p>
    <w:p>
      <w:pPr>
        <w:shd w:val="clear" w:color="auto" w:fill="FFFFFF"/>
        <w:spacing w:line="360" w:lineRule="auto"/>
        <w:jc w:val="center"/>
        <w:rPr>
          <w:rFonts w:eastAsia="Times New Roman"/>
          <w:kern w:val="0"/>
          <w:sz w:val="32"/>
        </w:rPr>
      </w:pPr>
    </w:p>
    <w:p>
      <w:pPr>
        <w:shd w:val="clear" w:color="auto" w:fill="FFFFFF"/>
        <w:spacing w:line="360" w:lineRule="auto"/>
        <w:jc w:val="center"/>
        <w:rPr>
          <w:rFonts w:hint="eastAsia" w:ascii="黑体" w:hAnsi="黑体" w:eastAsia="黑体"/>
          <w:kern w:val="0"/>
          <w:sz w:val="32"/>
          <w:lang w:val="ar-SA"/>
        </w:rPr>
      </w:pPr>
      <w:r>
        <w:rPr>
          <w:rFonts w:eastAsia="Times New Roman"/>
          <w:kern w:val="0"/>
          <w:sz w:val="32"/>
        </w:rPr>
        <w:br w:type="page"/>
      </w:r>
      <w:r>
        <w:rPr>
          <w:rFonts w:hint="eastAsia" w:ascii="黑体" w:hAnsi="黑体" w:eastAsia="黑体"/>
          <w:kern w:val="0"/>
          <w:sz w:val="32"/>
        </w:rPr>
        <w:t>第一部分 单位概况</w:t>
      </w:r>
    </w:p>
    <w:p>
      <w:pPr>
        <w:spacing w:line="360" w:lineRule="auto"/>
        <w:ind w:firstLine="640"/>
        <w:rPr>
          <w:rFonts w:eastAsia="Times New Roman"/>
          <w:sz w:val="32"/>
          <w:lang w:val="zh-CN"/>
        </w:rPr>
      </w:pPr>
      <w:r>
        <w:rPr>
          <w:rFonts w:hint="eastAsia" w:ascii="黑体" w:hAnsi="黑体" w:eastAsia="黑体"/>
          <w:sz w:val="32"/>
          <w:lang w:val="zh-CN"/>
        </w:rPr>
        <w:t>一、主要职能</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乌鲁木齐市米东区疾病预防控制中心于2008年10月正式成立，我中心承担着全区各族人民群众的疾病预防与控制工作，处置突发公共卫生事件，开展相关产品检验和评价，提供公共卫生检测结果与信息服务,对下级机构的业务指导。承担着全区新冠检测、艾滋病/性病监测、AFP监测、腹泻病监测、生活饮用水监测、学校卫生传染病监测、碘盐监测等监测任务；全区儿童计划免疫；孕产妇、儿童系统管理，集体、散居儿童保健、营养指导、结核病控制项目、老年病和精神卫生、以及米东区鼠疫防治工作。</w:t>
      </w:r>
    </w:p>
    <w:p>
      <w:pPr>
        <w:shd w:val="clear" w:color="auto" w:fill="FFFFFF"/>
        <w:spacing w:line="360" w:lineRule="auto"/>
        <w:ind w:firstLine="640"/>
        <w:rPr>
          <w:rFonts w:ascii="仿宋_GB2312" w:hAnsi="仿宋_GB2312" w:eastAsia="仿宋_GB2312"/>
          <w:kern w:val="0"/>
          <w:sz w:val="32"/>
        </w:rPr>
      </w:pPr>
      <w:r>
        <w:rPr>
          <w:rFonts w:hint="eastAsia" w:ascii="仿宋_GB2312" w:hAnsi="仿宋_GB2312" w:eastAsia="仿宋_GB2312"/>
          <w:kern w:val="0"/>
          <w:sz w:val="32"/>
        </w:rPr>
        <w:t>在米东区区委的正确领导下，在区人大常委会的监督支持下，中心全体干部职工团结一致，精诚协作，始终坚持</w:t>
      </w:r>
      <w:r>
        <w:rPr>
          <w:rFonts w:ascii="仿宋_GB2312" w:hAnsi="仿宋_GB2312" w:eastAsia="仿宋_GB2312"/>
          <w:kern w:val="0"/>
          <w:sz w:val="32"/>
        </w:rPr>
        <w:t>“</w:t>
      </w:r>
      <w:r>
        <w:rPr>
          <w:rFonts w:hint="eastAsia" w:ascii="仿宋_GB2312" w:hAnsi="仿宋_GB2312" w:eastAsia="仿宋_GB2312"/>
          <w:kern w:val="0"/>
          <w:sz w:val="32"/>
        </w:rPr>
        <w:t>预防为主，防治结合</w:t>
      </w:r>
      <w:r>
        <w:rPr>
          <w:rFonts w:ascii="仿宋_GB2312" w:hAnsi="仿宋_GB2312" w:eastAsia="仿宋_GB2312"/>
          <w:kern w:val="0"/>
          <w:sz w:val="32"/>
        </w:rPr>
        <w:t>”</w:t>
      </w:r>
      <w:r>
        <w:rPr>
          <w:rFonts w:hint="eastAsia" w:ascii="仿宋_GB2312" w:hAnsi="仿宋_GB2312" w:eastAsia="仿宋_GB2312"/>
          <w:kern w:val="0"/>
          <w:sz w:val="32"/>
        </w:rPr>
        <w:t>的方针，以免疫规划、传染病防控为重点，统筹做好卫生监测、突发公共卫生事件应急处理等工作，大胆创新，务实进取，取得了较好的成绩，在新冠疫情爆发后，全员参与疫情防控，坚决守护人民生命安全。2012年12月顺利通过国家慢性病防治示范区创建、2012年5月取得食品检验机构资质认定证书和实验室资质认定计量认证证书、2013年3月获得新疆维吾尔自治区脊灰疫情防控工作先进集体、2013年11月取得自治区级文明单位和乌鲁木齐市平安单位称号，2014年11月申请创建国家级健康教育示范区。</w:t>
      </w:r>
    </w:p>
    <w:p>
      <w:pPr>
        <w:spacing w:line="360" w:lineRule="auto"/>
        <w:ind w:firstLine="640"/>
        <w:rPr>
          <w:rFonts w:eastAsia="Times New Roman"/>
          <w:sz w:val="32"/>
          <w:lang w:val="zh-CN"/>
        </w:rPr>
      </w:pPr>
      <w:r>
        <w:rPr>
          <w:rFonts w:hint="eastAsia" w:ascii="黑体" w:hAnsi="黑体" w:eastAsia="黑体"/>
          <w:sz w:val="32"/>
          <w:lang w:val="zh-CN"/>
        </w:rPr>
        <w:t>二、机构设置及人员情况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乌鲁木齐市米东区疾病预防控制中心2022年度，实有人数410人，其中：在职人员369人，离休人员0人，退休人员41人。</w:t>
      </w:r>
    </w:p>
    <w:p>
      <w:pPr>
        <w:shd w:val="clear" w:color="auto" w:fill="FFFFFF"/>
        <w:spacing w:line="360" w:lineRule="auto"/>
        <w:ind w:firstLine="640"/>
        <w:rPr>
          <w:rFonts w:eastAsia="Times New Roman"/>
          <w:kern w:val="0"/>
          <w:sz w:val="24"/>
          <w:lang w:val="ar-SA"/>
        </w:rPr>
      </w:pPr>
      <w:r>
        <w:rPr>
          <w:rFonts w:hint="eastAsia" w:ascii="仿宋_GB2312" w:hAnsi="仿宋_GB2312" w:eastAsia="仿宋_GB2312"/>
          <w:kern w:val="0"/>
          <w:sz w:val="32"/>
        </w:rPr>
        <w:t>从部门决算单位构成看，乌鲁木齐市米东区疾病预防控制中心部门决算包括：乌鲁木齐市米东区疾病预防控制中心</w:t>
      </w:r>
      <w:r>
        <w:rPr>
          <w:rFonts w:hint="eastAsia" w:ascii="仿宋_GB2312" w:hAnsi="仿宋_GB2312" w:eastAsia="仿宋_GB2312"/>
          <w:kern w:val="0"/>
          <w:sz w:val="32"/>
          <w:lang w:val="zh-CN"/>
        </w:rPr>
        <w:t>决算。单位无下属预算单位，下设13个科室，分别是：</w:t>
      </w:r>
      <w:r>
        <w:rPr>
          <w:rFonts w:hint="eastAsia" w:ascii="仿宋_GB2312" w:hAnsi="仿宋_GB2312" w:eastAsia="仿宋_GB2312"/>
          <w:kern w:val="0"/>
          <w:sz w:val="32"/>
        </w:rPr>
        <w:t>综合办公室、公卫科、检验科、结防艾滋科、免疫规划科、传染病科、质管科、鼠疫防治科、美沙酮门诊、慢病科、地方病科、病媒科、核酸实验室</w:t>
      </w:r>
      <w:r>
        <w:rPr>
          <w:rFonts w:hint="eastAsia" w:ascii="仿宋_GB2312" w:hAnsi="仿宋_GB2312" w:eastAsia="仿宋_GB2312"/>
          <w:kern w:val="0"/>
          <w:sz w:val="32"/>
          <w:lang w:val="zh-CN"/>
        </w:rPr>
        <w:t>。</w:t>
      </w:r>
    </w:p>
    <w:p>
      <w:pPr>
        <w:shd w:val="clear" w:color="auto" w:fill="FFFFFF"/>
        <w:spacing w:before="100" w:after="240"/>
        <w:jc w:val="center"/>
        <w:rPr>
          <w:rFonts w:eastAsia="Times New Roman"/>
          <w:kern w:val="0"/>
          <w:sz w:val="28"/>
          <w:lang w:val="ar-SA"/>
        </w:rPr>
      </w:pPr>
      <w:r>
        <w:rPr>
          <w:rFonts w:hint="eastAsia" w:ascii="黑体" w:hAnsi="黑体" w:eastAsia="黑体"/>
          <w:kern w:val="0"/>
          <w:sz w:val="32"/>
        </w:rPr>
        <w:t>第二部分 部门决算情况说明</w:t>
      </w:r>
    </w:p>
    <w:p>
      <w:pPr>
        <w:spacing w:line="360" w:lineRule="auto"/>
        <w:ind w:firstLine="640"/>
        <w:rPr>
          <w:rFonts w:eastAsia="Times New Roman"/>
          <w:sz w:val="32"/>
          <w:lang w:val="zh-CN"/>
        </w:rPr>
      </w:pPr>
      <w:r>
        <w:rPr>
          <w:rFonts w:hint="eastAsia" w:ascii="黑体" w:hAnsi="黑体" w:eastAsia="黑体"/>
          <w:sz w:val="32"/>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2022年度收入</w:t>
      </w:r>
      <w:r>
        <w:rPr>
          <w:rFonts w:hint="eastAsia" w:ascii="仿宋_GB2312" w:hAnsi="仿宋_GB2312" w:eastAsia="仿宋_GB2312"/>
          <w:sz w:val="32"/>
        </w:rPr>
        <w:t>总计</w:t>
      </w:r>
      <w:r>
        <w:rPr>
          <w:rFonts w:hint="eastAsia" w:ascii="仿宋_GB2312" w:hAnsi="仿宋_GB2312" w:eastAsia="仿宋_GB2312"/>
          <w:kern w:val="0"/>
          <w:sz w:val="32"/>
        </w:rPr>
        <w:t>5,504.07万元，</w:t>
      </w:r>
      <w:r>
        <w:rPr>
          <w:rFonts w:hint="eastAsia" w:ascii="仿宋_GB2312" w:hAnsi="仿宋_GB2312" w:eastAsia="仿宋_GB2312"/>
          <w:sz w:val="32"/>
        </w:rPr>
        <w:t>其中：本年收入合计</w:t>
      </w:r>
      <w:r>
        <w:rPr>
          <w:rFonts w:hint="eastAsia" w:ascii="仿宋_GB2312" w:hAnsi="仿宋_GB2312" w:eastAsia="仿宋_GB2312"/>
          <w:kern w:val="0"/>
          <w:sz w:val="32"/>
        </w:rPr>
        <w:t>5,229.88</w:t>
      </w:r>
      <w:r>
        <w:rPr>
          <w:rFonts w:hint="eastAsia" w:ascii="仿宋_GB2312" w:hAnsi="仿宋_GB2312" w:eastAsia="仿宋_GB2312"/>
          <w:sz w:val="32"/>
        </w:rPr>
        <w:t>万元，使用非财政拨款结余</w:t>
      </w:r>
      <w:r>
        <w:rPr>
          <w:rFonts w:hint="eastAsia" w:ascii="仿宋_GB2312" w:hAnsi="仿宋_GB2312" w:eastAsia="仿宋_GB2312"/>
          <w:kern w:val="0"/>
          <w:sz w:val="32"/>
        </w:rPr>
        <w:t>0.00</w:t>
      </w:r>
      <w:r>
        <w:rPr>
          <w:rFonts w:hint="eastAsia" w:ascii="仿宋_GB2312" w:hAnsi="仿宋_GB2312" w:eastAsia="仿宋_GB2312"/>
          <w:sz w:val="32"/>
        </w:rPr>
        <w:t>万元，年初结转和结余</w:t>
      </w:r>
      <w:r>
        <w:rPr>
          <w:rFonts w:hint="eastAsia" w:ascii="仿宋_GB2312" w:hAnsi="仿宋_GB2312" w:eastAsia="仿宋_GB2312"/>
          <w:kern w:val="0"/>
          <w:sz w:val="32"/>
        </w:rPr>
        <w:t>274.19</w:t>
      </w:r>
      <w:r>
        <w:rPr>
          <w:rFonts w:hint="eastAsia" w:ascii="仿宋_GB2312" w:hAnsi="仿宋_GB2312" w:eastAsia="仿宋_GB2312"/>
          <w:sz w:val="32"/>
        </w:rPr>
        <w:t>万元。收入总计</w:t>
      </w:r>
      <w:r>
        <w:rPr>
          <w:rFonts w:hint="eastAsia" w:ascii="仿宋_GB2312" w:hAnsi="仿宋_GB2312" w:eastAsia="仿宋_GB2312"/>
          <w:kern w:val="0"/>
          <w:sz w:val="32"/>
        </w:rPr>
        <w:t>与上年相比，增加1,892.52万元，增长52.40%，主要原因是：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名核酸检测人员，工资福利收入和办公经费收入有所增加，防疫支出项目经费收入有所增加。</w:t>
      </w:r>
    </w:p>
    <w:p>
      <w:pPr>
        <w:shd w:val="clear" w:color="auto" w:fill="FFFFFF"/>
        <w:spacing w:line="360" w:lineRule="auto"/>
        <w:ind w:firstLine="640"/>
        <w:rPr>
          <w:rFonts w:eastAsia="Times New Roman"/>
          <w:kern w:val="0"/>
          <w:sz w:val="32"/>
        </w:rPr>
      </w:pPr>
      <w:r>
        <w:rPr>
          <w:rFonts w:hint="eastAsia" w:ascii="仿宋_GB2312" w:hAnsi="仿宋_GB2312" w:eastAsia="仿宋_GB2312"/>
          <w:sz w:val="32"/>
        </w:rPr>
        <w:t>本年支出总计</w:t>
      </w:r>
      <w:r>
        <w:rPr>
          <w:rFonts w:hint="eastAsia" w:ascii="仿宋_GB2312" w:hAnsi="仿宋_GB2312" w:eastAsia="仿宋_GB2312"/>
          <w:kern w:val="0"/>
          <w:sz w:val="32"/>
        </w:rPr>
        <w:t>5,504.07万元，</w:t>
      </w:r>
      <w:r>
        <w:rPr>
          <w:rFonts w:hint="eastAsia" w:ascii="仿宋_GB2312" w:hAnsi="仿宋_GB2312" w:eastAsia="仿宋_GB2312"/>
          <w:sz w:val="32"/>
        </w:rPr>
        <w:t>其中：本年支出合计</w:t>
      </w:r>
      <w:r>
        <w:rPr>
          <w:rFonts w:hint="eastAsia" w:ascii="仿宋_GB2312" w:hAnsi="仿宋_GB2312" w:eastAsia="仿宋_GB2312"/>
          <w:kern w:val="0"/>
          <w:sz w:val="32"/>
        </w:rPr>
        <w:t>5,027.53</w:t>
      </w:r>
      <w:r>
        <w:rPr>
          <w:rFonts w:hint="eastAsia" w:ascii="仿宋_GB2312" w:hAnsi="仿宋_GB2312" w:eastAsia="仿宋_GB2312"/>
          <w:sz w:val="32"/>
        </w:rPr>
        <w:t>万元，结余分配</w:t>
      </w:r>
      <w:r>
        <w:rPr>
          <w:rFonts w:hint="eastAsia" w:ascii="仿宋_GB2312" w:hAnsi="仿宋_GB2312" w:eastAsia="仿宋_GB2312"/>
          <w:kern w:val="0"/>
          <w:sz w:val="32"/>
        </w:rPr>
        <w:t>6.93</w:t>
      </w:r>
      <w:r>
        <w:rPr>
          <w:rFonts w:hint="eastAsia" w:ascii="仿宋_GB2312" w:hAnsi="仿宋_GB2312" w:eastAsia="仿宋_GB2312"/>
          <w:sz w:val="32"/>
        </w:rPr>
        <w:t>万元，年末结转和结余</w:t>
      </w:r>
      <w:r>
        <w:rPr>
          <w:rFonts w:hint="eastAsia" w:ascii="仿宋_GB2312" w:hAnsi="仿宋_GB2312" w:eastAsia="仿宋_GB2312"/>
          <w:kern w:val="0"/>
          <w:sz w:val="32"/>
        </w:rPr>
        <w:t>469.61</w:t>
      </w:r>
      <w:r>
        <w:rPr>
          <w:rFonts w:hint="eastAsia" w:ascii="仿宋_GB2312" w:hAnsi="仿宋_GB2312" w:eastAsia="仿宋_GB2312"/>
          <w:sz w:val="32"/>
        </w:rPr>
        <w:t>万元。支出总计</w:t>
      </w:r>
      <w:r>
        <w:rPr>
          <w:rFonts w:hint="eastAsia" w:ascii="仿宋_GB2312" w:hAnsi="仿宋_GB2312" w:eastAsia="仿宋_GB2312"/>
          <w:kern w:val="0"/>
          <w:sz w:val="32"/>
        </w:rPr>
        <w:t>与上年相比，增加1,892.52万元，增长52.40%，主要原因是：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名核酸检测人员，工资福利支出和办公经费支出有所增加，防疫支出项目经费支出有所增加。</w:t>
      </w:r>
    </w:p>
    <w:p>
      <w:pPr>
        <w:spacing w:line="360" w:lineRule="auto"/>
        <w:ind w:firstLine="640"/>
        <w:rPr>
          <w:rFonts w:eastAsia="Times New Roman"/>
          <w:sz w:val="32"/>
        </w:rPr>
      </w:pPr>
      <w:r>
        <w:rPr>
          <w:rFonts w:hint="eastAsia" w:ascii="黑体" w:hAnsi="黑体" w:eastAsia="黑体"/>
          <w:sz w:val="32"/>
          <w:lang w:val="zh-CN"/>
        </w:rPr>
        <w:t>二、收入决算情况说明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收入5,229.88万元，其中：财政拨款收入4,859.12万元，占92.91%；上级补助收入0.00万元，占0.00%；事业收入12.68万元，占0.24%；经营收入0.00万元，占0.00%；附属单位上缴收入0.00万元，占0.00%；其他收入358.08万元，占6.85%。</w:t>
      </w:r>
    </w:p>
    <w:p>
      <w:pPr>
        <w:spacing w:line="360" w:lineRule="auto"/>
        <w:ind w:firstLine="640"/>
        <w:rPr>
          <w:rFonts w:eastAsia="Times New Roman"/>
          <w:sz w:val="32"/>
        </w:rPr>
      </w:pPr>
      <w:r>
        <w:rPr>
          <w:rFonts w:hint="eastAsia" w:ascii="黑体" w:hAnsi="黑体" w:eastAsia="黑体"/>
          <w:sz w:val="32"/>
          <w:lang w:val="zh-CN"/>
        </w:rPr>
        <w:t>三、支出决算情况说明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2022年度本年支出5,027.53万元，其中：基本支出4,856.18万元，占96.59%；项目支出171.35万元，占3.41%；上缴上级支出0.00万元，占0.00%；经营支出0.00万元，占0.00%；对附属单位补助支出0.00万元，占0.00%。</w:t>
      </w:r>
    </w:p>
    <w:p>
      <w:pPr>
        <w:spacing w:line="360" w:lineRule="auto"/>
        <w:ind w:firstLine="640"/>
        <w:rPr>
          <w:rFonts w:eastAsia="Times New Roman"/>
          <w:sz w:val="32"/>
          <w:lang w:val="zh-CN"/>
        </w:rPr>
      </w:pPr>
      <w:r>
        <w:rPr>
          <w:rFonts w:hint="eastAsia" w:ascii="黑体" w:hAnsi="黑体" w:eastAsia="黑体"/>
          <w:sz w:val="32"/>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2022年度财政拨款收入</w:t>
      </w:r>
      <w:r>
        <w:rPr>
          <w:rFonts w:hint="eastAsia" w:ascii="仿宋_GB2312" w:hAnsi="仿宋_GB2312" w:eastAsia="仿宋_GB2312"/>
          <w:sz w:val="32"/>
        </w:rPr>
        <w:t>总计</w:t>
      </w:r>
      <w:r>
        <w:rPr>
          <w:rFonts w:hint="eastAsia" w:ascii="仿宋_GB2312" w:hAnsi="仿宋_GB2312" w:eastAsia="仿宋_GB2312"/>
          <w:kern w:val="0"/>
          <w:sz w:val="32"/>
        </w:rPr>
        <w:t>4,859.12万元，</w:t>
      </w:r>
      <w:r>
        <w:rPr>
          <w:rFonts w:hint="eastAsia" w:ascii="仿宋_GB2312" w:hAnsi="仿宋_GB2312" w:eastAsia="仿宋_GB2312"/>
          <w:sz w:val="32"/>
        </w:rPr>
        <w:t>其中：年初财政拨款结转和结余</w:t>
      </w:r>
      <w:r>
        <w:rPr>
          <w:rFonts w:hint="eastAsia" w:ascii="仿宋_GB2312" w:hAnsi="仿宋_GB2312" w:eastAsia="仿宋_GB2312"/>
          <w:kern w:val="0"/>
          <w:sz w:val="32"/>
        </w:rPr>
        <w:t>0.00</w:t>
      </w:r>
      <w:r>
        <w:rPr>
          <w:rFonts w:hint="eastAsia" w:ascii="仿宋_GB2312" w:hAnsi="仿宋_GB2312" w:eastAsia="仿宋_GB2312"/>
          <w:sz w:val="32"/>
        </w:rPr>
        <w:t>万元，财政拨款本年收入</w:t>
      </w:r>
      <w:r>
        <w:rPr>
          <w:rFonts w:hint="eastAsia" w:ascii="仿宋_GB2312" w:hAnsi="仿宋_GB2312" w:eastAsia="仿宋_GB2312"/>
          <w:kern w:val="0"/>
          <w:sz w:val="32"/>
        </w:rPr>
        <w:t>4,859.12</w:t>
      </w:r>
      <w:r>
        <w:rPr>
          <w:rFonts w:hint="eastAsia" w:ascii="仿宋_GB2312" w:hAnsi="仿宋_GB2312" w:eastAsia="仿宋_GB2312"/>
          <w:sz w:val="32"/>
        </w:rPr>
        <w:t>万元。财政拨款收入总计</w:t>
      </w:r>
      <w:r>
        <w:rPr>
          <w:rFonts w:hint="eastAsia" w:ascii="仿宋_GB2312" w:hAnsi="仿宋_GB2312" w:eastAsia="仿宋_GB2312"/>
          <w:kern w:val="0"/>
          <w:sz w:val="32"/>
        </w:rPr>
        <w:t>与上年相比，增加1,849.28万元，增长61.44%，主要原因是：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名核酸检测人员，工资福利收入和办公经费收入有所增加，防疫支出项目经费收入有所增加。</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财政拨款支出</w:t>
      </w:r>
      <w:r>
        <w:rPr>
          <w:rFonts w:hint="eastAsia" w:ascii="仿宋_GB2312" w:hAnsi="仿宋_GB2312" w:eastAsia="仿宋_GB2312"/>
          <w:sz w:val="32"/>
        </w:rPr>
        <w:t>总计</w:t>
      </w:r>
      <w:r>
        <w:rPr>
          <w:rFonts w:hint="eastAsia" w:ascii="仿宋_GB2312" w:hAnsi="仿宋_GB2312" w:eastAsia="仿宋_GB2312"/>
          <w:kern w:val="0"/>
          <w:sz w:val="32"/>
        </w:rPr>
        <w:t>4,859.12万元，</w:t>
      </w:r>
      <w:r>
        <w:rPr>
          <w:rFonts w:hint="eastAsia" w:ascii="仿宋_GB2312" w:hAnsi="仿宋_GB2312" w:eastAsia="仿宋_GB2312"/>
          <w:sz w:val="32"/>
        </w:rPr>
        <w:t>其中：年末财政拨款结转和结余</w:t>
      </w:r>
      <w:r>
        <w:rPr>
          <w:rFonts w:hint="eastAsia" w:ascii="仿宋_GB2312" w:hAnsi="仿宋_GB2312" w:eastAsia="仿宋_GB2312"/>
          <w:kern w:val="0"/>
          <w:sz w:val="32"/>
        </w:rPr>
        <w:t>0.00</w:t>
      </w:r>
      <w:r>
        <w:rPr>
          <w:rFonts w:hint="eastAsia" w:ascii="仿宋_GB2312" w:hAnsi="仿宋_GB2312" w:eastAsia="仿宋_GB2312"/>
          <w:sz w:val="32"/>
        </w:rPr>
        <w:t>万元，财政拨款本年支出</w:t>
      </w:r>
      <w:r>
        <w:rPr>
          <w:rFonts w:hint="eastAsia" w:ascii="仿宋_GB2312" w:hAnsi="仿宋_GB2312" w:eastAsia="仿宋_GB2312"/>
          <w:kern w:val="0"/>
          <w:sz w:val="32"/>
        </w:rPr>
        <w:t>4,859.12</w:t>
      </w:r>
      <w:r>
        <w:rPr>
          <w:rFonts w:hint="eastAsia" w:ascii="仿宋_GB2312" w:hAnsi="仿宋_GB2312" w:eastAsia="仿宋_GB2312"/>
          <w:sz w:val="32"/>
        </w:rPr>
        <w:t>万元。财政拨款支出总计</w:t>
      </w:r>
      <w:r>
        <w:rPr>
          <w:rFonts w:hint="eastAsia" w:ascii="仿宋_GB2312" w:hAnsi="仿宋_GB2312" w:eastAsia="仿宋_GB2312"/>
          <w:kern w:val="0"/>
          <w:sz w:val="32"/>
        </w:rPr>
        <w:t>与上年相比，增加1,849.28万元，增长61.44%，主要原因是：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名核酸检测人员，工资福利支出和办公经费支出有所增加，防疫支出项目经费支出有所增加。</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与年初预算数相比情况：财政拨款收入</w:t>
      </w:r>
      <w:r>
        <w:rPr>
          <w:rFonts w:hint="eastAsia" w:ascii="仿宋_GB2312" w:hAnsi="仿宋_GB2312" w:eastAsia="仿宋_GB2312"/>
          <w:sz w:val="32"/>
        </w:rPr>
        <w:t>总计</w:t>
      </w:r>
      <w:r>
        <w:rPr>
          <w:rFonts w:hint="eastAsia" w:ascii="仿宋_GB2312" w:hAnsi="仿宋_GB2312" w:eastAsia="仿宋_GB2312"/>
          <w:kern w:val="0"/>
          <w:sz w:val="32"/>
        </w:rPr>
        <w:t>年初预算数2,608.40万元，决算数4,859.12万元，预决算差异率86.29%，主要原因是：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名核酸检测人员，追加人员相关经费，追加防疫支出项目经费，导致预决算产生差异。财政拨款支出</w:t>
      </w:r>
      <w:r>
        <w:rPr>
          <w:rFonts w:hint="eastAsia" w:ascii="仿宋_GB2312" w:hAnsi="仿宋_GB2312" w:eastAsia="仿宋_GB2312"/>
          <w:sz w:val="32"/>
        </w:rPr>
        <w:t>总计</w:t>
      </w:r>
      <w:r>
        <w:rPr>
          <w:rFonts w:hint="eastAsia" w:ascii="仿宋_GB2312" w:hAnsi="仿宋_GB2312" w:eastAsia="仿宋_GB2312"/>
          <w:kern w:val="0"/>
          <w:sz w:val="32"/>
        </w:rPr>
        <w:t>年初预算数2,608.40万元，决算数4,859.12万元，预决算差异率86.29%，主要原因是：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名核酸检测人员，追加人员相关经费，追加防疫支出项目经费，导致预决算产生差异。</w:t>
      </w:r>
    </w:p>
    <w:p>
      <w:pPr>
        <w:spacing w:line="360" w:lineRule="auto"/>
        <w:ind w:firstLine="640"/>
        <w:rPr>
          <w:rFonts w:eastAsia="Times New Roman"/>
          <w:sz w:val="32"/>
          <w:lang w:val="zh-CN"/>
        </w:rPr>
      </w:pPr>
      <w:r>
        <w:rPr>
          <w:rFonts w:hint="eastAsia" w:ascii="黑体" w:hAnsi="黑体" w:eastAsia="黑体"/>
          <w:sz w:val="32"/>
          <w:lang w:val="zh-CN"/>
        </w:rPr>
        <w:t>五、一般公共预算财政拨款支出决算情况说明</w:t>
      </w:r>
    </w:p>
    <w:p>
      <w:pPr>
        <w:ind w:firstLine="640"/>
        <w:rPr>
          <w:rFonts w:eastAsia="Times New Roman"/>
          <w:sz w:val="32"/>
        </w:rPr>
      </w:pPr>
      <w:r>
        <w:rPr>
          <w:rFonts w:hint="eastAsia" w:ascii="黑体" w:hAnsi="黑体" w:eastAsia="黑体"/>
          <w:sz w:val="32"/>
        </w:rPr>
        <w:t>（一）一般公共预算财政拨款支出决算总体情况</w:t>
      </w:r>
    </w:p>
    <w:p>
      <w:pPr>
        <w:spacing w:line="600" w:lineRule="exact"/>
        <w:ind w:firstLine="640"/>
        <w:rPr>
          <w:rFonts w:hint="eastAsia" w:ascii="仿宋_GB2312" w:hAnsi="仿宋_GB2312" w:eastAsia="仿宋_GB2312"/>
          <w:kern w:val="0"/>
          <w:sz w:val="32"/>
        </w:rPr>
      </w:pPr>
      <w:r>
        <w:rPr>
          <w:rFonts w:hint="eastAsia" w:ascii="仿宋_GB2312" w:hAnsi="仿宋_GB2312" w:eastAsia="仿宋_GB2312"/>
          <w:sz w:val="32"/>
        </w:rPr>
        <w:t>2022年度一般公共预算财政拨款支出</w:t>
      </w:r>
      <w:r>
        <w:rPr>
          <w:rFonts w:hint="eastAsia" w:ascii="仿宋_GB2312" w:hAnsi="仿宋_GB2312" w:eastAsia="仿宋_GB2312"/>
          <w:kern w:val="0"/>
          <w:sz w:val="32"/>
        </w:rPr>
        <w:t>4,859.12</w:t>
      </w:r>
      <w:r>
        <w:rPr>
          <w:rFonts w:hint="eastAsia" w:ascii="仿宋_GB2312" w:hAnsi="仿宋_GB2312" w:eastAsia="仿宋_GB2312"/>
          <w:sz w:val="32"/>
        </w:rPr>
        <w:t>万元，占本年支出合计的</w:t>
      </w:r>
      <w:r>
        <w:rPr>
          <w:rFonts w:hint="eastAsia" w:ascii="仿宋_GB2312" w:hAnsi="仿宋_GB2312" w:eastAsia="仿宋_GB2312"/>
          <w:kern w:val="0"/>
          <w:sz w:val="32"/>
        </w:rPr>
        <w:t>100.00%</w:t>
      </w:r>
      <w:r>
        <w:rPr>
          <w:rFonts w:hint="eastAsia" w:ascii="仿宋_GB2312" w:hAnsi="仿宋_GB2312" w:eastAsia="仿宋_GB2312"/>
          <w:sz w:val="32"/>
        </w:rPr>
        <w:t>，与上年相比，</w:t>
      </w:r>
      <w:r>
        <w:rPr>
          <w:rFonts w:hint="eastAsia" w:ascii="仿宋_GB2312" w:hAnsi="仿宋_GB2312" w:eastAsia="仿宋_GB2312"/>
          <w:kern w:val="0"/>
          <w:sz w:val="32"/>
        </w:rPr>
        <w:t>增加1,849.28万元，增长61.44%，主要原因是：</w:t>
      </w:r>
      <w:r>
        <w:rPr>
          <w:rFonts w:ascii="仿宋_GB2312" w:hAnsi="仿宋_GB2312" w:eastAsia="仿宋_GB2312"/>
          <w:kern w:val="0"/>
          <w:sz w:val="32"/>
        </w:rPr>
        <w:t>2022</w:t>
      </w:r>
      <w:r>
        <w:rPr>
          <w:rFonts w:hint="eastAsia" w:ascii="仿宋_GB2312" w:hAnsi="仿宋_GB2312" w:eastAsia="仿宋_GB2312"/>
          <w:kern w:val="0"/>
          <w:sz w:val="32"/>
        </w:rPr>
        <w:t>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名核酸检测人员，工资福利支出和办公经费支出有所增加。</w:t>
      </w:r>
    </w:p>
    <w:p>
      <w:pPr>
        <w:ind w:firstLine="640"/>
        <w:rPr>
          <w:rFonts w:eastAsia="Times New Roman"/>
          <w:sz w:val="32"/>
        </w:rPr>
      </w:pPr>
      <w:r>
        <w:rPr>
          <w:rFonts w:hint="eastAsia" w:ascii="黑体" w:hAnsi="黑体" w:eastAsia="黑体"/>
          <w:sz w:val="32"/>
        </w:rPr>
        <w:t>（二）一般公共预算财政拨款支出决算结构情况</w:t>
      </w:r>
    </w:p>
    <w:p>
      <w:pPr>
        <w:spacing w:line="600" w:lineRule="exact"/>
        <w:ind w:firstLine="640"/>
        <w:rPr>
          <w:rFonts w:hint="eastAsia" w:ascii="仿宋_GB2312" w:hAnsi="仿宋_GB2312" w:eastAsia="仿宋_GB2312"/>
          <w:sz w:val="32"/>
        </w:rPr>
      </w:pPr>
      <w:r>
        <w:rPr>
          <w:rFonts w:hint="eastAsia" w:ascii="仿宋_GB2312" w:hAnsi="仿宋_GB2312" w:eastAsia="仿宋_GB2312"/>
          <w:sz w:val="32"/>
        </w:rPr>
        <w:t>1.社会保障和就业支出（类）186.57万元，占3.84%；</w:t>
      </w:r>
    </w:p>
    <w:p>
      <w:pPr>
        <w:spacing w:line="600" w:lineRule="exact"/>
        <w:ind w:firstLine="640"/>
        <w:rPr>
          <w:rFonts w:hint="eastAsia" w:eastAsia="仿宋_GB2312"/>
          <w:kern w:val="0"/>
          <w:sz w:val="32"/>
        </w:rPr>
      </w:pPr>
      <w:r>
        <w:rPr>
          <w:rFonts w:hint="eastAsia" w:ascii="仿宋_GB2312" w:hAnsi="仿宋_GB2312" w:eastAsia="仿宋_GB2312"/>
          <w:sz w:val="32"/>
        </w:rPr>
        <w:t>2.卫生健康支出（类）4,672.55万元，占96.16%。</w:t>
      </w:r>
    </w:p>
    <w:p>
      <w:pPr>
        <w:ind w:firstLine="640"/>
        <w:rPr>
          <w:rFonts w:eastAsia="Times New Roman"/>
          <w:sz w:val="32"/>
        </w:rPr>
      </w:pPr>
      <w:r>
        <w:rPr>
          <w:rFonts w:hint="eastAsia" w:ascii="黑体" w:hAnsi="黑体" w:eastAsia="黑体"/>
          <w:sz w:val="32"/>
        </w:rPr>
        <w:t>（三）一般公共预算财政拨款支出决算具体情况</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1.科学技术支出（类）其他科学技术支出（款）其他科学技术支出（项）:支出决算数为0.00万元，比上年决算增加849.70万元，下降100.00%，主要原因是：本年此功能科目未支出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2.社会保障和就业支出（类）行政事业单位养老支出（款）机关事业单位基本养老保险缴费支出（项）:支出决算数为186.57万元，比上年决算增加99.18万元，增长113.49%，主要原因是：本年新招录核酸检测员217人员，机关事业单位基本养老保险缴费支出相对有所增加</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3.卫生健康支出（类）公共卫生（款）疾病预防控制机构（项）:支出决算数为4,608.92万元，比上年决算增加3,272.81万元，增长244.95%，主要原因是：本年新招录</w:t>
      </w:r>
      <w:r>
        <w:rPr>
          <w:rFonts w:ascii="仿宋_GB2312" w:hAnsi="仿宋_GB2312" w:eastAsia="仿宋_GB2312"/>
          <w:kern w:val="0"/>
          <w:sz w:val="32"/>
        </w:rPr>
        <w:t>217</w:t>
      </w:r>
      <w:r>
        <w:rPr>
          <w:rFonts w:hint="eastAsia" w:ascii="仿宋_GB2312" w:hAnsi="仿宋_GB2312" w:eastAsia="仿宋_GB2312"/>
          <w:kern w:val="0"/>
          <w:sz w:val="32"/>
        </w:rPr>
        <w:t>名核酸检测人员，人员工资福利支出及办公经费支出有所增加</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4.卫生健康支出（类）公共卫生（款）基本公共卫生服务（项）:支出决算数为0.00万元，比上年决算减少20.48万元，下降100.00%，主要原因是：本年此功能科目未支出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5.卫生健康支出（类）公共卫生（款）重大公共卫生服务（项）:支出决算数为0.00万元，比上年决算减少272.76万元，下降100.00%，主要原因是：本年此功能科目未支出</w:t>
      </w:r>
      <w:r>
        <w:rPr>
          <w:rFonts w:hint="eastAsia" w:ascii="仿宋_GB2312" w:hAnsi="仿宋_GB2312" w:eastAsia="仿宋_GB2312"/>
          <w:kern w:val="0"/>
          <w:sz w:val="32"/>
          <w:lang w:eastAsia="zh-CN"/>
        </w:rPr>
        <w:t>；</w:t>
      </w:r>
    </w:p>
    <w:p>
      <w:pPr>
        <w:spacing w:line="600" w:lineRule="exact"/>
        <w:ind w:firstLine="640"/>
        <w:rPr>
          <w:rFonts w:hint="eastAsia" w:eastAsia="仿宋_GB2312"/>
          <w:kern w:val="0"/>
          <w:sz w:val="32"/>
          <w:lang w:eastAsia="zh-CN"/>
        </w:rPr>
      </w:pPr>
      <w:r>
        <w:rPr>
          <w:rFonts w:hint="eastAsia" w:ascii="仿宋_GB2312" w:hAnsi="仿宋_GB2312" w:eastAsia="仿宋_GB2312"/>
          <w:kern w:val="0"/>
          <w:sz w:val="32"/>
        </w:rPr>
        <w:t>6.卫生健康支出（类）公共卫生（款）突发公共卫生事件应急处理（项）:支出决算数为63.63万元，比上年决算增加63.63万元，增长100.00%，主要原因是：新增防疫支出项目经费，增加核酸检测临聘人员工资支出</w:t>
      </w:r>
      <w:r>
        <w:rPr>
          <w:rFonts w:hint="eastAsia" w:ascii="仿宋_GB2312" w:hAnsi="仿宋_GB2312" w:eastAsia="仿宋_GB2312"/>
          <w:kern w:val="0"/>
          <w:sz w:val="32"/>
          <w:lang w:eastAsia="zh-CN"/>
        </w:rPr>
        <w:t>；</w:t>
      </w:r>
    </w:p>
    <w:p>
      <w:pPr>
        <w:spacing w:line="600" w:lineRule="exact"/>
        <w:ind w:firstLine="640"/>
        <w:rPr>
          <w:rFonts w:eastAsia="Times New Roman"/>
          <w:kern w:val="0"/>
          <w:sz w:val="32"/>
        </w:rPr>
      </w:pPr>
      <w:r>
        <w:rPr>
          <w:rFonts w:hint="eastAsia" w:ascii="仿宋_GB2312" w:hAnsi="仿宋_GB2312" w:eastAsia="仿宋_GB2312"/>
          <w:kern w:val="0"/>
          <w:sz w:val="32"/>
        </w:rPr>
        <w:t>7.卫生健康支出（类）公共卫生（款）其他公共卫生支出（项）:支出决算数为0.00万元，比上年决算减少443.40万元，下降100.00%，主要原因是：本年此功能科目未支出。</w:t>
      </w:r>
    </w:p>
    <w:p>
      <w:pPr>
        <w:spacing w:line="360" w:lineRule="auto"/>
        <w:ind w:firstLine="640"/>
        <w:rPr>
          <w:rFonts w:eastAsia="Times New Roman"/>
          <w:sz w:val="32"/>
          <w:lang w:val="zh-CN"/>
        </w:rPr>
      </w:pPr>
      <w:r>
        <w:rPr>
          <w:rFonts w:hint="eastAsia" w:ascii="黑体" w:hAnsi="黑体" w:eastAsia="黑体"/>
          <w:sz w:val="32"/>
          <w:lang w:val="zh-CN"/>
        </w:rPr>
        <w:t>六、一般公共预算财政拨款基本支出决算情况说明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2022年度一般公共预算财政拨款基本支出4,795.49万元，其中：</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人员经费4,528.95万元，包括：基本工资、津贴补贴、奖金、绩效工资、机关事业单位基本养老保险缴费、职业年金缴费、职工基本医疗保险缴费、其他社会保障缴费、住房公积金、生活补助、奖励金。</w:t>
      </w:r>
    </w:p>
    <w:p>
      <w:pPr>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公用经费266.54万元，包括：办公费、印刷费、手续费、水费、电费、邮电费、取暖费、维修（护）费、租赁费、培训费、专用材料费、劳务费、委托业务费、工会经费、福利费、公务用车运行维护费、其他商品和服务支出、专用设备购置。</w:t>
      </w:r>
    </w:p>
    <w:p>
      <w:pPr>
        <w:spacing w:line="360" w:lineRule="auto"/>
        <w:ind w:firstLine="640"/>
        <w:rPr>
          <w:rFonts w:eastAsia="Times New Roman"/>
          <w:sz w:val="32"/>
        </w:rPr>
      </w:pPr>
      <w:r>
        <w:rPr>
          <w:rFonts w:hint="eastAsia" w:ascii="黑体" w:hAnsi="黑体" w:eastAsia="黑体"/>
          <w:sz w:val="32"/>
          <w:lang w:val="zh-CN"/>
        </w:rPr>
        <w:t>七、财政拨款</w:t>
      </w:r>
      <w:r>
        <w:rPr>
          <w:rFonts w:hint="eastAsia" w:ascii="黑体" w:hAnsi="黑体" w:eastAsia="黑体"/>
          <w:kern w:val="0"/>
          <w:sz w:val="32"/>
        </w:rPr>
        <w:t>“三公”</w:t>
      </w:r>
      <w:r>
        <w:rPr>
          <w:rFonts w:hint="eastAsia" w:ascii="黑体" w:hAnsi="黑体" w:eastAsia="黑体"/>
          <w:sz w:val="32"/>
          <w:lang w:val="zh-CN"/>
        </w:rPr>
        <w:t>经费支出决算情况说明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w:t>
      </w:r>
      <w:r>
        <w:rPr>
          <w:rFonts w:hint="eastAsia" w:ascii="仿宋_GB2312" w:hAnsi="仿宋_GB2312" w:eastAsia="仿宋_GB2312"/>
          <w:sz w:val="32"/>
        </w:rPr>
        <w:t>财政拨款</w:t>
      </w:r>
      <w:r>
        <w:rPr>
          <w:rFonts w:hint="eastAsia" w:ascii="仿宋_GB2312" w:hAnsi="仿宋_GB2312" w:eastAsia="仿宋_GB2312"/>
          <w:kern w:val="0"/>
          <w:sz w:val="32"/>
        </w:rPr>
        <w:t>“三公”经费支出决算17.78万元，比上年增加0.30万元，增长1.72%，主要原因是：车辆运行次数增加，导致燃油费、维修维护费有所增长。其中：因公出国（境）费支出0.00万元，占0.00%，比上年增加0.00万元，增长0.00%，主要原因是：本年单位无因公出国（境）费支出；公务用车购置及运行维护费支出17.78万元，占100.00%，比上年增加0.30万元，增长1.72%，主要原因是：车辆运行次数增加，导致燃油费、维修维护费有所增长；公务接待费支出0.00万元，占0.00%，比上年增加0.00万元，增长0.00%，主要原因是：</w:t>
      </w:r>
      <w:bookmarkStart w:id="0" w:name="_Hlk110848701"/>
      <w:r>
        <w:rPr>
          <w:rFonts w:hint="eastAsia" w:ascii="仿宋_GB2312" w:eastAsia="仿宋_GB2312" w:cs="仿宋_GB2312"/>
          <w:kern w:val="0"/>
          <w:sz w:val="32"/>
          <w:szCs w:val="32"/>
        </w:rPr>
        <w:t>本年单位无此项支出</w:t>
      </w:r>
      <w:bookmarkEnd w:id="0"/>
      <w:r>
        <w:rPr>
          <w:rFonts w:hint="eastAsia" w:ascii="仿宋_GB2312" w:hAnsi="仿宋_GB2312" w:eastAsia="仿宋_GB2312"/>
          <w:kern w:val="0"/>
          <w:sz w:val="32"/>
        </w:rPr>
        <w:t>。具体情况如下：</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用车购置及运行维护费17.78万元，其中：公务用车购置费0.00万元，公务用车运行维护费17.78万元。公务用车运行维护费开支内容包括公务用车燃油费、车辆维修维护费、保险费、过路费等。公务用车购置数0辆，公务用车保有量8辆。</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公务接待费0.00万元，开支内容包括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。单位全年安排的国内公务接待0批次，0人次。</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与</w:t>
      </w:r>
      <w:r>
        <w:rPr>
          <w:rFonts w:hint="eastAsia" w:ascii="仿宋_GB2312" w:hAnsi="仿宋_GB2312" w:eastAsia="仿宋_GB2312"/>
          <w:sz w:val="32"/>
        </w:rPr>
        <w:t>全年</w:t>
      </w:r>
      <w:r>
        <w:rPr>
          <w:rFonts w:hint="eastAsia" w:ascii="仿宋_GB2312" w:hAnsi="仿宋_GB2312" w:eastAsia="仿宋_GB2312"/>
          <w:kern w:val="0"/>
          <w:sz w:val="32"/>
        </w:rPr>
        <w:t>预算</w:t>
      </w:r>
      <w:r>
        <w:rPr>
          <w:rFonts w:hint="eastAsia" w:ascii="仿宋_GB2312" w:hAnsi="仿宋_GB2312" w:eastAsia="仿宋_GB2312"/>
          <w:kern w:val="0"/>
          <w:sz w:val="32"/>
          <w:lang w:val="zh-CN"/>
        </w:rPr>
        <w:t>数</w:t>
      </w:r>
      <w:r>
        <w:rPr>
          <w:rFonts w:hint="eastAsia" w:ascii="仿宋_GB2312" w:hAnsi="仿宋_GB2312" w:eastAsia="仿宋_GB2312"/>
          <w:kern w:val="0"/>
          <w:sz w:val="32"/>
        </w:rPr>
        <w:t>相比情况</w:t>
      </w:r>
      <w:r>
        <w:rPr>
          <w:rFonts w:hint="eastAsia" w:ascii="仿宋_GB2312" w:hAnsi="仿宋_GB2312" w:eastAsia="仿宋_GB2312"/>
          <w:sz w:val="32"/>
        </w:rPr>
        <w:t>：</w:t>
      </w:r>
      <w:r>
        <w:rPr>
          <w:rFonts w:eastAsia="Times New Roman"/>
          <w:kern w:val="0"/>
          <w:sz w:val="32"/>
        </w:rPr>
        <w:t>“</w:t>
      </w:r>
      <w:r>
        <w:rPr>
          <w:rFonts w:hint="eastAsia" w:ascii="仿宋_GB2312" w:hAnsi="仿宋_GB2312" w:eastAsia="仿宋_GB2312"/>
          <w:kern w:val="0"/>
          <w:sz w:val="32"/>
        </w:rPr>
        <w:t>三公</w:t>
      </w:r>
      <w:r>
        <w:rPr>
          <w:rFonts w:eastAsia="Times New Roman"/>
          <w:kern w:val="0"/>
          <w:sz w:val="32"/>
        </w:rPr>
        <w:t>”</w:t>
      </w:r>
      <w:r>
        <w:rPr>
          <w:rFonts w:hint="eastAsia" w:ascii="仿宋_GB2312" w:hAnsi="仿宋_GB2312" w:eastAsia="仿宋_GB2312"/>
          <w:kern w:val="0"/>
          <w:sz w:val="32"/>
        </w:rPr>
        <w:t>经费支出</w:t>
      </w:r>
      <w:r>
        <w:rPr>
          <w:rFonts w:hint="eastAsia" w:ascii="仿宋_GB2312" w:hAnsi="仿宋_GB2312" w:eastAsia="仿宋_GB2312"/>
          <w:sz w:val="32"/>
        </w:rPr>
        <w:t>全年预算数</w:t>
      </w:r>
      <w:r>
        <w:rPr>
          <w:rFonts w:hint="eastAsia" w:ascii="仿宋_GB2312" w:hAnsi="仿宋_GB2312" w:eastAsia="仿宋_GB2312"/>
          <w:kern w:val="0"/>
          <w:sz w:val="32"/>
        </w:rPr>
        <w:t>17.78万元，决算数17.78万元，预决算差异率0.00%，主要原因是：</w:t>
      </w:r>
      <w:bookmarkStart w:id="1" w:name="_Hlk110848692"/>
      <w:r>
        <w:rPr>
          <w:rFonts w:hint="eastAsia" w:ascii="仿宋_GB2312" w:eastAsia="仿宋_GB2312" w:cs="仿宋_GB2312"/>
          <w:kern w:val="0"/>
          <w:sz w:val="32"/>
          <w:szCs w:val="32"/>
        </w:rPr>
        <w:t>单位严格执行“三公”经费支出标准，未超预算</w:t>
      </w:r>
      <w:bookmarkEnd w:id="1"/>
      <w:r>
        <w:rPr>
          <w:rFonts w:hint="eastAsia" w:ascii="仿宋_GB2312" w:hAnsi="仿宋_GB2312" w:eastAsia="仿宋_GB2312"/>
          <w:kern w:val="0"/>
          <w:sz w:val="32"/>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；公务用车运行费全年预算数17.78万元，决算数17.78万元，预决算差异率0.00%，主要原因是：</w:t>
      </w:r>
      <w:r>
        <w:rPr>
          <w:rFonts w:hint="eastAsia" w:ascii="仿宋_GB2312" w:eastAsia="仿宋_GB2312" w:cs="仿宋_GB2312"/>
          <w:kern w:val="0"/>
          <w:sz w:val="32"/>
          <w:szCs w:val="32"/>
        </w:rPr>
        <w:t>单位严格执行“三公”经费支出标准，未超预算</w:t>
      </w:r>
      <w:r>
        <w:rPr>
          <w:rFonts w:hint="eastAsia" w:ascii="仿宋_GB2312" w:hAnsi="仿宋_GB2312" w:eastAsia="仿宋_GB2312"/>
          <w:kern w:val="0"/>
          <w:sz w:val="32"/>
        </w:rPr>
        <w:t>；公务接待费全年预算数0.00万元，决算数0.00万元，预决算差异率0.00%，主要原因是：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rPr>
        <w:t>。</w:t>
      </w:r>
    </w:p>
    <w:p>
      <w:pPr>
        <w:spacing w:line="360" w:lineRule="auto"/>
        <w:ind w:firstLine="640"/>
        <w:rPr>
          <w:rFonts w:eastAsia="Times New Roman"/>
          <w:sz w:val="32"/>
          <w:lang w:val="zh-CN"/>
        </w:rPr>
      </w:pPr>
      <w:r>
        <w:rPr>
          <w:rFonts w:hint="eastAsia" w:ascii="黑体" w:hAnsi="黑体" w:eastAsia="黑体"/>
          <w:sz w:val="32"/>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rPr>
      </w:pPr>
      <w:r>
        <w:rPr>
          <w:rFonts w:hint="eastAsia" w:ascii="仿宋_GB2312" w:hAnsi="仿宋_GB2312" w:eastAsia="仿宋_GB2312"/>
          <w:kern w:val="0"/>
          <w:sz w:val="32"/>
        </w:rPr>
        <w:t>我单位本年度无政府性基金预算财政拨款收入、支出及结转和结余，政府性基金预算财政拨款收入支出决算表为空表。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九、国有资本经营预算财政拨款收入支出决算情况说明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我单位本年度无国有资本经营预算财政拨款收入、支出及结转和结余，国有资本经营预算财政拨款收入支出决算表为空表。</w:t>
      </w:r>
    </w:p>
    <w:p>
      <w:pPr>
        <w:spacing w:line="360" w:lineRule="auto"/>
        <w:ind w:firstLine="640"/>
        <w:rPr>
          <w:rFonts w:eastAsia="Times New Roman"/>
          <w:sz w:val="32"/>
          <w:lang w:val="zh-CN"/>
        </w:rPr>
      </w:pPr>
      <w:r>
        <w:rPr>
          <w:rFonts w:hint="eastAsia" w:ascii="黑体" w:hAnsi="黑体" w:eastAsia="黑体"/>
          <w:sz w:val="32"/>
          <w:lang w:val="zh-CN"/>
        </w:rPr>
        <w:t>十、其他重要事项的情况说明</w:t>
      </w:r>
    </w:p>
    <w:p>
      <w:pPr>
        <w:spacing w:line="360" w:lineRule="auto"/>
        <w:ind w:firstLine="640"/>
        <w:rPr>
          <w:rFonts w:eastAsia="Times New Roman"/>
          <w:sz w:val="32"/>
          <w:lang w:val="zh-CN"/>
        </w:rPr>
      </w:pPr>
      <w:r>
        <w:rPr>
          <w:rFonts w:hint="eastAsia" w:ascii="黑体" w:hAnsi="黑体" w:eastAsia="黑体"/>
          <w:sz w:val="32"/>
          <w:lang w:val="zh-CN"/>
        </w:rPr>
        <w:t xml:space="preserve">（一）机关运行经费支出情况 </w:t>
      </w:r>
    </w:p>
    <w:p>
      <w:pPr>
        <w:spacing w:line="360" w:lineRule="auto"/>
        <w:ind w:firstLine="640"/>
        <w:rPr>
          <w:rFonts w:eastAsia="Times New Roman"/>
          <w:kern w:val="0"/>
          <w:sz w:val="32"/>
        </w:rPr>
      </w:pPr>
      <w:r>
        <w:rPr>
          <w:rFonts w:hint="eastAsia" w:ascii="仿宋_GB2312" w:hAnsi="仿宋_GB2312" w:eastAsia="仿宋_GB2312"/>
          <w:kern w:val="0"/>
          <w:sz w:val="32"/>
        </w:rPr>
        <w:t>2022年度乌鲁木齐市米东区疾病预防控制中心单位公用经费266.54万元，比上年减少172.17万元，下降39.24%，主要原因是：本年我单位办公费、印刷费、劳务费、委托业务费、其他商品和服务支出有所减少。</w:t>
      </w:r>
    </w:p>
    <w:p>
      <w:pPr>
        <w:spacing w:line="360" w:lineRule="auto"/>
        <w:ind w:firstLine="640"/>
        <w:rPr>
          <w:rFonts w:eastAsia="Times New Roman"/>
          <w:sz w:val="32"/>
        </w:rPr>
      </w:pPr>
      <w:r>
        <w:rPr>
          <w:rFonts w:hint="eastAsia" w:ascii="黑体" w:hAnsi="黑体" w:eastAsia="黑体"/>
          <w:sz w:val="32"/>
        </w:rPr>
        <w:t>（</w:t>
      </w:r>
      <w:r>
        <w:rPr>
          <w:rFonts w:hint="eastAsia" w:ascii="黑体" w:hAnsi="黑体" w:eastAsia="黑体"/>
          <w:sz w:val="32"/>
          <w:lang w:val="zh-CN"/>
        </w:rPr>
        <w:t>二</w:t>
      </w:r>
      <w:r>
        <w:rPr>
          <w:rFonts w:hint="eastAsia" w:ascii="黑体" w:hAnsi="黑体" w:eastAsia="黑体"/>
          <w:sz w:val="32"/>
        </w:rPr>
        <w:t>）</w:t>
      </w:r>
      <w:r>
        <w:rPr>
          <w:rFonts w:hint="eastAsia" w:ascii="黑体" w:hAnsi="黑体" w:eastAsia="黑体"/>
          <w:sz w:val="32"/>
          <w:lang w:val="zh-CN"/>
        </w:rPr>
        <w:t>政府采购情况</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2022年度政府采购支出总额0.00万元，其中：政府采购货物支出0.00万元、政府采购工程支出0.00万元、政府采购服务支出0.00万元。</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授予中小企业合同金额0.00万元，占政府采购支出总额的0.00%，其中：授予小微企业合同金额0.00万元，占政府采购支出总额的0.00%。</w:t>
      </w:r>
    </w:p>
    <w:p>
      <w:pPr>
        <w:spacing w:line="360" w:lineRule="auto"/>
        <w:ind w:firstLine="640"/>
        <w:rPr>
          <w:rFonts w:eastAsia="Times New Roman"/>
          <w:sz w:val="32"/>
          <w:lang w:val="zh-CN"/>
        </w:rPr>
      </w:pPr>
      <w:r>
        <w:rPr>
          <w:rFonts w:hint="eastAsia" w:ascii="黑体" w:hAnsi="黑体" w:eastAsia="黑体"/>
          <w:sz w:val="32"/>
          <w:lang w:val="zh-CN"/>
        </w:rPr>
        <w:t>（三）国有资产占用情况说明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截止2022年12月31日，</w:t>
      </w:r>
      <w:r>
        <w:rPr>
          <w:rFonts w:hint="eastAsia" w:ascii="仿宋_GB2312" w:hAnsi="仿宋_GB2312" w:eastAsia="仿宋_GB2312"/>
          <w:sz w:val="32"/>
        </w:rPr>
        <w:t>固定资产原值</w:t>
      </w:r>
      <w:r>
        <w:rPr>
          <w:rFonts w:hint="eastAsia" w:ascii="仿宋_GB2312" w:hAnsi="仿宋_GB2312" w:eastAsia="仿宋_GB2312"/>
          <w:kern w:val="0"/>
          <w:sz w:val="32"/>
        </w:rPr>
        <w:t>3,254.68</w:t>
      </w:r>
      <w:r>
        <w:rPr>
          <w:rFonts w:hint="eastAsia" w:ascii="仿宋_GB2312" w:hAnsi="仿宋_GB2312" w:eastAsia="仿宋_GB2312"/>
          <w:sz w:val="32"/>
        </w:rPr>
        <w:t>万元，</w:t>
      </w:r>
      <w:r>
        <w:rPr>
          <w:rFonts w:hint="eastAsia" w:ascii="仿宋_GB2312" w:hAnsi="仿宋_GB2312" w:eastAsia="仿宋_GB2312"/>
          <w:kern w:val="0"/>
          <w:sz w:val="32"/>
        </w:rPr>
        <w:t>房屋3,114.00平方米，价值176.25万元。车辆8辆，价值187.00万元，其中：副部（省）级及以上领导用车0辆、主要领导干部用车0辆、机要通信用车0辆、应急保障用车0辆、执法执勤用车0辆、特种专业技术用车0辆、离退休干部用车0辆、其他用车8辆，其他用车主要是：为我单位业务用车；单价100</w:t>
      </w:r>
      <w:r>
        <w:rPr>
          <w:rFonts w:hint="eastAsia" w:ascii="仿宋_GB2312" w:hAnsi="仿宋_GB2312" w:eastAsia="仿宋_GB2312"/>
          <w:sz w:val="32"/>
        </w:rPr>
        <w:t>万元（含）以上设备（不含车辆）</w:t>
      </w:r>
      <w:r>
        <w:rPr>
          <w:rFonts w:hint="eastAsia" w:ascii="仿宋_GB2312" w:hAnsi="仿宋_GB2312" w:eastAsia="仿宋_GB2312"/>
          <w:kern w:val="0"/>
          <w:sz w:val="32"/>
        </w:rPr>
        <w:t>0台（套）。</w:t>
      </w:r>
    </w:p>
    <w:p>
      <w:pPr>
        <w:spacing w:line="360" w:lineRule="auto"/>
        <w:ind w:firstLine="640"/>
        <w:rPr>
          <w:rFonts w:eastAsia="Times New Roman"/>
          <w:sz w:val="32"/>
          <w:lang w:val="zh-CN"/>
        </w:rPr>
      </w:pPr>
      <w:r>
        <w:rPr>
          <w:rFonts w:hint="eastAsia" w:ascii="黑体" w:hAnsi="黑体" w:eastAsia="黑体"/>
          <w:sz w:val="32"/>
          <w:lang w:val="zh-CN"/>
        </w:rPr>
        <w:t>十一、预算绩效的情况说明</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根据预算绩效管理要求，我单位2022年度开展预算绩效评价项目1个，</w:t>
      </w:r>
      <w:r>
        <w:rPr>
          <w:rFonts w:hint="eastAsia" w:ascii="仿宋_GB2312" w:hAnsi="仿宋_GB2312" w:eastAsia="仿宋_GB2312"/>
          <w:sz w:val="32"/>
        </w:rPr>
        <w:t>全年预算数</w:t>
      </w:r>
      <w:r>
        <w:rPr>
          <w:rFonts w:hint="eastAsia" w:ascii="仿宋_GB2312" w:hAnsi="仿宋_GB2312" w:eastAsia="仿宋_GB2312"/>
          <w:kern w:val="0"/>
          <w:sz w:val="32"/>
        </w:rPr>
        <w:t>63.63</w:t>
      </w:r>
      <w:r>
        <w:rPr>
          <w:rFonts w:hint="eastAsia" w:ascii="仿宋_GB2312" w:hAnsi="仿宋_GB2312" w:eastAsia="仿宋_GB2312"/>
          <w:sz w:val="32"/>
        </w:rPr>
        <w:t>万元，全年执行数</w:t>
      </w:r>
      <w:r>
        <w:rPr>
          <w:rFonts w:hint="eastAsia" w:ascii="仿宋_GB2312" w:hAnsi="仿宋_GB2312" w:eastAsia="仿宋_GB2312"/>
          <w:kern w:val="0"/>
          <w:sz w:val="32"/>
        </w:rPr>
        <w:t>63.63</w:t>
      </w:r>
      <w:r>
        <w:rPr>
          <w:rFonts w:hint="eastAsia" w:ascii="仿宋_GB2312" w:hAnsi="仿宋_GB2312" w:eastAsia="仿宋_GB2312"/>
          <w:sz w:val="32"/>
        </w:rPr>
        <w:t>万元。</w:t>
      </w:r>
      <w:r>
        <w:rPr>
          <w:rFonts w:hint="eastAsia" w:ascii="仿宋_GB2312" w:hAnsi="仿宋_GB2312" w:eastAsia="仿宋_GB2312"/>
          <w:kern w:val="0"/>
          <w:sz w:val="32"/>
        </w:rPr>
        <w:t>预算绩效管理取得的成效：一是</w:t>
      </w:r>
      <w:r>
        <w:rPr>
          <w:rFonts w:hint="eastAsia" w:ascii="仿宋_GB2312" w:eastAsia="仿宋_GB2312"/>
          <w:kern w:val="0"/>
          <w:sz w:val="32"/>
        </w:rPr>
        <w:t>通过有效的绩效管理，组织可以了解员工完成工作目标的情况，包括成绩、差距和困难</w:t>
      </w:r>
      <w:r>
        <w:rPr>
          <w:rFonts w:hint="eastAsia" w:ascii="仿宋_GB2312" w:hAnsi="仿宋_GB2312" w:eastAsia="仿宋_GB2312"/>
          <w:kern w:val="0"/>
          <w:sz w:val="32"/>
        </w:rPr>
        <w:t>；二是通过绩效评估获得信息，及时修正绩效目标。发现的问题及原因：一是绩效评估标准不科学，衡量性差；二是财务与业务沟通默契程度还需加强。下一步改进措施：一是要制定和完善基本支出、项目支出等各项支出标准，严格按项目和进度执行预算，增强预算的约束力和严肃性；二是要落实预算执行分析，及时了解预算执行差异，合理调整、纠正预算执行偏差，切实提高部门预算收支管理水平。具体项目自评情况附项目支出绩效自评表。</w:t>
      </w:r>
    </w:p>
    <w:tbl>
      <w:tblPr>
        <w:tblStyle w:val="4"/>
        <w:tblW w:w="5000" w:type="pct"/>
        <w:tblInd w:w="0" w:type="dxa"/>
        <w:tblLayout w:type="fixed"/>
        <w:tblCellMar>
          <w:top w:w="0" w:type="dxa"/>
          <w:left w:w="108" w:type="dxa"/>
          <w:bottom w:w="0" w:type="dxa"/>
          <w:right w:w="108" w:type="dxa"/>
        </w:tblCellMar>
      </w:tblPr>
      <w:tblGrid>
        <w:gridCol w:w="616"/>
        <w:gridCol w:w="774"/>
        <w:gridCol w:w="845"/>
        <w:gridCol w:w="769"/>
        <w:gridCol w:w="893"/>
        <w:gridCol w:w="561"/>
        <w:gridCol w:w="765"/>
        <w:gridCol w:w="832"/>
        <w:gridCol w:w="172"/>
        <w:gridCol w:w="494"/>
        <w:gridCol w:w="553"/>
        <w:gridCol w:w="409"/>
        <w:gridCol w:w="445"/>
        <w:gridCol w:w="728"/>
      </w:tblGrid>
      <w:tr>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(2022年度)</w:t>
            </w:r>
          </w:p>
        </w:tc>
      </w:tr>
      <w:tr>
        <w:tblPrEx>
          <w:tblCellMar>
            <w:top w:w="0" w:type="dxa"/>
            <w:left w:w="108" w:type="dxa"/>
            <w:bottom w:w="0" w:type="dxa"/>
            <w:right w:w="108" w:type="dxa"/>
          </w:tblCellMar>
        </w:tblPrEx>
        <w:trPr>
          <w:trHeight w:val="396" w:hRule="atLeast"/>
        </w:trPr>
        <w:tc>
          <w:tcPr>
            <w:tcW w:w="7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4214" w:type="pct"/>
            <w:gridSpan w:val="1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乌财社【2022】312号第七十六批疫情防控补助资金核酸检测人员工资</w:t>
            </w:r>
          </w:p>
        </w:tc>
      </w:tr>
      <w:tr>
        <w:tblPrEx>
          <w:tblCellMar>
            <w:top w:w="0" w:type="dxa"/>
            <w:left w:w="108" w:type="dxa"/>
            <w:bottom w:w="0" w:type="dxa"/>
            <w:right w:w="108" w:type="dxa"/>
          </w:tblCellMar>
        </w:tblPrEx>
        <w:trPr>
          <w:trHeight w:val="396" w:hRule="atLeast"/>
        </w:trPr>
        <w:tc>
          <w:tcPr>
            <w:tcW w:w="785"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主管部门</w:t>
            </w:r>
          </w:p>
        </w:tc>
        <w:tc>
          <w:tcPr>
            <w:tcW w:w="2164"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米东疾病控制中心</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实施单位</w:t>
            </w:r>
          </w:p>
        </w:tc>
        <w:tc>
          <w:tcPr>
            <w:tcW w:w="1482" w:type="pct"/>
            <w:gridSpan w:val="5"/>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米东疾病控制中心</w:t>
            </w:r>
          </w:p>
        </w:tc>
      </w:tr>
      <w:tr>
        <w:tblPrEx>
          <w:tblCellMar>
            <w:top w:w="0" w:type="dxa"/>
            <w:left w:w="108" w:type="dxa"/>
            <w:bottom w:w="0" w:type="dxa"/>
            <w:right w:w="108" w:type="dxa"/>
          </w:tblCellMar>
        </w:tblPrEx>
        <w:trPr>
          <w:trHeight w:val="396" w:hRule="atLeast"/>
        </w:trPr>
        <w:tc>
          <w:tcPr>
            <w:tcW w:w="78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项目资金</w:t>
            </w:r>
          </w:p>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（万元）</w:t>
            </w:r>
          </w:p>
        </w:tc>
        <w:tc>
          <w:tcPr>
            <w:tcW w:w="9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年初预算数</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全年预算数</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全年执行数</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4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执行率</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r>
      <w:tr>
        <w:tblPrEx>
          <w:tblCellMar>
            <w:top w:w="0" w:type="dxa"/>
            <w:left w:w="108" w:type="dxa"/>
            <w:bottom w:w="0" w:type="dxa"/>
            <w:right w:w="108" w:type="dxa"/>
          </w:tblCellMar>
        </w:tblPrEx>
        <w:trPr>
          <w:trHeight w:val="396" w:hRule="atLeast"/>
        </w:trPr>
        <w:tc>
          <w:tcPr>
            <w:tcW w:w="7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年度资金总额</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63.63</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63.63</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4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10.00分</w:t>
            </w:r>
          </w:p>
        </w:tc>
      </w:tr>
      <w:tr>
        <w:tblPrEx>
          <w:tblCellMar>
            <w:top w:w="0" w:type="dxa"/>
            <w:left w:w="108" w:type="dxa"/>
            <w:bottom w:w="0" w:type="dxa"/>
            <w:right w:w="108" w:type="dxa"/>
          </w:tblCellMar>
        </w:tblPrEx>
        <w:trPr>
          <w:trHeight w:val="396" w:hRule="atLeast"/>
        </w:trPr>
        <w:tc>
          <w:tcPr>
            <w:tcW w:w="7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其中：当年财政拨款</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0.00</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63.63</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63.63</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上年结转资金</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78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9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504"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74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6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p>
        </w:tc>
        <w:tc>
          <w:tcPr>
            <w:tcW w:w="59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8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r>
      <w:tr>
        <w:tblPrEx>
          <w:tblCellMar>
            <w:top w:w="0" w:type="dxa"/>
            <w:left w:w="108" w:type="dxa"/>
            <w:bottom w:w="0" w:type="dxa"/>
            <w:right w:w="108" w:type="dxa"/>
          </w:tblCellMar>
        </w:tblPrEx>
        <w:trPr>
          <w:trHeight w:val="396" w:hRule="atLeast"/>
        </w:trPr>
        <w:tc>
          <w:tcPr>
            <w:tcW w:w="34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年度总体目标</w:t>
            </w:r>
          </w:p>
        </w:tc>
        <w:tc>
          <w:tcPr>
            <w:tcW w:w="2601" w:type="pct"/>
            <w:gridSpan w:val="6"/>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预期目标</w:t>
            </w:r>
          </w:p>
        </w:tc>
        <w:tc>
          <w:tcPr>
            <w:tcW w:w="2050" w:type="pct"/>
            <w:gridSpan w:val="7"/>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实际完成情况</w:t>
            </w: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2601" w:type="pct"/>
            <w:gridSpan w:val="6"/>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需招聘174人核酸检测人员。保障疫情工作的顺利开展，及解决就业。</w:t>
            </w:r>
          </w:p>
        </w:tc>
        <w:tc>
          <w:tcPr>
            <w:tcW w:w="2050" w:type="pct"/>
            <w:gridSpan w:val="7"/>
            <w:tcBorders>
              <w:top w:val="single" w:color="000000" w:sz="4" w:space="0"/>
              <w:left w:val="single" w:color="000000" w:sz="4" w:space="0"/>
              <w:bottom w:val="single" w:color="000000" w:sz="4" w:space="0"/>
              <w:right w:val="single" w:color="000000" w:sz="4" w:space="0"/>
            </w:tcBorders>
            <w:noWrap w:val="0"/>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需招聘174人核酸检测人员。保障疫情工作的顺利开展，及解决就业。</w:t>
            </w:r>
          </w:p>
        </w:tc>
      </w:tr>
      <w:tr>
        <w:tblPrEx>
          <w:tblCellMar>
            <w:top w:w="0" w:type="dxa"/>
            <w:left w:w="108" w:type="dxa"/>
            <w:bottom w:w="0" w:type="dxa"/>
            <w:right w:w="108" w:type="dxa"/>
          </w:tblCellMar>
        </w:tblPrEx>
        <w:trPr>
          <w:trHeight w:val="396" w:hRule="atLeast"/>
        </w:trPr>
        <w:tc>
          <w:tcPr>
            <w:tcW w:w="34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一级指标</w:t>
            </w:r>
          </w:p>
        </w:tc>
        <w:tc>
          <w:tcPr>
            <w:tcW w:w="47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二级指标</w:t>
            </w:r>
          </w:p>
        </w:tc>
        <w:tc>
          <w:tcPr>
            <w:tcW w:w="1255"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三级指标</w:t>
            </w:r>
          </w:p>
        </w:tc>
        <w:tc>
          <w:tcPr>
            <w:tcW w:w="431"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年度指标值</w:t>
            </w:r>
          </w:p>
        </w:tc>
        <w:tc>
          <w:tcPr>
            <w:tcW w:w="469"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实际完成值</w:t>
            </w:r>
          </w:p>
        </w:tc>
        <w:tc>
          <w:tcPr>
            <w:tcW w:w="37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分值</w:t>
            </w:r>
          </w:p>
        </w:tc>
        <w:tc>
          <w:tcPr>
            <w:tcW w:w="543"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得分</w:t>
            </w:r>
          </w:p>
        </w:tc>
        <w:tc>
          <w:tcPr>
            <w:tcW w:w="66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偏差原因分析及改进措施</w:t>
            </w: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55"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年度绩效指标完成情况</w:t>
            </w:r>
          </w:p>
        </w:tc>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核酸检测临聘人员人数</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=174人</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174人</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核酸检测的任务完成率</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检测结果公布时间</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&lt;=24小时</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6小时</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人均月工资</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&lt;=5050元</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5050元</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保障疫情防控工作顺利开展</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有效保障</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促进社会就业</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有效促进</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完全达到预期效果</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可持续影响指标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cs="宋体"/>
                <w:color w:val="000000"/>
                <w:sz w:val="18"/>
                <w:szCs w:val="18"/>
              </w:rPr>
            </w:pP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43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477"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55" w:type="pct"/>
            <w:gridSpan w:val="3"/>
            <w:tcBorders>
              <w:top w:val="single" w:color="000000" w:sz="4" w:space="0"/>
              <w:left w:val="single" w:color="000000" w:sz="4" w:space="0"/>
              <w:bottom w:val="single" w:color="000000" w:sz="4" w:space="0"/>
              <w:right w:val="single" w:color="000000" w:sz="4" w:space="0"/>
            </w:tcBorders>
            <w:noWrap/>
            <w:vAlign w:val="center"/>
          </w:tcPr>
          <w:p>
            <w:pPr>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工作人员满意度</w:t>
            </w:r>
          </w:p>
        </w:tc>
        <w:tc>
          <w:tcPr>
            <w:tcW w:w="431"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&gt;=80%</w:t>
            </w:r>
          </w:p>
        </w:tc>
        <w:tc>
          <w:tcPr>
            <w:tcW w:w="469" w:type="pct"/>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18"/>
                <w:szCs w:val="18"/>
              </w:rPr>
            </w:pPr>
          </w:p>
        </w:tc>
      </w:tr>
      <w:tr>
        <w:tblPrEx>
          <w:tblCellMar>
            <w:top w:w="0" w:type="dxa"/>
            <w:left w:w="108" w:type="dxa"/>
            <w:bottom w:w="0" w:type="dxa"/>
            <w:right w:w="108" w:type="dxa"/>
          </w:tblCellMar>
        </w:tblPrEx>
        <w:trPr>
          <w:trHeight w:val="396" w:hRule="atLeast"/>
        </w:trPr>
        <w:tc>
          <w:tcPr>
            <w:tcW w:w="3419" w:type="pct"/>
            <w:gridSpan w:val="8"/>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总分</w:t>
            </w:r>
          </w:p>
        </w:tc>
        <w:tc>
          <w:tcPr>
            <w:tcW w:w="37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543"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100.00分</w:t>
            </w:r>
          </w:p>
        </w:tc>
        <w:tc>
          <w:tcPr>
            <w:tcW w:w="66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r>
    </w:tbl>
    <w:p>
      <w:pPr>
        <w:shd w:val="clear" w:color="auto" w:fill="FFFFFF"/>
        <w:spacing w:before="100" w:after="240"/>
        <w:jc w:val="center"/>
        <w:rPr>
          <w:rFonts w:eastAsia="Times New Roman"/>
          <w:b/>
          <w:kern w:val="0"/>
          <w:sz w:val="28"/>
        </w:rPr>
      </w:pPr>
      <w:r>
        <w:rPr>
          <w:rFonts w:hint="eastAsia" w:ascii="黑体" w:hAnsi="黑体" w:eastAsia="黑体"/>
          <w:kern w:val="0"/>
          <w:sz w:val="32"/>
        </w:rPr>
        <w:t>第三部分 专业名词解释</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财政拨款收入：指同级财政当年拨付的资金。</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上级补助收入：指事业单位从主管部门和上级单位取得的非财政补助收入。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事业收入：指事业单位开展专业业务活动及其辅助活动所取得的收入。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经营收入：指事业单位在专业业务活动及其辅助活动之外开展非独立核算经营活动取得的收入。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附属单位上缴收入：指事业单位附属的独立核算单位按有关规定上缴的收入。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其他收入：指除上述“财政拨款收入”、“事业收入”、“经营收入”、“附属单位上缴收入”等之外取得的收入。</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基本支出：指为保障机构正常运转、完成日常工作任务而发生的人员支出和公用支出。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项目支出：指在基本支出之外为完成特定行政任务和事业发展目标所发生的支出。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经营支出：指事业单位在专业业务活动及其辅助活动之外开展非独立核算经营活动发生的支出。</w:t>
      </w:r>
    </w:p>
    <w:p>
      <w:pPr>
        <w:shd w:val="clear" w:color="auto" w:fill="FFFFFF"/>
        <w:spacing w:line="360" w:lineRule="auto"/>
        <w:ind w:firstLine="640"/>
        <w:rPr>
          <w:rFonts w:eastAsia="Times New Roman"/>
          <w:kern w:val="0"/>
          <w:sz w:val="32"/>
        </w:rPr>
      </w:pPr>
      <w:r>
        <w:rPr>
          <w:rFonts w:hint="eastAsia" w:ascii="仿宋_GB2312" w:hAnsi="仿宋_GB2312" w:eastAsia="仿宋_GB2312"/>
          <w:kern w:val="0"/>
          <w:sz w:val="32"/>
        </w:rPr>
        <w:t>对附属单位补助支出：指事业单位发生的用非财政预算资金对附属单位的补助支出。</w:t>
      </w:r>
    </w:p>
    <w:p>
      <w:pPr>
        <w:spacing w:line="360" w:lineRule="auto"/>
        <w:ind w:firstLine="640"/>
        <w:rPr>
          <w:rFonts w:eastAsia="Times New Roman"/>
          <w:sz w:val="32"/>
        </w:rPr>
      </w:pPr>
      <w:r>
        <w:rPr>
          <w:rFonts w:hint="eastAsia" w:ascii="仿宋_GB2312" w:hAnsi="仿宋_GB2312" w:eastAsia="仿宋_GB2312"/>
          <w:sz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eastAsia="Times New Roman"/>
          <w:sz w:val="32"/>
        </w:rPr>
      </w:pPr>
      <w:r>
        <w:rPr>
          <w:rFonts w:hint="eastAsia" w:ascii="仿宋_GB2312" w:hAnsi="仿宋_GB2312" w:eastAsia="仿宋_GB2312"/>
          <w:sz w:val="32"/>
        </w:rPr>
        <w:t>机关运行经费：行政单位和参照公务员法管理的事业单位财政拨款基本支出中的公用经费支出。</w:t>
      </w:r>
    </w:p>
    <w:p>
      <w:pPr>
        <w:shd w:val="clear" w:color="auto" w:fill="FFFFFF"/>
        <w:spacing w:before="100" w:after="240"/>
        <w:jc w:val="center"/>
        <w:rPr>
          <w:rFonts w:eastAsia="Times New Roman"/>
          <w:kern w:val="0"/>
          <w:sz w:val="32"/>
        </w:rPr>
      </w:pPr>
      <w:bookmarkStart w:id="2" w:name="_GoBack"/>
      <w:bookmarkEnd w:id="2"/>
      <w:r>
        <w:rPr>
          <w:rFonts w:hint="eastAsia" w:ascii="黑体" w:hAnsi="黑体" w:eastAsia="黑体"/>
          <w:kern w:val="0"/>
          <w:sz w:val="32"/>
        </w:rPr>
        <w:t>第四部分 部门决算报表（见附表）</w:t>
      </w:r>
    </w:p>
    <w:p>
      <w:pPr>
        <w:spacing w:line="540" w:lineRule="exact"/>
        <w:ind w:firstLine="640"/>
        <w:rPr>
          <w:rFonts w:eastAsia="Times New Roman"/>
          <w:sz w:val="32"/>
        </w:rPr>
      </w:pPr>
      <w:r>
        <w:rPr>
          <w:rFonts w:hint="eastAsia" w:ascii="黑体" w:hAnsi="黑体" w:eastAsia="黑体"/>
          <w:sz w:val="32"/>
        </w:rPr>
        <w:t>一、《收入支出决算总表》</w:t>
      </w:r>
    </w:p>
    <w:p>
      <w:pPr>
        <w:spacing w:line="540" w:lineRule="exact"/>
        <w:ind w:firstLine="640"/>
        <w:rPr>
          <w:rFonts w:eastAsia="Times New Roman"/>
          <w:sz w:val="32"/>
        </w:rPr>
      </w:pPr>
      <w:r>
        <w:rPr>
          <w:rFonts w:hint="eastAsia" w:ascii="黑体" w:hAnsi="黑体" w:eastAsia="黑体"/>
          <w:sz w:val="32"/>
        </w:rPr>
        <w:t>二、《收入决算表》</w:t>
      </w:r>
    </w:p>
    <w:p>
      <w:pPr>
        <w:spacing w:line="540" w:lineRule="exact"/>
        <w:ind w:firstLine="640"/>
        <w:rPr>
          <w:rFonts w:eastAsia="Times New Roman"/>
          <w:sz w:val="32"/>
        </w:rPr>
      </w:pPr>
      <w:r>
        <w:rPr>
          <w:rFonts w:hint="eastAsia" w:ascii="黑体" w:hAnsi="黑体" w:eastAsia="黑体"/>
          <w:sz w:val="32"/>
        </w:rPr>
        <w:t>三、《支出决算表》</w:t>
      </w:r>
    </w:p>
    <w:p>
      <w:pPr>
        <w:spacing w:line="540" w:lineRule="exact"/>
        <w:ind w:firstLine="640"/>
        <w:rPr>
          <w:rFonts w:eastAsia="Times New Roman"/>
          <w:sz w:val="32"/>
        </w:rPr>
      </w:pPr>
      <w:r>
        <w:rPr>
          <w:rFonts w:hint="eastAsia" w:ascii="黑体" w:hAnsi="黑体" w:eastAsia="黑体"/>
          <w:sz w:val="32"/>
        </w:rPr>
        <w:t>四、《财政拨款收入支出决算总表》</w:t>
      </w:r>
    </w:p>
    <w:p>
      <w:pPr>
        <w:spacing w:line="540" w:lineRule="exact"/>
        <w:ind w:firstLine="640"/>
        <w:rPr>
          <w:rFonts w:eastAsia="Times New Roman"/>
          <w:sz w:val="32"/>
        </w:rPr>
      </w:pPr>
      <w:r>
        <w:rPr>
          <w:rFonts w:hint="eastAsia" w:ascii="黑体" w:hAnsi="黑体" w:eastAsia="黑体"/>
          <w:sz w:val="32"/>
        </w:rPr>
        <w:t>五、《一般公共预算财政拨款支出决算表》</w:t>
      </w:r>
    </w:p>
    <w:p>
      <w:pPr>
        <w:spacing w:line="540" w:lineRule="exact"/>
        <w:ind w:firstLine="640"/>
        <w:rPr>
          <w:rFonts w:eastAsia="Times New Roman"/>
          <w:sz w:val="32"/>
        </w:rPr>
      </w:pPr>
      <w:r>
        <w:rPr>
          <w:rFonts w:hint="eastAsia" w:ascii="黑体" w:hAnsi="黑体" w:eastAsia="黑体"/>
          <w:sz w:val="32"/>
        </w:rPr>
        <w:t>六、《一般公共预算财政拨款基本支出决算表》</w:t>
      </w:r>
    </w:p>
    <w:p>
      <w:pPr>
        <w:spacing w:line="540" w:lineRule="exact"/>
        <w:ind w:firstLine="640"/>
        <w:rPr>
          <w:rFonts w:eastAsia="Times New Roman"/>
          <w:sz w:val="32"/>
        </w:rPr>
      </w:pPr>
      <w:r>
        <w:rPr>
          <w:rFonts w:hint="eastAsia" w:ascii="黑体" w:hAnsi="黑体" w:eastAsia="黑体"/>
          <w:sz w:val="32"/>
        </w:rPr>
        <w:t>七、《财政拨款“三公”经费支出决算表》</w:t>
      </w:r>
    </w:p>
    <w:p>
      <w:pPr>
        <w:spacing w:line="540" w:lineRule="exact"/>
        <w:ind w:firstLine="640"/>
        <w:rPr>
          <w:rFonts w:eastAsia="Times New Roman"/>
          <w:kern w:val="0"/>
          <w:sz w:val="32"/>
        </w:rPr>
      </w:pPr>
      <w:r>
        <w:rPr>
          <w:rFonts w:hint="eastAsia" w:ascii="黑体" w:hAnsi="黑体" w:eastAsia="黑体"/>
          <w:sz w:val="32"/>
        </w:rPr>
        <w:t>八、《政府性基金预算财政拨款收入支出决算表》</w:t>
      </w:r>
    </w:p>
    <w:p>
      <w:pPr>
        <w:spacing w:line="540" w:lineRule="exact"/>
        <w:ind w:firstLine="640"/>
        <w:rPr>
          <w:rFonts w:eastAsia="Times New Roman"/>
          <w:kern w:val="0"/>
          <w:sz w:val="32"/>
        </w:rPr>
      </w:pPr>
      <w:r>
        <w:rPr>
          <w:rFonts w:hint="eastAsia" w:ascii="黑体" w:hAnsi="黑体" w:eastAsia="黑体"/>
          <w:sz w:val="32"/>
          <w:lang w:val="zh-CN"/>
        </w:rPr>
        <w:t>九</w:t>
      </w:r>
      <w:r>
        <w:rPr>
          <w:rFonts w:hint="eastAsia" w:ascii="黑体" w:hAnsi="黑体" w:eastAsia="黑体"/>
          <w:sz w:val="32"/>
        </w:rPr>
        <w:t>、《国有资本经营预算财政拨款收入支出决算表》</w:t>
      </w: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p>
      <w:pPr>
        <w:rPr>
          <w:rFonts w:eastAsia="Times New Roman"/>
        </w:rPr>
      </w:pPr>
    </w:p>
    <w:p>
      <w:pPr>
        <w:jc w:val="left"/>
        <w:rPr>
          <w:rFonts w:eastAsia="Times New Roman"/>
          <w:kern w:val="36"/>
          <w:sz w:val="40"/>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D0298"/>
    <w:rsid w:val="0030301C"/>
    <w:rsid w:val="00414E84"/>
    <w:rsid w:val="00603304"/>
    <w:rsid w:val="00757F3C"/>
    <w:rsid w:val="008B2889"/>
    <w:rsid w:val="009446B7"/>
    <w:rsid w:val="00B47715"/>
    <w:rsid w:val="00B529A6"/>
    <w:rsid w:val="00B63D02"/>
    <w:rsid w:val="00D46517"/>
    <w:rsid w:val="00E7640F"/>
    <w:rsid w:val="00E820DF"/>
    <w:rsid w:val="3B212A55"/>
    <w:rsid w:val="43296B57"/>
    <w:rsid w:val="5B606F1F"/>
    <w:rsid w:val="79B846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uiPriority w:val="99"/>
    <w:rPr>
      <w:rFonts w:hint="default"/>
      <w:kern w:val="2"/>
      <w:sz w:val="18"/>
      <w:szCs w:val="18"/>
    </w:rPr>
  </w:style>
  <w:style w:type="character" w:customStyle="1" w:styleId="7">
    <w:name w:val="页脚 字符"/>
    <w:link w:val="2"/>
    <w:uiPriority w:val="99"/>
    <w:rPr>
      <w:rFonts w:hint="default"/>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6139</Words>
  <Characters>6993</Characters>
  <Lines>51</Lines>
  <Paragraphs>14</Paragraphs>
  <TotalTime>8</TotalTime>
  <ScaleCrop>false</ScaleCrop>
  <LinksUpToDate>false</LinksUpToDate>
  <CharactersWithSpaces>7004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2023-08-18T09:40:00Z</dcterms:created>
  <dc:creator>Administrator</dc:creator>
  <cp:lastModifiedBy>逐梦令</cp:lastModifiedBy>
  <dcterms:modified xsi:type="dcterms:W3CDTF">2023-09-01T12:21:54Z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2DC33A38251946379CE700FCE37289D4_13</vt:lpwstr>
  </property>
</Properties>
</file>