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19D7760" w14:textId="77777777" w:rsidR="000121E4" w:rsidRDefault="000121E4">
      <w:pPr>
        <w:shd w:val="clear" w:color="auto" w:fill="FFFFFF"/>
        <w:autoSpaceDE w:val="0"/>
        <w:autoSpaceDN w:val="0"/>
        <w:adjustRightInd w:val="0"/>
        <w:spacing w:before="240" w:after="240"/>
        <w:jc w:val="center"/>
        <w:rPr>
          <w:rFonts w:ascii="Times New Roman" w:hint="default"/>
          <w:kern w:val="36"/>
          <w:sz w:val="40"/>
          <w:szCs w:val="40"/>
          <w:lang w:val="zh-CN"/>
        </w:rPr>
      </w:pPr>
    </w:p>
    <w:p w14:paraId="60F95971" w14:textId="77777777" w:rsidR="000121E4" w:rsidRDefault="000121E4">
      <w:pPr>
        <w:shd w:val="clear" w:color="auto" w:fill="FFFFFF"/>
        <w:autoSpaceDE w:val="0"/>
        <w:autoSpaceDN w:val="0"/>
        <w:adjustRightInd w:val="0"/>
        <w:spacing w:before="240" w:after="240"/>
        <w:jc w:val="center"/>
        <w:rPr>
          <w:rFonts w:ascii="Times New Roman" w:hint="default"/>
          <w:kern w:val="36"/>
          <w:sz w:val="40"/>
          <w:szCs w:val="40"/>
          <w:lang w:val="zh-CN"/>
        </w:rPr>
      </w:pPr>
    </w:p>
    <w:p w14:paraId="58E92D66" w14:textId="77777777" w:rsidR="000121E4" w:rsidRDefault="00000000">
      <w:pPr>
        <w:autoSpaceDE w:val="0"/>
        <w:autoSpaceDN w:val="0"/>
        <w:adjustRightInd w:val="0"/>
        <w:jc w:val="center"/>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乌鲁木齐市米东区盛达东路片区管理委员会</w:t>
      </w:r>
    </w:p>
    <w:p w14:paraId="047F8ABC" w14:textId="77777777" w:rsidR="000121E4" w:rsidRDefault="00000000">
      <w:pPr>
        <w:autoSpaceDE w:val="0"/>
        <w:autoSpaceDN w:val="0"/>
        <w:adjustRightInd w:val="0"/>
        <w:jc w:val="center"/>
        <w:rPr>
          <w:rFonts w:ascii="Times New Roman" w:eastAsia="方正小标宋_GBK"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14:paraId="2BF9F842" w14:textId="77777777" w:rsidR="000121E4" w:rsidRDefault="000121E4">
      <w:pPr>
        <w:shd w:val="clear" w:color="auto" w:fill="FFFFFF"/>
        <w:autoSpaceDE w:val="0"/>
        <w:autoSpaceDN w:val="0"/>
        <w:adjustRightInd w:val="0"/>
        <w:spacing w:before="240" w:after="240"/>
        <w:jc w:val="center"/>
        <w:rPr>
          <w:rFonts w:ascii="Times New Roman" w:eastAsia="宋体" w:hAnsi="Times New Roman" w:hint="default"/>
          <w:kern w:val="36"/>
          <w:sz w:val="40"/>
          <w:szCs w:val="40"/>
          <w:lang w:val="zh-CN"/>
        </w:rPr>
      </w:pPr>
    </w:p>
    <w:p w14:paraId="2FB5CB07" w14:textId="77777777" w:rsidR="000121E4"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Times New Roman" w:eastAsia="宋体" w:hAnsi="Times New Roman" w:hint="default"/>
          <w:b/>
          <w:kern w:val="36"/>
          <w:sz w:val="36"/>
          <w:szCs w:val="36"/>
        </w:rPr>
        <w:br w:type="page"/>
      </w:r>
      <w:r>
        <w:rPr>
          <w:rFonts w:ascii="仿宋_GB2312" w:eastAsia="仿宋_GB2312" w:hAnsi="Times New Roman" w:cs="仿宋_GB2312"/>
          <w:b/>
          <w:kern w:val="0"/>
          <w:sz w:val="36"/>
          <w:szCs w:val="36"/>
        </w:rPr>
        <w:lastRenderedPageBreak/>
        <w:t>目  录</w:t>
      </w:r>
    </w:p>
    <w:p w14:paraId="6C3A9738" w14:textId="77777777" w:rsidR="000121E4"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14:paraId="1EC82AB8" w14:textId="77777777" w:rsidR="000121E4"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14:paraId="001B9390" w14:textId="77777777" w:rsidR="000121E4"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14:paraId="3CF8B010" w14:textId="77777777" w:rsidR="000121E4"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14:paraId="2B872ADC" w14:textId="77777777" w:rsidR="000121E4"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14:paraId="7B840200" w14:textId="77777777" w:rsidR="000121E4"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14:paraId="124DB02A" w14:textId="77777777" w:rsidR="000121E4"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14:paraId="496BFFF8" w14:textId="77777777" w:rsidR="000121E4"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14:paraId="4F479639" w14:textId="77777777" w:rsidR="000121E4"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14:paraId="085AED57" w14:textId="77777777" w:rsidR="000121E4"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14:paraId="234FD3E9" w14:textId="77777777" w:rsidR="000121E4"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14:paraId="4881590D" w14:textId="77777777" w:rsidR="000121E4"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14:paraId="25422589" w14:textId="77777777" w:rsidR="000121E4"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14:paraId="75A6BC21" w14:textId="77777777" w:rsidR="000121E4"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14:paraId="188C2325" w14:textId="77777777" w:rsidR="000121E4"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14:paraId="532CFE4F" w14:textId="77777777" w:rsidR="000121E4"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14:paraId="0024FB90" w14:textId="77777777" w:rsidR="000121E4"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14:paraId="25D37524" w14:textId="77777777" w:rsidR="000121E4"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14:paraId="3C41B7E7" w14:textId="77777777" w:rsidR="000121E4" w:rsidRDefault="00000000">
      <w:pPr>
        <w:autoSpaceDE w:val="0"/>
        <w:autoSpaceDN w:val="0"/>
        <w:adjustRightInd w:val="0"/>
        <w:spacing w:line="360" w:lineRule="auto"/>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14:paraId="4038E844" w14:textId="77777777" w:rsidR="000121E4" w:rsidRDefault="00000000">
      <w:pPr>
        <w:autoSpaceDE w:val="0"/>
        <w:autoSpaceDN w:val="0"/>
        <w:adjustRightInd w:val="0"/>
        <w:spacing w:line="360" w:lineRule="auto"/>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14:paraId="62336041" w14:textId="77777777" w:rsidR="000121E4"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一、《收入支出决算总表》</w:t>
      </w:r>
    </w:p>
    <w:p w14:paraId="68007880" w14:textId="77777777" w:rsidR="000121E4"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14:paraId="751BAD00" w14:textId="77777777" w:rsidR="000121E4"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14:paraId="41C8C56C" w14:textId="77777777" w:rsidR="000121E4"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四、《财政拨款收入支出决算总表》</w:t>
      </w:r>
    </w:p>
    <w:p w14:paraId="4E4A93C7" w14:textId="77777777" w:rsidR="000121E4"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14:paraId="1E142771" w14:textId="77777777" w:rsidR="000121E4"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14:paraId="0639CDFB" w14:textId="77777777" w:rsidR="000121E4"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14:paraId="729FC4F0" w14:textId="77777777" w:rsidR="000121E4"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14:paraId="76531236" w14:textId="77777777" w:rsidR="000121E4"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14:paraId="6BEE9887" w14:textId="77777777" w:rsidR="000121E4" w:rsidRDefault="000121E4">
      <w:pPr>
        <w:autoSpaceDE w:val="0"/>
        <w:autoSpaceDN w:val="0"/>
        <w:adjustRightInd w:val="0"/>
        <w:spacing w:line="360" w:lineRule="auto"/>
        <w:ind w:firstLine="640"/>
        <w:rPr>
          <w:rFonts w:ascii="Times New Roman" w:eastAsia="仿宋_GB2312" w:hAnsi="Times New Roman" w:hint="default"/>
          <w:b/>
          <w:kern w:val="0"/>
          <w:sz w:val="28"/>
          <w:szCs w:val="28"/>
        </w:rPr>
      </w:pPr>
    </w:p>
    <w:p w14:paraId="3B5E5713" w14:textId="77777777" w:rsidR="000121E4" w:rsidRDefault="000121E4">
      <w:pPr>
        <w:shd w:val="clear" w:color="auto" w:fill="FFFFFF"/>
        <w:autoSpaceDE w:val="0"/>
        <w:autoSpaceDN w:val="0"/>
        <w:adjustRightInd w:val="0"/>
        <w:spacing w:line="360" w:lineRule="auto"/>
        <w:jc w:val="center"/>
        <w:rPr>
          <w:rFonts w:ascii="Times New Roman" w:eastAsia="仿宋_GB2312" w:hAnsi="Times New Roman" w:hint="default"/>
          <w:kern w:val="0"/>
          <w:sz w:val="32"/>
          <w:szCs w:val="32"/>
        </w:rPr>
      </w:pPr>
    </w:p>
    <w:p w14:paraId="2D3F3A43" w14:textId="77777777" w:rsidR="000121E4" w:rsidRDefault="00000000">
      <w:pPr>
        <w:shd w:val="clear" w:color="auto" w:fill="FFFFFF"/>
        <w:autoSpaceDE w:val="0"/>
        <w:autoSpaceDN w:val="0"/>
        <w:adjustRightInd w:val="0"/>
        <w:spacing w:line="360" w:lineRule="auto"/>
        <w:jc w:val="center"/>
        <w:rPr>
          <w:rFonts w:eastAsia="黑体" w:cs="黑体" w:hint="default"/>
          <w:kern w:val="0"/>
          <w:sz w:val="32"/>
          <w:szCs w:val="32"/>
          <w:rtl/>
          <w:lang w:val="ar-SA"/>
        </w:rPr>
      </w:pPr>
      <w:r>
        <w:rPr>
          <w:rFonts w:ascii="Times New Roman" w:eastAsia="仿宋_GB2312" w:hAnsi="Times New Roman" w:hint="default"/>
          <w:kern w:val="0"/>
          <w:sz w:val="32"/>
          <w:szCs w:val="32"/>
        </w:rPr>
        <w:br w:type="page"/>
      </w:r>
      <w:r>
        <w:rPr>
          <w:rFonts w:ascii="黑体" w:eastAsia="黑体" w:hAnsi="Times New Roman" w:cs="黑体"/>
          <w:kern w:val="0"/>
          <w:sz w:val="32"/>
          <w:szCs w:val="32"/>
        </w:rPr>
        <w:lastRenderedPageBreak/>
        <w:t>第一部分 单位概况</w:t>
      </w:r>
    </w:p>
    <w:p w14:paraId="6DAAE551" w14:textId="77777777" w:rsidR="000121E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一、主要职能</w:t>
      </w:r>
    </w:p>
    <w:p w14:paraId="502C517B" w14:textId="77777777" w:rsidR="000121E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kern w:val="0"/>
          <w:sz w:val="32"/>
          <w:szCs w:val="32"/>
          <w:lang w:val="zh-CN"/>
        </w:rPr>
        <w:t>统一领导和管理辖区党务、行政和社会事务工作，促进片区管委会和谐发展;拟订并组织实施片区发展规划、强化“两个机制”、夯实基层基础工作的建议和措施;统筹整合辖区行政、社会、公共服务资源，综合协调相关职能部门和驻区企事业单位，为辖区居民提供民生保障、社会治安、城市管理等综合服务;对相关职能部门和驻区企事业单位履行社会管理和公共服务职能情况进行监督、检查和考核。</w:t>
      </w:r>
    </w:p>
    <w:p w14:paraId="4F3EBBAB" w14:textId="77777777" w:rsidR="000121E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二、机构设置及人员情况</w:t>
      </w:r>
    </w:p>
    <w:p w14:paraId="34B25CBF"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乌鲁木齐市米东区盛达东路片区管理委员会2022年度，实有人数85人，其中：在职人员85人，离休人员0人，退休人员0人。</w:t>
      </w:r>
    </w:p>
    <w:p w14:paraId="399CEC1F" w14:textId="77777777" w:rsidR="000121E4" w:rsidRDefault="00000000">
      <w:pPr>
        <w:shd w:val="clear" w:color="auto" w:fill="FFFFFF"/>
        <w:autoSpaceDE w:val="0"/>
        <w:autoSpaceDN w:val="0"/>
        <w:adjustRightInd w:val="0"/>
        <w:spacing w:line="360" w:lineRule="auto"/>
        <w:ind w:firstLine="640"/>
        <w:rPr>
          <w:rFonts w:ascii="Times New Roman" w:hint="default"/>
          <w:kern w:val="0"/>
          <w:sz w:val="24"/>
          <w:szCs w:val="24"/>
          <w:rtl/>
          <w:lang w:val="zh-CN" w:bidi="zh-CN"/>
        </w:rPr>
      </w:pPr>
      <w:r>
        <w:rPr>
          <w:rFonts w:ascii="仿宋_GB2312" w:eastAsia="仿宋_GB2312" w:hAnsi="Times New Roman" w:cs="仿宋_GB2312"/>
          <w:kern w:val="0"/>
          <w:sz w:val="32"/>
          <w:szCs w:val="32"/>
        </w:rPr>
        <w:t>从部门决算单位构成看，乌鲁木齐市米东区盛达东路片区管理委员会部门决算包括：乌鲁木齐市米东区盛达东路片区管理委员会</w:t>
      </w:r>
      <w:r>
        <w:rPr>
          <w:rFonts w:ascii="仿宋_GB2312" w:eastAsia="仿宋_GB2312" w:hAnsi="Times New Roman" w:cs="仿宋_GB2312"/>
          <w:kern w:val="0"/>
          <w:sz w:val="32"/>
          <w:szCs w:val="32"/>
          <w:lang w:val="zh-CN"/>
        </w:rPr>
        <w:t>决算。单位无下属预算单位，下设</w:t>
      </w:r>
      <w:r>
        <w:rPr>
          <w:rFonts w:ascii="仿宋_GB2312" w:eastAsia="仿宋_GB2312" w:hAnsi="Times New Roman" w:cs="仿宋_GB2312"/>
          <w:kern w:val="0"/>
          <w:sz w:val="32"/>
          <w:szCs w:val="32"/>
        </w:rPr>
        <w:t>7</w:t>
      </w:r>
      <w:r>
        <w:rPr>
          <w:rFonts w:ascii="仿宋_GB2312" w:eastAsia="仿宋_GB2312" w:hAnsi="Times New Roman" w:cs="仿宋_GB2312"/>
          <w:kern w:val="0"/>
          <w:sz w:val="32"/>
          <w:szCs w:val="32"/>
          <w:lang w:val="zh-CN"/>
        </w:rPr>
        <w:t>个科室，分别是：</w:t>
      </w:r>
      <w:r>
        <w:rPr>
          <w:rFonts w:ascii="仿宋_GB2312" w:eastAsia="仿宋_GB2312" w:hAnsi="Times New Roman" w:cs="仿宋_GB2312"/>
          <w:kern w:val="0"/>
          <w:sz w:val="32"/>
          <w:szCs w:val="32"/>
        </w:rPr>
        <w:t>党建办公室、综合协调办公室、党群服务中心、社会服务中心、公共卫生服务指导中心、综治中心、安全生产环境保护管理中心</w:t>
      </w:r>
      <w:r>
        <w:rPr>
          <w:rFonts w:ascii="仿宋_GB2312" w:eastAsia="仿宋_GB2312" w:hAnsi="Times New Roman" w:cs="仿宋_GB2312"/>
          <w:kern w:val="0"/>
          <w:sz w:val="32"/>
          <w:szCs w:val="32"/>
          <w:lang w:val="zh-CN"/>
        </w:rPr>
        <w:t>。</w:t>
      </w:r>
    </w:p>
    <w:p w14:paraId="541B27D8" w14:textId="77777777" w:rsidR="000121E4" w:rsidRDefault="00000000">
      <w:pPr>
        <w:shd w:val="clear" w:color="auto" w:fill="FFFFFF"/>
        <w:autoSpaceDE w:val="0"/>
        <w:autoSpaceDN w:val="0"/>
        <w:adjustRightInd w:val="0"/>
        <w:spacing w:before="100" w:after="240"/>
        <w:jc w:val="center"/>
        <w:rPr>
          <w:rFonts w:ascii="Times New Roman" w:hint="default"/>
          <w:kern w:val="0"/>
          <w:sz w:val="28"/>
          <w:szCs w:val="28"/>
          <w:rtl/>
          <w:lang w:val="ar-SA"/>
        </w:rPr>
      </w:pPr>
      <w:r>
        <w:rPr>
          <w:rFonts w:ascii="黑体" w:eastAsia="黑体" w:hAnsi="Times New Roman" w:cs="黑体"/>
          <w:kern w:val="0"/>
          <w:sz w:val="32"/>
          <w:szCs w:val="32"/>
        </w:rPr>
        <w:t>第二部分 部门决算情况说明</w:t>
      </w:r>
    </w:p>
    <w:p w14:paraId="30D4675B" w14:textId="77777777" w:rsidR="000121E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lastRenderedPageBreak/>
        <w:t>一、收入支出决算总体情况说明</w:t>
      </w:r>
    </w:p>
    <w:p w14:paraId="5F8DD863" w14:textId="1E5EC232" w:rsidR="000121E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2,335.08万元，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2,335.08</w:t>
      </w:r>
      <w:r>
        <w:rPr>
          <w:rFonts w:ascii="仿宋_GB2312" w:eastAsia="仿宋_GB2312" w:hAnsi="Times New Roman" w:cs="仿宋_GB2312"/>
          <w:sz w:val="32"/>
          <w:szCs w:val="32"/>
        </w:rPr>
        <w:t>万元，使用非财政拨款结余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与上年相比，增加196.09万元，增长9.17%，主要原因是：本年增加便民服务站及防疫公岗人员工资及社保，且在职人员工资、社保公积金基数上调，人员经费增加，收入增加。</w:t>
      </w:r>
    </w:p>
    <w:p w14:paraId="5FB32EFF"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2,335.08万元，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2,335.08</w:t>
      </w:r>
      <w:r>
        <w:rPr>
          <w:rFonts w:ascii="仿宋_GB2312" w:eastAsia="仿宋_GB2312" w:hAnsi="Times New Roman" w:cs="仿宋_GB2312"/>
          <w:sz w:val="32"/>
          <w:szCs w:val="32"/>
        </w:rPr>
        <w:t>万元，结余分配</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与上年相比，增加196.09万元，增长9.17%，主要原因是：本年增加便民服务站及防疫公岗人员工资及社保，且在职人员工资、社保公积金基数上调，人员经费增加，支出增加。</w:t>
      </w:r>
    </w:p>
    <w:p w14:paraId="781ECF17" w14:textId="77777777" w:rsidR="000121E4"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14:paraId="50FB991E"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2,335.08万元，其中：财政拨款收入2,335.08万元，占100.00%；上级补助收入0.00万元，占0.00%；事业收入0.00万元，占0.00%；经营收入0.00万元，占0.00%；附属单位上缴收入0.00万元，占0.00%；其他收入0.00万元，占0.00%。</w:t>
      </w:r>
    </w:p>
    <w:p w14:paraId="5F2E062A" w14:textId="77777777" w:rsidR="000121E4"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14:paraId="03AF532D"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2022年度本年支出2,335.08万元，其中：基本支出2,335.08万元，占100.00%；项目支出0.00万元，占0.00%；上缴上级支</w:t>
      </w:r>
      <w:r>
        <w:rPr>
          <w:rFonts w:ascii="仿宋_GB2312" w:eastAsia="仿宋_GB2312" w:hAnsi="Times New Roman" w:cs="仿宋_GB2312"/>
          <w:kern w:val="0"/>
          <w:sz w:val="32"/>
          <w:szCs w:val="32"/>
        </w:rPr>
        <w:lastRenderedPageBreak/>
        <w:t>出0.00万元，占0.00%；经营支出0.00万元，占0.00%；对附属单位补助支出0.00万元，占0.00%。</w:t>
      </w:r>
    </w:p>
    <w:p w14:paraId="7816979F" w14:textId="77777777" w:rsidR="000121E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四、财政拨款收入支出决算总体情况说明</w:t>
      </w:r>
    </w:p>
    <w:p w14:paraId="15C3AA65" w14:textId="77777777" w:rsidR="000121E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2,335.08万元，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2,335.08</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与上年相比，增加197.69万元，增长9.25%，主要原因是：本年增加便民服务站及防疫公岗人员工资及社保，且在职人员工资、社保公积金基数上调，人员经费拨款增加，收入增加。</w:t>
      </w:r>
    </w:p>
    <w:p w14:paraId="0E6CB372"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2,335.08万元，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2,335.08</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与上年相比，增加197.69万元，增长9.25%，主要原因是：本年增加便民服务站及防疫公岗人员工资及社保，且在职人员工资、社保公积金基数上调，人员经费增加，支出增加。</w:t>
      </w:r>
    </w:p>
    <w:p w14:paraId="7B2CCC37"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年初预算数2,718.32万元，决算数2,335.08万元，预决算差异率-14.10%，主要原因是：本年年中调减社区运转经费、便民</w:t>
      </w:r>
      <w:proofErr w:type="gramStart"/>
      <w:r>
        <w:rPr>
          <w:rFonts w:ascii="仿宋_GB2312" w:eastAsia="仿宋_GB2312" w:hAnsi="Times New Roman" w:cs="仿宋_GB2312"/>
          <w:kern w:val="0"/>
          <w:sz w:val="32"/>
          <w:szCs w:val="32"/>
        </w:rPr>
        <w:t>站经费</w:t>
      </w:r>
      <w:proofErr w:type="gramEnd"/>
      <w:r>
        <w:rPr>
          <w:rFonts w:ascii="仿宋_GB2312" w:eastAsia="仿宋_GB2312" w:hAnsi="Times New Roman" w:cs="仿宋_GB2312"/>
          <w:kern w:val="0"/>
          <w:sz w:val="32"/>
          <w:szCs w:val="32"/>
        </w:rPr>
        <w:t>及管委会运转经费，与预算相比导致差异。财政拨款支出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年初预算数2,718.32万元，决算数2,335.08万元，预决算差异率-14.10%，主要原因是：本年年中调减社区运转经费、便民</w:t>
      </w:r>
      <w:proofErr w:type="gramStart"/>
      <w:r>
        <w:rPr>
          <w:rFonts w:ascii="仿宋_GB2312" w:eastAsia="仿宋_GB2312" w:hAnsi="Times New Roman" w:cs="仿宋_GB2312"/>
          <w:kern w:val="0"/>
          <w:sz w:val="32"/>
          <w:szCs w:val="32"/>
        </w:rPr>
        <w:t>站经费</w:t>
      </w:r>
      <w:proofErr w:type="gramEnd"/>
      <w:r>
        <w:rPr>
          <w:rFonts w:ascii="仿宋_GB2312" w:eastAsia="仿宋_GB2312" w:hAnsi="Times New Roman" w:cs="仿宋_GB2312"/>
          <w:kern w:val="0"/>
          <w:sz w:val="32"/>
          <w:szCs w:val="32"/>
        </w:rPr>
        <w:t>及管委会运转经费，与预算相比导致差异。</w:t>
      </w:r>
    </w:p>
    <w:p w14:paraId="00A355D7" w14:textId="77777777" w:rsidR="000121E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lastRenderedPageBreak/>
        <w:t>五、一般公共预算财政拨款支出决算情况说明</w:t>
      </w:r>
    </w:p>
    <w:p w14:paraId="1520D653" w14:textId="77777777" w:rsidR="000121E4"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14:paraId="27CAF0FE" w14:textId="77777777" w:rsidR="000121E4"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2,335.08</w:t>
      </w:r>
      <w:r>
        <w:rPr>
          <w:rFonts w:ascii="仿宋_GB2312" w:eastAsia="仿宋_GB2312" w:hAnsi="Times New Roman" w:cs="仿宋_GB2312"/>
          <w:sz w:val="32"/>
          <w:szCs w:val="32"/>
        </w:rPr>
        <w:t>万元，占本年支出合计的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增加197.69万元，增长9.25%，主要原因是：本年增加便民服务站及防疫公岗人员工资及社保，且在职人员工资、社保公积金基数上调，人员经费增加，支出增加。</w:t>
      </w:r>
    </w:p>
    <w:p w14:paraId="2F8C0027" w14:textId="77777777" w:rsidR="000121E4"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14:paraId="28EE9905" w14:textId="77777777" w:rsidR="000121E4"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1.一般公共服务支出（类）442.77万元，占18.96%；</w:t>
      </w:r>
    </w:p>
    <w:p w14:paraId="64712387" w14:textId="77777777" w:rsidR="000121E4"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2.社会保障和就业支出（类）1,891.33万元，占81.00%；</w:t>
      </w:r>
    </w:p>
    <w:p w14:paraId="636CD7E8" w14:textId="77777777" w:rsidR="000121E4"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3.卫生健康支出（类）0.98万元，占0.04%。</w:t>
      </w:r>
    </w:p>
    <w:p w14:paraId="61A3C9FA" w14:textId="77777777" w:rsidR="000121E4" w:rsidRDefault="00000000">
      <w:pPr>
        <w:autoSpaceDE w:val="0"/>
        <w:autoSpaceDN w:val="0"/>
        <w:adjustRightInd w:val="0"/>
        <w:spacing w:line="600" w:lineRule="exact"/>
        <w:ind w:firstLine="640"/>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14:paraId="63886ED5" w14:textId="77777777" w:rsidR="000121E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一般公共服务支出（类）政府办公厅（室）及相关机构事务（款）行政运行（项）:支出决算数为230.15万元，比上年决算减少20.03万元，下降8.01%，主要原因是：行政编制人员减员1人，相关工资福利支出减少，此项功能科目支出减少；</w:t>
      </w:r>
    </w:p>
    <w:p w14:paraId="0410DA9E" w14:textId="77777777" w:rsidR="000121E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一般公共服务支出（类）政府办公厅（室）及相关机构事务（款）机关服务（项）:支出决算数为212.62万元，比上年决算增加188.58万元，增长784.44%，主要原因是：本年增加便民服务站及防疫公岗人员工资及社保，且在职人员工资、社保公积金基数上调，导致此项支出增加；</w:t>
      </w:r>
    </w:p>
    <w:p w14:paraId="159F8ED5" w14:textId="77777777" w:rsidR="000121E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3.一般公共服务支出（类）其他共产党事务支出（款）行</w:t>
      </w:r>
      <w:r>
        <w:rPr>
          <w:rFonts w:ascii="仿宋_GB2312" w:eastAsia="仿宋_GB2312" w:hAnsi="Times New Roman" w:cs="仿宋_GB2312"/>
          <w:sz w:val="32"/>
          <w:szCs w:val="32"/>
        </w:rPr>
        <w:lastRenderedPageBreak/>
        <w:t>政运行（项）:支出决算数为0.00万元，比上年决算减少22.41万元，下降100.00%，主要原因是：本年此功能科目未支出；</w:t>
      </w:r>
    </w:p>
    <w:p w14:paraId="25373408" w14:textId="77777777" w:rsidR="000121E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4.社会保障和就业支出（类）民政管理事务（款）基层政权建设和社区治理（项）:支出决算数为1,673.48万元，比上年决算减少80.96万元，下降4.61%，主要原因是：本年各社区的慰问补助类支出减少，导致此项功能科目支出减少；</w:t>
      </w:r>
    </w:p>
    <w:p w14:paraId="51D3E8A7" w14:textId="77777777" w:rsidR="000121E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5.社会保障和就业支出（类）行政事业单位养老支出（款）机关事业单位基本养老保险缴费支出（项）:支出决算数为215.85万元，比上年决算增加164.92万元，增长323.82%，主要原因是：本年增加便民服务站及防疫公岗人员工资及社保，且在职人员养老保险基数上调，养老保险缴费增加，导致此项支出增加；</w:t>
      </w:r>
    </w:p>
    <w:p w14:paraId="49912F07" w14:textId="77777777" w:rsidR="000121E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6.社会保障和就业支出（类）其他生活救助（款）其他城市生活救助（项）:支出决算数为2.00万元，比上年决算增加2.00万元，增长100.00%，主要原因是：本年增加困难人员补助金项目经费，此项支出增加；</w:t>
      </w:r>
    </w:p>
    <w:p w14:paraId="61C5E9A5" w14:textId="77777777" w:rsidR="000121E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7.卫生健康支出（类）公共卫生（款）其他专业公共卫生机构（项）:支出决算数为0.00万元，比上年决算减少25.39万元，下降100.00%，主要原因是：本年此功能科目未支出；</w:t>
      </w:r>
    </w:p>
    <w:p w14:paraId="00A15170" w14:textId="77777777" w:rsidR="000121E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8.卫生健康支出（类）公共卫生（款）突发公共卫生事件应急处理（项）:支出决算数为0.98万元，比上年决算增加0.98</w:t>
      </w:r>
      <w:r>
        <w:rPr>
          <w:rFonts w:ascii="仿宋_GB2312" w:eastAsia="仿宋_GB2312" w:hAnsi="Times New Roman" w:cs="仿宋_GB2312"/>
          <w:sz w:val="32"/>
          <w:szCs w:val="32"/>
        </w:rPr>
        <w:lastRenderedPageBreak/>
        <w:t>万元，增长100.00%，主要原因是：本年增加滞留外地困难人员补助金，此项功能科目支出增加；</w:t>
      </w:r>
    </w:p>
    <w:p w14:paraId="47BDD7C8" w14:textId="77777777" w:rsidR="000121E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9.城乡社区支出（类）城乡社区管理事务（款）其他城乡社区管理事务支出（项）:支出决算数为0.00万元，比上年决算减少10.00万元，下降100.00%，主要原因是：本年此功能科目未支出。</w:t>
      </w:r>
    </w:p>
    <w:p w14:paraId="590BDFEF" w14:textId="77777777" w:rsidR="000121E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14:paraId="379AB5AE"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2022年度一般公共预算财政拨款基本支出2,335.08万元，其中：</w:t>
      </w:r>
    </w:p>
    <w:p w14:paraId="4538B697"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1,476.36万元，包括：基本工资、津贴补贴、机关事业单位基本养老保险缴费、职工基本医疗保险缴费、公务员医疗补助缴费、其他社会保障缴费、住房公积金、抚恤金、生活补助、其他对个人和家庭的补助。</w:t>
      </w:r>
    </w:p>
    <w:p w14:paraId="2BC1ABA7" w14:textId="77777777" w:rsidR="000121E4"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公用经费858.72万元，包括：办公费、电费、取暖费、差旅费、委托业务费。</w:t>
      </w:r>
    </w:p>
    <w:p w14:paraId="3FE2F59E" w14:textId="77777777" w:rsidR="000121E4"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14:paraId="00F580F9"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0.00万元，比上年减少0.16万元，下降100.00%，主要原因是：本年单位无此项支出。其中：因公出国（境）费支出0.00万元，占0.00%，比上年增加0.00万元，增长0.00%，主要原因是：本年单位无因公出国（境）费支出；公务用车购置及运行维护费支出0.00万元，占</w:t>
      </w:r>
      <w:r>
        <w:rPr>
          <w:rFonts w:ascii="仿宋_GB2312" w:eastAsia="仿宋_GB2312" w:hAnsi="Times New Roman" w:cs="仿宋_GB2312"/>
          <w:kern w:val="0"/>
          <w:sz w:val="32"/>
          <w:szCs w:val="32"/>
        </w:rPr>
        <w:lastRenderedPageBreak/>
        <w:t>0.00%，比上年增加0.00万元，增长0.00%，主要原因是：本年单位无此项支出；公务接待费支出0.00万元，占0.00%，比上年减少0.16万元，下降100.00%，主要原因是：本年单位无此项支出。具体情况如下：</w:t>
      </w:r>
    </w:p>
    <w:p w14:paraId="65618A60"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因公出国（境）费支出0.00万元，开支内容包括本年单位无因公出国（境）费支出。单位全年安排的因公出国（境）团组0个，因公出国（境）0人次。</w:t>
      </w:r>
    </w:p>
    <w:p w14:paraId="6A066E5F"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公务用车购置及运行维护费0.00万元，其中：公务用车购置费0.00万元，公务用车运行维护费0.00万元。公务用车运行维护费开支内容包括本年单位无此项支出。公务用车购置数0辆，公务用车保有量0辆。</w:t>
      </w:r>
    </w:p>
    <w:p w14:paraId="13C53497"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公务接待费0.00万元，开支内容包括本年单位无此项支出。单位全年安排的国内公务接待0批次，0人次。</w:t>
      </w:r>
    </w:p>
    <w:p w14:paraId="0F7F44EC"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0.00万元，决算数0.00万元，预决算差异率0.00%，主要原因是：本年单位无此项支出。其中：因公出国（境）费全年预算数0.00万元，决算数0.00万元，预决算差异率0.00%，主要原因是：本年单位无因公出国（境）费支出；公务用车购置费全年预算数0.00万元，决算数0.00万元，预决算差异率0.00%，主要原因是：本年单位无此项支出；公务用车运行费全年预算数0.00万元，决算数0.00万元，预决算差异率0.00%，主要原因是：本年单位</w:t>
      </w:r>
      <w:r>
        <w:rPr>
          <w:rFonts w:ascii="仿宋_GB2312" w:eastAsia="仿宋_GB2312" w:hAnsi="Times New Roman" w:cs="仿宋_GB2312"/>
          <w:kern w:val="0"/>
          <w:sz w:val="32"/>
          <w:szCs w:val="32"/>
        </w:rPr>
        <w:lastRenderedPageBreak/>
        <w:t>无此项支出；公务接待费全年预算数0.00万元，决算数0.00万元，预决算差异率0.00%，主要原因是：本年单位无此项支出。</w:t>
      </w:r>
    </w:p>
    <w:p w14:paraId="2083D0D4" w14:textId="77777777" w:rsidR="000121E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14:paraId="7BEF063D" w14:textId="77777777" w:rsidR="000121E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我单位本年度无政府性基金预算财政拨款收入、支出及结转和结余，政府性基金预算财政拨款收入支出决算表为空表。</w:t>
      </w:r>
    </w:p>
    <w:p w14:paraId="1BCF5F54" w14:textId="77777777" w:rsidR="000121E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14:paraId="7D88D515"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14:paraId="05636FFB" w14:textId="77777777" w:rsidR="000121E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14:paraId="52CBB2A5" w14:textId="77777777" w:rsidR="000121E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 xml:space="preserve">（一）机关运行经费支出情况 </w:t>
      </w:r>
    </w:p>
    <w:p w14:paraId="6B914233" w14:textId="77777777" w:rsidR="000121E4" w:rsidRDefault="00000000">
      <w:pPr>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2022年度乌鲁木齐市米东区盛达东路片区管理委员会单位机关运行经费支出858.72万元，比上年增加252.27万元，增长41.60%，主要原因是：本年受疫情影响，社区业务增多，办公费支出较上年增加。</w:t>
      </w:r>
    </w:p>
    <w:p w14:paraId="3EA58BB3" w14:textId="77777777" w:rsidR="000121E4"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14:paraId="6FED1E87"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2022年度政府采购支出总额0.00万元，其中：政府采购货物支出0.00万元、政府采购工程支出0.00万元、政府采购服务支出0.00万元。</w:t>
      </w:r>
    </w:p>
    <w:p w14:paraId="76B90C56"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授予中小企业合同金额0.00万元，占政府采购支出总额的0.00%，其中：授予小</w:t>
      </w:r>
      <w:proofErr w:type="gramStart"/>
      <w:r>
        <w:rPr>
          <w:rFonts w:ascii="仿宋_GB2312" w:eastAsia="仿宋_GB2312" w:hAnsi="Times New Roman" w:cs="仿宋_GB2312"/>
          <w:kern w:val="0"/>
          <w:sz w:val="32"/>
          <w:szCs w:val="32"/>
        </w:rPr>
        <w:t>微企业</w:t>
      </w:r>
      <w:proofErr w:type="gramEnd"/>
      <w:r>
        <w:rPr>
          <w:rFonts w:ascii="仿宋_GB2312" w:eastAsia="仿宋_GB2312" w:hAnsi="Times New Roman" w:cs="仿宋_GB2312"/>
          <w:kern w:val="0"/>
          <w:sz w:val="32"/>
          <w:szCs w:val="32"/>
        </w:rPr>
        <w:t>合同金额0.00万元，占政府采购支</w:t>
      </w:r>
      <w:r>
        <w:rPr>
          <w:rFonts w:ascii="仿宋_GB2312" w:eastAsia="仿宋_GB2312" w:hAnsi="Times New Roman" w:cs="仿宋_GB2312"/>
          <w:kern w:val="0"/>
          <w:sz w:val="32"/>
          <w:szCs w:val="32"/>
        </w:rPr>
        <w:lastRenderedPageBreak/>
        <w:t>出总额的0.00%。</w:t>
      </w:r>
    </w:p>
    <w:p w14:paraId="341B43A4" w14:textId="77777777" w:rsidR="000121E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（三）国有资产占用情况说明</w:t>
      </w:r>
    </w:p>
    <w:p w14:paraId="14FEC2EC"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417.06</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300.00平方米，价值28.00万元。车辆14辆，价值92.44万元，其中：副部（省）级及以上领导用车0辆、主要领导干部用车0辆、机要通信用车0辆、应急保障用车0辆、执法执勤用车0辆、特种专业技术用车0辆、离退休干部用车0辆、其他用车14辆，其他用车主要是：巡逻车及防疫用车；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kern w:val="0"/>
          <w:sz w:val="32"/>
          <w:szCs w:val="32"/>
        </w:rPr>
        <w:t>0台（套）。</w:t>
      </w:r>
    </w:p>
    <w:p w14:paraId="0C889122" w14:textId="77777777" w:rsidR="000121E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14:paraId="6E347E12" w14:textId="2E291696"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24"/>
          <w:szCs w:val="24"/>
        </w:rPr>
      </w:pPr>
      <w:r>
        <w:rPr>
          <w:rFonts w:ascii="仿宋_GB2312" w:eastAsia="仿宋_GB2312" w:hAnsi="Times New Roman" w:cs="仿宋_GB2312"/>
          <w:kern w:val="0"/>
          <w:sz w:val="32"/>
          <w:szCs w:val="32"/>
        </w:rPr>
        <w:t>根据预算绩效管理要求，我单位2022年度开展预算绩效评价项目0个，</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0</w:t>
      </w:r>
      <w:r w:rsidR="003E55B3">
        <w:rPr>
          <w:rFonts w:ascii="仿宋_GB2312" w:eastAsia="仿宋_GB2312" w:hAnsi="Times New Roman" w:cs="仿宋_GB2312" w:hint="default"/>
          <w:kern w:val="0"/>
          <w:sz w:val="32"/>
          <w:szCs w:val="32"/>
        </w:rPr>
        <w:t>.00</w:t>
      </w:r>
      <w:r>
        <w:rPr>
          <w:rFonts w:ascii="仿宋_GB2312" w:eastAsia="仿宋_GB2312" w:hAnsi="Times New Roman" w:cs="仿宋_GB2312"/>
          <w:sz w:val="32"/>
          <w:szCs w:val="32"/>
        </w:rPr>
        <w:t>万元，全年执行数</w:t>
      </w:r>
      <w:r w:rsidR="003E55B3">
        <w:rPr>
          <w:rFonts w:ascii="仿宋_GB2312" w:eastAsia="仿宋_GB2312" w:hAnsi="Times New Roman" w:cs="仿宋_GB2312"/>
          <w:kern w:val="0"/>
          <w:sz w:val="32"/>
          <w:szCs w:val="32"/>
        </w:rPr>
        <w:t>0</w:t>
      </w:r>
      <w:r w:rsidR="003E55B3">
        <w:rPr>
          <w:rFonts w:ascii="仿宋_GB2312" w:eastAsia="仿宋_GB2312" w:hAnsi="Times New Roman" w:cs="仿宋_GB2312" w:hint="default"/>
          <w:kern w:val="0"/>
          <w:sz w:val="32"/>
          <w:szCs w:val="32"/>
        </w:rPr>
        <w:t>.00</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预算绩效管理取得的成效：我单位无预算绩效管理的项目。发现的问题及原因：我单位无预算绩效管理的项目。下一步改进措施：我单位无预算绩效管理的项目。</w:t>
      </w:r>
    </w:p>
    <w:p w14:paraId="6ED565A2" w14:textId="77777777" w:rsidR="000121E4" w:rsidRDefault="00000000">
      <w:pPr>
        <w:shd w:val="clear" w:color="auto" w:fill="FFFFFF"/>
        <w:autoSpaceDE w:val="0"/>
        <w:autoSpaceDN w:val="0"/>
        <w:adjustRightInd w:val="0"/>
        <w:spacing w:before="100" w:after="240"/>
        <w:jc w:val="center"/>
        <w:rPr>
          <w:rFonts w:ascii="Times New Roman" w:eastAsia="黑体" w:hAnsi="Times New Roman" w:hint="default"/>
          <w:b/>
          <w:kern w:val="0"/>
          <w:sz w:val="28"/>
          <w:szCs w:val="28"/>
        </w:rPr>
      </w:pPr>
      <w:r>
        <w:rPr>
          <w:rFonts w:ascii="黑体" w:eastAsia="黑体" w:hAnsi="Times New Roman" w:cs="黑体"/>
          <w:kern w:val="0"/>
          <w:sz w:val="32"/>
          <w:szCs w:val="32"/>
        </w:rPr>
        <w:t>第三部分 专业名词解释</w:t>
      </w:r>
    </w:p>
    <w:p w14:paraId="0BA8E3AD"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14:paraId="69332602"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14:paraId="6A460379"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w:t>
      </w:r>
      <w:r>
        <w:rPr>
          <w:rFonts w:ascii="仿宋_GB2312" w:eastAsia="仿宋_GB2312" w:hAnsi="Times New Roman" w:cs="仿宋_GB2312"/>
          <w:kern w:val="0"/>
          <w:sz w:val="32"/>
          <w:szCs w:val="32"/>
        </w:rPr>
        <w:lastRenderedPageBreak/>
        <w:t>取得的收入。</w:t>
      </w:r>
    </w:p>
    <w:p w14:paraId="1B00369D"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14:paraId="723BEFF6"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14:paraId="0071A2C9"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14:paraId="227EBA95"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72C8BD7E"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1A1A8E8A"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基本支出：指为保障机构正常运转、完成日常工作任务而发生的人员支出和公用支出。</w:t>
      </w:r>
    </w:p>
    <w:p w14:paraId="07DAF477"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14:paraId="75E132C6"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14:paraId="5B65C2F3" w14:textId="77777777" w:rsidR="000121E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对附属单位补助支出：指事业单位发生的用非财政预算资金对附属单位的补助支出。</w:t>
      </w:r>
    </w:p>
    <w:p w14:paraId="69F4C934" w14:textId="77777777" w:rsidR="000121E4"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单位公务出国（境）的国际旅费、国外城市间交通费、住宿费、伙食费、培训费、公杂费等支出；公务用车购置</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公务用车购置支出（</w:t>
      </w:r>
      <w:proofErr w:type="gramStart"/>
      <w:r>
        <w:rPr>
          <w:rFonts w:ascii="仿宋_GB2312" w:eastAsia="仿宋_GB2312" w:hAnsi="Times New Roman" w:cs="仿宋_GB2312"/>
          <w:sz w:val="32"/>
          <w:szCs w:val="32"/>
        </w:rPr>
        <w:t>含车辆</w:t>
      </w:r>
      <w:proofErr w:type="gramEnd"/>
      <w:r>
        <w:rPr>
          <w:rFonts w:ascii="仿宋_GB2312" w:eastAsia="仿宋_GB2312" w:hAnsi="Times New Roman" w:cs="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单位按规定开支的各类公务接待（含外宾接待）费用。</w:t>
      </w:r>
    </w:p>
    <w:p w14:paraId="6ED7C36D" w14:textId="77777777" w:rsidR="000121E4"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t>机关运行经费：行政单位和参照公务员法管理的事业单位财政拨款基本支出中的公用经费支出。</w:t>
      </w:r>
    </w:p>
    <w:p w14:paraId="6671303F" w14:textId="77777777" w:rsidR="000121E4" w:rsidRDefault="00000000">
      <w:pPr>
        <w:shd w:val="clear" w:color="auto" w:fill="FFFFFF"/>
        <w:autoSpaceDE w:val="0"/>
        <w:autoSpaceDN w:val="0"/>
        <w:adjustRightInd w:val="0"/>
        <w:spacing w:before="100" w:after="240"/>
        <w:jc w:val="center"/>
        <w:rPr>
          <w:rFonts w:ascii="Times New Roman" w:eastAsia="黑体" w:hAnsi="Times New Roman" w:hint="default"/>
          <w:kern w:val="0"/>
          <w:sz w:val="32"/>
          <w:szCs w:val="32"/>
        </w:rPr>
      </w:pPr>
      <w:r>
        <w:rPr>
          <w:rFonts w:ascii="黑体" w:eastAsia="黑体" w:hAnsi="Times New Roman" w:cs="黑体"/>
          <w:kern w:val="0"/>
          <w:sz w:val="32"/>
          <w:szCs w:val="32"/>
        </w:rPr>
        <w:br w:type="page"/>
      </w:r>
      <w:r>
        <w:rPr>
          <w:rFonts w:ascii="黑体" w:eastAsia="黑体" w:hAnsi="Times New Roman" w:cs="黑体"/>
          <w:kern w:val="0"/>
          <w:sz w:val="32"/>
          <w:szCs w:val="32"/>
        </w:rPr>
        <w:lastRenderedPageBreak/>
        <w:t>第四部分 部门决算报表（见附表）</w:t>
      </w:r>
    </w:p>
    <w:p w14:paraId="1F54C046" w14:textId="77777777" w:rsidR="000121E4"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14:paraId="1160F9AD" w14:textId="77777777" w:rsidR="000121E4"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二、《收入决算表》</w:t>
      </w:r>
    </w:p>
    <w:p w14:paraId="505716D2" w14:textId="77777777" w:rsidR="000121E4"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14:paraId="3813603D" w14:textId="77777777" w:rsidR="000121E4"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14:paraId="5A5FD7DB" w14:textId="77777777" w:rsidR="000121E4"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14:paraId="29E8C247" w14:textId="77777777" w:rsidR="000121E4"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14:paraId="6171EFD6" w14:textId="77777777" w:rsidR="000121E4"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14:paraId="6B0AE0F9" w14:textId="77777777" w:rsidR="000121E4"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14:paraId="1B659071" w14:textId="77777777" w:rsidR="000121E4"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14:paraId="22630CC1" w14:textId="77777777" w:rsidR="000121E4" w:rsidRDefault="000121E4">
      <w:pPr>
        <w:autoSpaceDE w:val="0"/>
        <w:autoSpaceDN w:val="0"/>
        <w:adjustRightInd w:val="0"/>
        <w:jc w:val="left"/>
        <w:rPr>
          <w:rFonts w:ascii="Times New Roman" w:eastAsia="黑体" w:hAnsi="Times New Roman" w:hint="default"/>
          <w:kern w:val="36"/>
          <w:sz w:val="40"/>
          <w:szCs w:val="40"/>
          <w:lang w:val="zh-CN"/>
        </w:rPr>
      </w:pPr>
    </w:p>
    <w:p w14:paraId="4CED0973" w14:textId="77777777" w:rsidR="000121E4" w:rsidRDefault="000121E4">
      <w:pPr>
        <w:autoSpaceDE w:val="0"/>
        <w:autoSpaceDN w:val="0"/>
        <w:adjustRightInd w:val="0"/>
        <w:rPr>
          <w:rFonts w:ascii="Times New Roman" w:eastAsia="黑体" w:hAnsi="Times New Roman" w:hint="default"/>
          <w:szCs w:val="21"/>
        </w:rPr>
      </w:pPr>
    </w:p>
    <w:p w14:paraId="3C90699A" w14:textId="77777777" w:rsidR="000121E4" w:rsidRDefault="000121E4">
      <w:pPr>
        <w:autoSpaceDE w:val="0"/>
        <w:autoSpaceDN w:val="0"/>
        <w:adjustRightInd w:val="0"/>
        <w:jc w:val="left"/>
        <w:rPr>
          <w:rFonts w:ascii="Times New Roman" w:eastAsia="黑体" w:hAnsi="Times New Roman" w:hint="default"/>
          <w:kern w:val="36"/>
          <w:sz w:val="40"/>
          <w:szCs w:val="40"/>
          <w:lang w:val="zh-CN"/>
        </w:rPr>
      </w:pPr>
    </w:p>
    <w:p w14:paraId="0B301735" w14:textId="77777777" w:rsidR="000121E4" w:rsidRDefault="000121E4">
      <w:pPr>
        <w:autoSpaceDE w:val="0"/>
        <w:autoSpaceDN w:val="0"/>
        <w:adjustRightInd w:val="0"/>
        <w:rPr>
          <w:rFonts w:ascii="Times New Roman" w:eastAsia="黑体" w:hAnsi="Times New Roman" w:hint="default"/>
          <w:szCs w:val="21"/>
        </w:rPr>
      </w:pPr>
    </w:p>
    <w:p w14:paraId="4EF71310" w14:textId="77777777" w:rsidR="000121E4" w:rsidRDefault="000121E4">
      <w:pPr>
        <w:autoSpaceDE w:val="0"/>
        <w:autoSpaceDN w:val="0"/>
        <w:adjustRightInd w:val="0"/>
        <w:jc w:val="left"/>
        <w:rPr>
          <w:rFonts w:ascii="Times New Roman" w:eastAsia="黑体" w:hAnsi="Times New Roman" w:hint="default"/>
          <w:kern w:val="36"/>
          <w:sz w:val="40"/>
          <w:szCs w:val="40"/>
          <w:lang w:val="zh-CN"/>
        </w:rPr>
      </w:pPr>
    </w:p>
    <w:sectPr w:rsidR="000121E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4A5FC" w14:textId="77777777" w:rsidR="00316CB2" w:rsidRDefault="00316CB2">
      <w:pPr>
        <w:rPr>
          <w:rFonts w:hint="default"/>
        </w:rPr>
      </w:pPr>
      <w:r>
        <w:separator/>
      </w:r>
    </w:p>
  </w:endnote>
  <w:endnote w:type="continuationSeparator" w:id="0">
    <w:p w14:paraId="2840E04C" w14:textId="77777777" w:rsidR="00316CB2" w:rsidRDefault="00316CB2">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宋体">
    <w:altName w:val="宋体"/>
    <w:panose1 w:val="02010600030101010101"/>
    <w:charset w:val="86"/>
    <w:family w:val="auto"/>
    <w:pitch w:val="variable"/>
    <w:sig w:usb0="00000003" w:usb1="288F0000" w:usb2="00000016" w:usb3="00000000" w:csb0="00040001" w:csb1="00000000"/>
  </w:font>
  <w:font w:name="等线">
    <w:altName w:val="等线"/>
    <w:panose1 w:val="02010600030101010101"/>
    <w:charset w:val="86"/>
    <w:family w:val="auto"/>
    <w:pitch w:val="variable"/>
    <w:sig w:usb0="A00002BF" w:usb1="38CF7CFA" w:usb2="00000016" w:usb3="00000000" w:csb0="0004000F" w:csb1="00000000"/>
  </w:font>
  <w:font w:name="方正小标宋_GBK">
    <w:altName w:val="方正小标宋_GBK"/>
    <w:panose1 w:val="03000509000000000000"/>
    <w:charset w:val="86"/>
    <w:family w:val="script"/>
    <w:pitch w:val="fixed"/>
    <w:sig w:usb0="00000001" w:usb1="080E0000" w:usb2="00000010" w:usb3="00000000" w:csb0="00040000" w:csb1="00000000"/>
  </w:font>
  <w:font w:name="仿宋_GB2312">
    <w:altName w:val="仿宋_GB2312"/>
    <w:panose1 w:val="02010609030101010101"/>
    <w:charset w:val="86"/>
    <w:family w:val="modern"/>
    <w:pitch w:val="fixed"/>
    <w:sig w:usb0="00000001" w:usb1="080E0000" w:usb2="00000010" w:usb3="00000000" w:csb0="00040000" w:csb1="00000000"/>
  </w:font>
  <w:font w:name="黑体">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FC450" w14:textId="77777777" w:rsidR="00316CB2" w:rsidRDefault="00316CB2">
      <w:pPr>
        <w:rPr>
          <w:rFonts w:hint="default"/>
        </w:rPr>
      </w:pPr>
      <w:r>
        <w:separator/>
      </w:r>
    </w:p>
  </w:footnote>
  <w:footnote w:type="continuationSeparator" w:id="0">
    <w:p w14:paraId="43C83D0B" w14:textId="77777777" w:rsidR="00316CB2" w:rsidRDefault="00316CB2">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VhNGJiMWVmZTg4ZjFhYWZhYWFiMzBkODkwYWRkZmUifQ=="/>
  </w:docVars>
  <w:rsids>
    <w:rsidRoot w:val="00172A27"/>
    <w:rsid w:val="000121E4"/>
    <w:rsid w:val="000649BD"/>
    <w:rsid w:val="00172A27"/>
    <w:rsid w:val="00185A8C"/>
    <w:rsid w:val="00316CB2"/>
    <w:rsid w:val="003E55B3"/>
    <w:rsid w:val="00493A47"/>
    <w:rsid w:val="00502B7A"/>
    <w:rsid w:val="009B4911"/>
    <w:rsid w:val="00B4226B"/>
    <w:rsid w:val="00C13EEE"/>
    <w:rsid w:val="00DE4571"/>
    <w:rsid w:val="463140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7C7EB6"/>
  <w15:docId w15:val="{73E86285-1D07-44E2-884E-41D529FF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1" w:count="376">
    <w:lsdException w:name="Normal" w:uiPriority="0" w:unhideWhenUsed="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uiPriority="10"/>
    <w:lsdException w:name="Default Paragraph Font" w:uiPriority="1" w:unhideWhenUsed="1" w:qFormat="0"/>
    <w:lsdException w:name="Subtitle" w:uiPriority="11"/>
    <w:lsdException w:name="Strong" w:uiPriority="22"/>
    <w:lsdException w:name="Emphasis" w:uiPriority="20"/>
    <w:lsdException w:name="HTML Top of Form" w:semiHidden="1" w:unhideWhenUsed="1" w:qFormat="0"/>
    <w:lsdException w:name="HTML Bottom of Form" w:semiHidden="1" w:unhideWhenUsed="1" w:qFormat="0"/>
    <w:lsdException w:name="Normal Table" w:semiHidden="1" w:unhideWhenUsed="1"/>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nhideWhenUsed="1" w:qFormat="0"/>
    <w:lsdException w:name="No Spacing" w:semiHidden="1" w:unhideWhenUsed="1"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0"/>
    <w:lsdException w:name="List Paragraph" w:semiHidden="1" w:unhideWhenUsed="1" w:qFormat="0"/>
    <w:lsdException w:name="Quote" w:semiHidden="1" w:unhideWhenUsed="1" w:qFormat="0"/>
    <w:lsdException w:name="Intense Quote" w:semiHidden="1" w:unhideWhenUsed="1" w:qFormat="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nhideWhenUsed="1" w:qFormat="0"/>
    <w:lsdException w:name="Smart Hyperlink" w:semiHidden="1" w:unhideWhenUsed="1" w:qFormat="0"/>
    <w:lsdException w:name="Hashtag" w:semiHidden="1" w:unhideWhenUsed="1" w:qFormat="0"/>
    <w:lsdException w:name="Unresolved Mention" w:semiHidden="1" w:unhideWhenUsed="1" w:qFormat="0"/>
    <w:lsdException w:name="Smart Link" w:semiHidden="1" w:unhideWhenUsed="1" w:qFormat="0"/>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qFormat/>
    <w:rsid w:val="00502B7A"/>
    <w:pPr>
      <w:tabs>
        <w:tab w:val="center" w:pos="4153"/>
        <w:tab w:val="right" w:pos="8306"/>
      </w:tabs>
      <w:snapToGrid w:val="0"/>
      <w:jc w:val="center"/>
    </w:pPr>
    <w:rPr>
      <w:sz w:val="18"/>
      <w:szCs w:val="18"/>
    </w:rPr>
  </w:style>
  <w:style w:type="character" w:customStyle="1" w:styleId="a4">
    <w:name w:val="页眉 字符"/>
    <w:basedOn w:val="a0"/>
    <w:link w:val="a3"/>
    <w:uiPriority w:val="99"/>
    <w:rsid w:val="00502B7A"/>
    <w:rPr>
      <w:rFonts w:ascii="等线" w:eastAsia="等线" w:hAnsi="等线"/>
      <w:kern w:val="2"/>
      <w:sz w:val="18"/>
      <w:szCs w:val="18"/>
    </w:rPr>
  </w:style>
  <w:style w:type="paragraph" w:styleId="a5">
    <w:name w:val="footer"/>
    <w:basedOn w:val="a"/>
    <w:link w:val="a6"/>
    <w:uiPriority w:val="99"/>
    <w:qFormat/>
    <w:rsid w:val="00502B7A"/>
    <w:pPr>
      <w:tabs>
        <w:tab w:val="center" w:pos="4153"/>
        <w:tab w:val="right" w:pos="8306"/>
      </w:tabs>
      <w:snapToGrid w:val="0"/>
      <w:jc w:val="left"/>
    </w:pPr>
    <w:rPr>
      <w:sz w:val="18"/>
      <w:szCs w:val="18"/>
    </w:rPr>
  </w:style>
  <w:style w:type="character" w:customStyle="1" w:styleId="a6">
    <w:name w:val="页脚 字符"/>
    <w:basedOn w:val="a0"/>
    <w:link w:val="a5"/>
    <w:uiPriority w:val="99"/>
    <w:rsid w:val="00502B7A"/>
    <w:rPr>
      <w:rFonts w:ascii="等线" w:eastAsia="等线" w:hAnsi="等线"/>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15</Pages>
  <Words>924</Words>
  <Characters>5267</Characters>
  <Application>Microsoft Office Word</Application>
  <DocSecurity>0</DocSecurity>
  <Lines>43</Lines>
  <Paragraphs>12</Paragraphs>
  <ScaleCrop>false</ScaleCrop>
  <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5869</cp:lastModifiedBy>
  <cp:revision>32</cp:revision>
  <dcterms:created xsi:type="dcterms:W3CDTF">2023-08-28T06:41:00Z</dcterms:created>
  <dcterms:modified xsi:type="dcterms:W3CDTF">2023-09-01T12:29:00Z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F12D874B30B040A6A5DA988AF85163E6_13</vt:lpwstr>
  </property>
</Properties>
</file>