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autoSpaceDE w:val="0"/>
        <w:autoSpaceDN w:val="0"/>
        <w:adjustRightInd w:val="0"/>
        <w:spacing w:before="240" w:after="240"/>
        <w:jc w:val="center"/>
        <w:rPr>
          <w:rFonts w:hint="default" w:ascii="Times New Roman"/>
          <w:kern w:val="36"/>
          <w:sz w:val="40"/>
          <w:szCs w:val="40"/>
          <w:lang w:val="zh-CN"/>
        </w:rPr>
      </w:pPr>
    </w:p>
    <w:p>
      <w:pPr>
        <w:shd w:val="clear" w:color="auto" w:fill="FFFFFF"/>
        <w:autoSpaceDE w:val="0"/>
        <w:autoSpaceDN w:val="0"/>
        <w:adjustRightInd w:val="0"/>
        <w:spacing w:before="240" w:after="240"/>
        <w:jc w:val="center"/>
        <w:rPr>
          <w:rFonts w:hint="default" w:ascii="Times New Roman"/>
          <w:kern w:val="36"/>
          <w:sz w:val="40"/>
          <w:szCs w:val="40"/>
          <w:lang w:val="zh-CN"/>
        </w:rPr>
      </w:pPr>
    </w:p>
    <w:p>
      <w:pPr>
        <w:autoSpaceDE w:val="0"/>
        <w:autoSpaceDN w:val="0"/>
        <w:adjustRightInd w:val="0"/>
        <w:jc w:val="center"/>
        <w:outlineLvl w:val="0"/>
        <w:rPr>
          <w:rFonts w:hint="eastAsia" w:ascii="方正小标宋_GBK" w:hAnsi="Times New Roman" w:eastAsia="方正小标宋_GBK" w:cs="方正小标宋_GBK"/>
          <w:sz w:val="44"/>
          <w:szCs w:val="44"/>
        </w:rPr>
      </w:pPr>
      <w:r>
        <w:rPr>
          <w:rFonts w:hint="eastAsia" w:ascii="方正小标宋_GBK" w:hAnsi="Times New Roman" w:eastAsia="方正小标宋_GBK" w:cs="方正小标宋_GBK"/>
          <w:sz w:val="44"/>
          <w:szCs w:val="44"/>
        </w:rPr>
        <w:t>乌鲁木齐市米东区矿业医院</w:t>
      </w:r>
    </w:p>
    <w:p>
      <w:pPr>
        <w:autoSpaceDE w:val="0"/>
        <w:autoSpaceDN w:val="0"/>
        <w:adjustRightInd w:val="0"/>
        <w:jc w:val="center"/>
        <w:rPr>
          <w:rFonts w:hint="default" w:ascii="Times New Roman" w:hAnsi="Times New Roman" w:eastAsia="方正小标宋_GBK"/>
          <w:kern w:val="36"/>
          <w:sz w:val="40"/>
          <w:szCs w:val="40"/>
          <w:lang w:val="zh-CN"/>
        </w:rPr>
      </w:pPr>
      <w:r>
        <w:rPr>
          <w:rFonts w:hint="eastAsia" w:ascii="方正小标宋_GBK" w:hAnsi="Times New Roman" w:eastAsia="方正小标宋_GBK" w:cs="方正小标宋_GBK"/>
          <w:sz w:val="44"/>
          <w:szCs w:val="44"/>
        </w:rPr>
        <w:t>2022年度部门决算公开说明</w:t>
      </w:r>
    </w:p>
    <w:p>
      <w:pPr>
        <w:shd w:val="clear" w:color="auto" w:fill="FFFFFF"/>
        <w:autoSpaceDE w:val="0"/>
        <w:autoSpaceDN w:val="0"/>
        <w:adjustRightInd w:val="0"/>
        <w:spacing w:before="240" w:after="240"/>
        <w:jc w:val="center"/>
        <w:rPr>
          <w:rFonts w:hint="default" w:ascii="Times New Roman" w:hAnsi="Times New Roman" w:eastAsia="宋体"/>
          <w:kern w:val="36"/>
          <w:sz w:val="40"/>
          <w:szCs w:val="40"/>
          <w:lang w:val="zh-CN"/>
        </w:rPr>
      </w:pPr>
    </w:p>
    <w:p>
      <w:pPr>
        <w:autoSpaceDE w:val="0"/>
        <w:autoSpaceDN w:val="0"/>
        <w:adjustRightInd w:val="0"/>
        <w:spacing w:line="540" w:lineRule="exact"/>
        <w:jc w:val="center"/>
        <w:rPr>
          <w:rFonts w:hint="default" w:ascii="Times New Roman" w:hAnsi="Times New Roman" w:eastAsia="仿宋_GB2312"/>
          <w:b/>
          <w:kern w:val="0"/>
          <w:sz w:val="24"/>
          <w:szCs w:val="24"/>
        </w:rPr>
      </w:pPr>
      <w:r>
        <w:rPr>
          <w:rFonts w:hint="default" w:ascii="Times New Roman" w:hAnsi="Times New Roman" w:eastAsia="宋体"/>
          <w:b/>
          <w:kern w:val="36"/>
          <w:sz w:val="36"/>
          <w:szCs w:val="36"/>
        </w:rPr>
        <w:br w:type="page"/>
      </w:r>
      <w:r>
        <w:rPr>
          <w:rFonts w:hint="eastAsia" w:ascii="仿宋_GB2312" w:hAnsi="Times New Roman" w:eastAsia="仿宋_GB2312" w:cs="仿宋_GB2312"/>
          <w:b/>
          <w:kern w:val="0"/>
          <w:sz w:val="36"/>
          <w:szCs w:val="36"/>
        </w:rPr>
        <w:t>目  录</w:t>
      </w:r>
    </w:p>
    <w:p>
      <w:pPr>
        <w:autoSpaceDE w:val="0"/>
        <w:autoSpaceDN w:val="0"/>
        <w:adjustRightInd w:val="0"/>
        <w:spacing w:line="540" w:lineRule="exact"/>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第一部分 单位概况</w:t>
      </w:r>
    </w:p>
    <w:p>
      <w:pPr>
        <w:autoSpaceDE w:val="0"/>
        <w:autoSpaceDN w:val="0"/>
        <w:adjustRightInd w:val="0"/>
        <w:spacing w:line="540" w:lineRule="exact"/>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一、主要职能</w:t>
      </w:r>
    </w:p>
    <w:p>
      <w:pPr>
        <w:autoSpaceDE w:val="0"/>
        <w:autoSpaceDN w:val="0"/>
        <w:adjustRightInd w:val="0"/>
        <w:spacing w:line="540" w:lineRule="exact"/>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二、</w:t>
      </w:r>
      <w:r>
        <w:rPr>
          <w:rFonts w:hint="eastAsia" w:ascii="仿宋_GB2312" w:hAnsi="Times New Roman" w:eastAsia="仿宋_GB2312" w:cs="仿宋_GB2312"/>
          <w:sz w:val="32"/>
          <w:szCs w:val="32"/>
        </w:rPr>
        <w:t>机构设置及人员情况</w:t>
      </w:r>
    </w:p>
    <w:p>
      <w:pPr>
        <w:autoSpaceDE w:val="0"/>
        <w:autoSpaceDN w:val="0"/>
        <w:adjustRightInd w:val="0"/>
        <w:spacing w:line="540" w:lineRule="exact"/>
        <w:rPr>
          <w:rFonts w:hint="default" w:ascii="Times New Roman" w:hAnsi="Times New Roman" w:eastAsia="仿宋_GB2312"/>
          <w:kern w:val="0"/>
          <w:sz w:val="32"/>
          <w:szCs w:val="32"/>
        </w:rPr>
      </w:pPr>
      <w:r>
        <w:rPr>
          <w:rFonts w:hint="eastAsia" w:ascii="仿宋_GB2312" w:hAnsi="Times New Roman" w:eastAsia="仿宋_GB2312" w:cs="仿宋_GB2312"/>
          <w:b/>
          <w:kern w:val="0"/>
          <w:sz w:val="32"/>
          <w:szCs w:val="32"/>
        </w:rPr>
        <w:t>第二部分 部门决算情况说明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一、收入支出决算总体情况说明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四、财政拨款收入支出决算总体情况说明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w:t>
      </w:r>
      <w:r>
        <w:rPr>
          <w:rFonts w:hint="eastAsia" w:ascii="仿宋_GB2312" w:hAnsi="Times New Roman" w:eastAsia="仿宋_GB2312" w:cs="仿宋_GB2312"/>
          <w:sz w:val="32"/>
          <w:szCs w:val="32"/>
          <w:lang w:val="zh-CN"/>
        </w:rPr>
        <w:t>财政拨款</w:t>
      </w:r>
      <w:r>
        <w:rPr>
          <w:rFonts w:hint="eastAsia" w:ascii="仿宋_GB2312" w:hAnsi="Times New Roman" w:eastAsia="仿宋_GB2312" w:cs="仿宋_GB2312"/>
          <w:sz w:val="32"/>
          <w:szCs w:val="32"/>
        </w:rPr>
        <w:t>收入支出决算情况说明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十、其他重要事项的情况说明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（一）机关运行经费支出情况</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（二）政府采购情况</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（三）国有资产占用情况说明</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十</w:t>
      </w:r>
      <w:r>
        <w:rPr>
          <w:rFonts w:hint="eastAsia" w:ascii="仿宋_GB2312" w:hAnsi="Times New Roman" w:eastAsia="仿宋_GB2312" w:cs="仿宋_GB2312"/>
          <w:sz w:val="32"/>
          <w:szCs w:val="32"/>
          <w:lang w:val="zh-CN"/>
        </w:rPr>
        <w:t>一</w:t>
      </w:r>
      <w:r>
        <w:rPr>
          <w:rFonts w:hint="eastAsia" w:ascii="仿宋_GB2312" w:hAnsi="Times New Roman" w:eastAsia="仿宋_GB2312" w:cs="仿宋_GB2312"/>
          <w:sz w:val="32"/>
          <w:szCs w:val="32"/>
        </w:rPr>
        <w:t>、预算绩效的情况说明</w:t>
      </w:r>
    </w:p>
    <w:p>
      <w:pPr>
        <w:autoSpaceDE w:val="0"/>
        <w:autoSpaceDN w:val="0"/>
        <w:adjustRightInd w:val="0"/>
        <w:spacing w:line="540" w:lineRule="exact"/>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第三部分 专业名词解释</w:t>
      </w:r>
    </w:p>
    <w:p>
      <w:pPr>
        <w:autoSpaceDE w:val="0"/>
        <w:autoSpaceDN w:val="0"/>
        <w:adjustRightInd w:val="0"/>
        <w:spacing w:line="540" w:lineRule="exact"/>
        <w:rPr>
          <w:rFonts w:hint="default" w:ascii="Times New Roman" w:hAnsi="Times New Roman" w:eastAsia="仿宋_GB2312"/>
          <w:b/>
          <w:kern w:val="0"/>
          <w:sz w:val="32"/>
          <w:szCs w:val="32"/>
        </w:rPr>
      </w:pPr>
      <w:r>
        <w:rPr>
          <w:rFonts w:hint="eastAsia" w:ascii="仿宋_GB2312" w:hAnsi="Times New Roman" w:eastAsia="仿宋_GB2312" w:cs="仿宋_GB2312"/>
          <w:b/>
          <w:kern w:val="0"/>
          <w:sz w:val="32"/>
          <w:szCs w:val="32"/>
        </w:rPr>
        <w:t>第四部分 部</w:t>
      </w:r>
      <w:r>
        <w:rPr>
          <w:rFonts w:hint="eastAsia" w:ascii="仿宋_GB2312" w:hAnsi="Times New Roman" w:eastAsia="仿宋_GB2312" w:cs="仿宋_GB2312"/>
          <w:b/>
          <w:sz w:val="32"/>
          <w:szCs w:val="32"/>
        </w:rPr>
        <w:t>门决算报表（见附表）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一、《收入支出决算总表》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二、《收入决算表》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三、《支出决算表》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四、《财政拨款收入支出决算总表》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五、《一般公共预算财政拨款支出决算表》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六、《一般公共预算财政拨款基本支出决算表》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经费支出决算表》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八、《政府性基金预算财政拨款收入支出决算表》</w:t>
      </w:r>
    </w:p>
    <w:p>
      <w:pPr>
        <w:autoSpaceDE w:val="0"/>
        <w:autoSpaceDN w:val="0"/>
        <w:adjustRightInd w:val="0"/>
        <w:spacing w:line="540" w:lineRule="exact"/>
        <w:rPr>
          <w:rFonts w:hint="default" w:ascii="Times New Roman" w:hAnsi="Times New Roman" w:eastAsia="仿宋_GB2312"/>
          <w:sz w:val="32"/>
          <w:szCs w:val="32"/>
        </w:rPr>
      </w:pPr>
      <w:r>
        <w:rPr>
          <w:rFonts w:hint="eastAsia" w:ascii="仿宋_GB2312" w:hAnsi="Times New Roman" w:eastAsia="仿宋_GB2312" w:cs="仿宋_GB2312"/>
          <w:sz w:val="32"/>
          <w:szCs w:val="32"/>
        </w:rPr>
        <w:t>九、《国有资本经营预算财政拨款收入支出决算表》</w:t>
      </w:r>
    </w:p>
    <w:p>
      <w:pPr>
        <w:autoSpaceDE w:val="0"/>
        <w:autoSpaceDN w:val="0"/>
        <w:adjustRightInd w:val="0"/>
        <w:spacing w:line="540" w:lineRule="exact"/>
        <w:ind w:firstLine="640"/>
        <w:rPr>
          <w:rFonts w:hint="default" w:ascii="Times New Roman" w:hAnsi="Times New Roman" w:eastAsia="仿宋_GB2312"/>
          <w:b/>
          <w:kern w:val="0"/>
          <w:sz w:val="28"/>
          <w:szCs w:val="28"/>
        </w:rPr>
      </w:pPr>
    </w:p>
    <w:p>
      <w:pPr>
        <w:shd w:val="clear" w:color="auto" w:fill="FFFFFF"/>
        <w:autoSpaceDE w:val="0"/>
        <w:autoSpaceDN w:val="0"/>
        <w:adjustRightInd w:val="0"/>
        <w:spacing w:line="360" w:lineRule="auto"/>
        <w:jc w:val="center"/>
        <w:rPr>
          <w:rFonts w:hint="default" w:ascii="Times New Roman" w:hAnsi="Times New Roman" w:eastAsia="仿宋_GB2312"/>
          <w:kern w:val="0"/>
          <w:sz w:val="32"/>
          <w:szCs w:val="32"/>
        </w:rPr>
      </w:pPr>
    </w:p>
    <w:p>
      <w:pPr>
        <w:shd w:val="clear" w:color="auto" w:fill="FFFFFF"/>
        <w:autoSpaceDE w:val="0"/>
        <w:autoSpaceDN w:val="0"/>
        <w:adjustRightInd w:val="0"/>
        <w:spacing w:line="360" w:lineRule="auto"/>
        <w:jc w:val="center"/>
        <w:outlineLvl w:val="0"/>
        <w:rPr>
          <w:rFonts w:hint="cs" w:eastAsia="黑体" w:cs="黑体"/>
          <w:kern w:val="0"/>
          <w:sz w:val="32"/>
          <w:szCs w:val="32"/>
          <w:rtl/>
          <w:lang w:val="ar-SA"/>
        </w:rPr>
      </w:pPr>
      <w:r>
        <w:rPr>
          <w:rFonts w:hint="default" w:ascii="Times New Roman" w:hAnsi="Times New Roman" w:eastAsia="仿宋_GB2312"/>
          <w:kern w:val="0"/>
          <w:sz w:val="32"/>
          <w:szCs w:val="32"/>
        </w:rPr>
        <w:br w:type="page"/>
      </w:r>
      <w:r>
        <w:rPr>
          <w:rFonts w:hint="eastAsia" w:ascii="黑体" w:hAnsi="Times New Roman" w:eastAsia="黑体" w:cs="黑体"/>
          <w:kern w:val="0"/>
          <w:sz w:val="32"/>
          <w:szCs w:val="32"/>
        </w:rPr>
        <w:t>第一部分 单位概况</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一、主要职能</w:t>
      </w:r>
    </w:p>
    <w:p>
      <w:pPr>
        <w:autoSpaceDE w:val="0"/>
        <w:autoSpaceDN w:val="0"/>
        <w:adjustRightInd w:val="0"/>
        <w:spacing w:line="360" w:lineRule="auto"/>
        <w:ind w:firstLine="640" w:firstLineChars="200"/>
        <w:rPr>
          <w:rFonts w:hint="eastAsia" w:ascii="Times New Roman" w:hAnsi="Times New Roman" w:eastAsia="仿宋_GB2312"/>
          <w:sz w:val="32"/>
          <w:szCs w:val="32"/>
          <w:lang w:val="zh-CN"/>
        </w:rPr>
      </w:pPr>
      <w:r>
        <w:rPr>
          <w:rFonts w:hint="eastAsia" w:ascii="仿宋_GB2312" w:hAnsi="Times New Roman" w:eastAsia="仿宋_GB2312" w:cs="仿宋_GB2312"/>
          <w:kern w:val="0"/>
          <w:sz w:val="32"/>
          <w:szCs w:val="32"/>
        </w:rPr>
        <w:t>乌鲁木齐市米东区矿业医院成立于1975年，是由乌鲁木齐市政府举办的一所集医疗、保健、护理、公共卫生服务为一体的一级综合医院。贯彻执行国家、自治区卫生工作方针、政策、法律、法规和相关标准，为人民健康提供医疗与护理保健服务。加强医疗质量管理确保医疗安全和服务质量，不断提高服务水平，保障人民身体健康，并开展诊疗护理、康复等服务。对医务人员进行经常性的培训与考核，同时开展社区公共卫生服务工作及全民免费体检工作，群众突发公共卫生事件应急处置等工作，保障全区人民的健康。</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二、机构设置及人员情况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乌鲁木齐市米东区矿业医院2022年度，实有人数123人，其中：在职人员84人，离休人员0人，退休人员39人。</w:t>
      </w:r>
    </w:p>
    <w:p>
      <w:pPr>
        <w:shd w:val="clear" w:color="auto" w:fill="FFFFFF"/>
        <w:autoSpaceDE w:val="0"/>
        <w:autoSpaceDN w:val="0"/>
        <w:adjustRightInd w:val="0"/>
        <w:spacing w:line="360" w:lineRule="auto"/>
        <w:ind w:firstLine="640"/>
        <w:rPr>
          <w:rFonts w:hint="cs" w:ascii="Times New Roman"/>
          <w:kern w:val="0"/>
          <w:sz w:val="24"/>
          <w:szCs w:val="24"/>
          <w:rtl/>
          <w:lang w:val="zh-CN" w:bidi="zh-CN"/>
        </w:rPr>
      </w:pPr>
      <w:r>
        <w:rPr>
          <w:rFonts w:hint="eastAsia" w:ascii="仿宋_GB2312" w:hAnsi="Times New Roman" w:eastAsia="仿宋_GB2312" w:cs="仿宋_GB2312"/>
          <w:kern w:val="0"/>
          <w:sz w:val="32"/>
          <w:szCs w:val="32"/>
        </w:rPr>
        <w:t>从部门决算单位构成看，乌鲁木齐市米东区矿业医院部门决算包括：乌鲁木齐市米东区矿业医院</w:t>
      </w:r>
      <w:r>
        <w:rPr>
          <w:rFonts w:hint="eastAsia" w:ascii="仿宋_GB2312" w:hAnsi="Times New Roman" w:eastAsia="仿宋_GB2312" w:cs="仿宋_GB2312"/>
          <w:kern w:val="0"/>
          <w:sz w:val="32"/>
          <w:szCs w:val="32"/>
          <w:lang w:val="zh-CN"/>
        </w:rPr>
        <w:t>决算。单位无下属预算单位，下设</w:t>
      </w:r>
      <w:r>
        <w:rPr>
          <w:rFonts w:hint="eastAsia" w:ascii="仿宋_GB2312" w:hAnsi="Times New Roman" w:eastAsia="仿宋_GB2312" w:cs="仿宋_GB2312"/>
          <w:kern w:val="0"/>
          <w:sz w:val="32"/>
          <w:szCs w:val="32"/>
        </w:rPr>
        <w:t>21</w:t>
      </w:r>
      <w:r>
        <w:rPr>
          <w:rFonts w:hint="eastAsia" w:ascii="仿宋_GB2312" w:hAnsi="Times New Roman" w:eastAsia="仿宋_GB2312" w:cs="仿宋_GB2312"/>
          <w:kern w:val="0"/>
          <w:sz w:val="32"/>
          <w:szCs w:val="32"/>
          <w:lang w:val="zh-CN"/>
        </w:rPr>
        <w:t>个科室，分别是：内科、外科、妇科、门急诊、儿科、口腔科、推拿理疗科、中医科、中西医结合科、医学检验科、医学影像科、健康体检科、社区管理科、药剂科、党政办公室、医务科</w:t>
      </w:r>
      <w:r>
        <w:rPr>
          <w:rFonts w:hint="eastAsia" w:ascii="仿宋_GB2312" w:hAnsi="Times New Roman" w:eastAsia="仿宋_GB2312" w:cs="仿宋_GB2312"/>
          <w:kern w:val="0"/>
          <w:sz w:val="32"/>
          <w:szCs w:val="32"/>
        </w:rPr>
        <w:t>、护理部、院感办公室、劳资科、医保办公室、财务科</w:t>
      </w:r>
      <w:r>
        <w:rPr>
          <w:rFonts w:hint="eastAsia" w:ascii="仿宋_GB2312" w:hAnsi="Times New Roman" w:eastAsia="仿宋_GB2312" w:cs="仿宋_GB2312"/>
          <w:kern w:val="0"/>
          <w:sz w:val="32"/>
          <w:szCs w:val="32"/>
          <w:lang w:val="zh-CN"/>
        </w:rPr>
        <w:t>。</w:t>
      </w:r>
    </w:p>
    <w:p>
      <w:pPr>
        <w:shd w:val="clear" w:color="auto" w:fill="FFFFFF"/>
        <w:autoSpaceDE w:val="0"/>
        <w:autoSpaceDN w:val="0"/>
        <w:adjustRightInd w:val="0"/>
        <w:spacing w:before="100" w:after="240"/>
        <w:jc w:val="center"/>
        <w:outlineLvl w:val="0"/>
        <w:rPr>
          <w:rFonts w:hint="cs" w:ascii="Times New Roman"/>
          <w:kern w:val="0"/>
          <w:sz w:val="28"/>
          <w:szCs w:val="28"/>
          <w:rtl/>
          <w:lang w:val="ar-SA"/>
        </w:rPr>
      </w:pPr>
      <w:r>
        <w:rPr>
          <w:rFonts w:hint="eastAsia" w:ascii="黑体" w:hAnsi="Times New Roman" w:eastAsia="黑体" w:cs="黑体"/>
          <w:kern w:val="0"/>
          <w:sz w:val="32"/>
          <w:szCs w:val="32"/>
        </w:rPr>
        <w:t>第二部分 部门决算情况说明</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一、收入支出决算总体情况说明</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2022年度收入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2,481.92万元，</w:t>
      </w:r>
      <w:r>
        <w:rPr>
          <w:rFonts w:hint="eastAsia" w:ascii="仿宋_GB2312" w:hAnsi="Times New Roman" w:eastAsia="仿宋_GB2312" w:cs="仿宋_GB2312"/>
          <w:sz w:val="32"/>
          <w:szCs w:val="32"/>
        </w:rPr>
        <w:t>其中：本年收入合计</w:t>
      </w:r>
      <w:r>
        <w:rPr>
          <w:rFonts w:hint="eastAsia" w:ascii="仿宋_GB2312" w:hAnsi="Times New Roman" w:eastAsia="仿宋_GB2312" w:cs="仿宋_GB2312"/>
          <w:kern w:val="0"/>
          <w:sz w:val="32"/>
          <w:szCs w:val="32"/>
        </w:rPr>
        <w:t>2,047.11</w:t>
      </w:r>
      <w:r>
        <w:rPr>
          <w:rFonts w:hint="eastAsia" w:ascii="仿宋_GB2312" w:hAnsi="Times New Roman" w:eastAsia="仿宋_GB2312" w:cs="仿宋_GB2312"/>
          <w:sz w:val="32"/>
          <w:szCs w:val="32"/>
        </w:rPr>
        <w:t>万元，使用非财政拨款结余</w:t>
      </w:r>
      <w:r>
        <w:rPr>
          <w:rFonts w:hint="eastAsia" w:ascii="仿宋_GB2312" w:hAnsi="Times New Roman" w:eastAsia="仿宋_GB2312" w:cs="仿宋_GB2312"/>
          <w:kern w:val="0"/>
          <w:sz w:val="32"/>
          <w:szCs w:val="32"/>
        </w:rPr>
        <w:t>434.81</w:t>
      </w:r>
      <w:r>
        <w:rPr>
          <w:rFonts w:hint="eastAsia" w:ascii="仿宋_GB2312" w:hAnsi="Times New Roman" w:eastAsia="仿宋_GB2312" w:cs="仿宋_GB2312"/>
          <w:sz w:val="32"/>
          <w:szCs w:val="32"/>
        </w:rPr>
        <w:t>万元，年初结转和结余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万元。收入总计</w:t>
      </w:r>
      <w:r>
        <w:rPr>
          <w:rFonts w:hint="eastAsia" w:ascii="仿宋_GB2312" w:hAnsi="Times New Roman" w:eastAsia="仿宋_GB2312" w:cs="仿宋_GB2312"/>
          <w:kern w:val="0"/>
          <w:sz w:val="32"/>
          <w:szCs w:val="32"/>
        </w:rPr>
        <w:t>与上年相比，减少703.32万元，下降22.08%，主要原因是：</w:t>
      </w:r>
      <w:r>
        <w:rPr>
          <w:rFonts w:hint="eastAsia" w:ascii="仿宋_GB2312" w:hAnsi="Times New Roman" w:eastAsia="仿宋_GB2312" w:cs="仿宋_GB2312"/>
          <w:sz w:val="32"/>
          <w:szCs w:val="32"/>
          <w:lang w:val="en-US" w:eastAsia="zh-CN"/>
        </w:rPr>
        <w:t>本年门诊部未开放</w:t>
      </w:r>
      <w:r>
        <w:rPr>
          <w:rFonts w:hint="eastAsia" w:ascii="仿宋_GB2312" w:hAnsi="Times New Roman" w:eastAsia="仿宋_GB2312" w:cs="仿宋_GB2312"/>
          <w:sz w:val="32"/>
          <w:szCs w:val="32"/>
        </w:rPr>
        <w:t>，</w:t>
      </w:r>
      <w:r>
        <w:rPr>
          <w:rFonts w:hint="eastAsia" w:ascii="仿宋_GB2312" w:hAnsi="Times New Roman" w:eastAsia="仿宋_GB2312" w:cs="仿宋_GB2312"/>
          <w:sz w:val="32"/>
          <w:szCs w:val="32"/>
          <w:lang w:val="en-US" w:eastAsia="zh-CN"/>
        </w:rPr>
        <w:t>事业收入减少，</w:t>
      </w:r>
      <w:r>
        <w:rPr>
          <w:rFonts w:hint="eastAsia" w:ascii="仿宋_GB2312" w:hAnsi="Times New Roman" w:eastAsia="仿宋_GB2312" w:cs="仿宋_GB2312"/>
          <w:sz w:val="32"/>
          <w:szCs w:val="32"/>
        </w:rPr>
        <w:t>药品材料等各类医疗物资</w:t>
      </w:r>
      <w:r>
        <w:rPr>
          <w:rFonts w:hint="eastAsia" w:ascii="仿宋_GB2312" w:hAnsi="Times New Roman" w:eastAsia="仿宋_GB2312" w:cs="仿宋_GB2312"/>
          <w:sz w:val="32"/>
          <w:szCs w:val="32"/>
          <w:lang w:val="en-US" w:eastAsia="zh-CN"/>
        </w:rPr>
        <w:t>资金减少，减少</w:t>
      </w:r>
      <w:r>
        <w:rPr>
          <w:rFonts w:hint="eastAsia" w:ascii="仿宋_GB2312" w:hAnsi="Times New Roman" w:eastAsia="仿宋_GB2312" w:cs="仿宋_GB2312"/>
          <w:sz w:val="32"/>
          <w:szCs w:val="32"/>
        </w:rPr>
        <w:t>米东区矿业医院财政补助资金</w:t>
      </w:r>
      <w:r>
        <w:rPr>
          <w:rFonts w:hint="eastAsia" w:ascii="仿宋_GB2312" w:hAnsi="Times New Roman" w:eastAsia="仿宋_GB2312" w:cs="仿宋_GB2312"/>
          <w:sz w:val="32"/>
          <w:szCs w:val="32"/>
          <w:lang w:eastAsia="zh-CN"/>
        </w:rPr>
        <w:t>，</w:t>
      </w:r>
      <w:r>
        <w:rPr>
          <w:rFonts w:hint="eastAsia" w:ascii="仿宋_GB2312" w:hAnsi="Times New Roman" w:eastAsia="仿宋_GB2312" w:cs="仿宋_GB2312"/>
          <w:sz w:val="32"/>
          <w:szCs w:val="32"/>
        </w:rPr>
        <w:t>收入总计较上年减少</w:t>
      </w:r>
      <w:r>
        <w:rPr>
          <w:rFonts w:hint="eastAsia" w:ascii="仿宋_GB2312" w:hAnsi="Times New Roman" w:eastAsia="仿宋_GB2312" w:cs="仿宋_GB2312"/>
          <w:kern w:val="0"/>
          <w:sz w:val="32"/>
          <w:szCs w:val="32"/>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sz w:val="32"/>
          <w:szCs w:val="32"/>
        </w:rPr>
        <w:t>本年支出总计</w:t>
      </w:r>
      <w:r>
        <w:rPr>
          <w:rFonts w:hint="eastAsia" w:ascii="仿宋_GB2312" w:hAnsi="Times New Roman" w:eastAsia="仿宋_GB2312" w:cs="仿宋_GB2312"/>
          <w:kern w:val="0"/>
          <w:sz w:val="32"/>
          <w:szCs w:val="32"/>
        </w:rPr>
        <w:t>2,481.92万元，</w:t>
      </w:r>
      <w:r>
        <w:rPr>
          <w:rFonts w:hint="eastAsia" w:ascii="仿宋_GB2312" w:hAnsi="Times New Roman" w:eastAsia="仿宋_GB2312" w:cs="仿宋_GB2312"/>
          <w:sz w:val="32"/>
          <w:szCs w:val="32"/>
        </w:rPr>
        <w:t>其中：本年支出合计</w:t>
      </w:r>
      <w:r>
        <w:rPr>
          <w:rFonts w:hint="eastAsia" w:ascii="仿宋_GB2312" w:hAnsi="Times New Roman" w:eastAsia="仿宋_GB2312" w:cs="仿宋_GB2312"/>
          <w:kern w:val="0"/>
          <w:sz w:val="32"/>
          <w:szCs w:val="32"/>
        </w:rPr>
        <w:t>2,481.92</w:t>
      </w:r>
      <w:r>
        <w:rPr>
          <w:rFonts w:hint="eastAsia" w:ascii="仿宋_GB2312" w:hAnsi="Times New Roman" w:eastAsia="仿宋_GB2312" w:cs="仿宋_GB2312"/>
          <w:sz w:val="32"/>
          <w:szCs w:val="32"/>
        </w:rPr>
        <w:t>万元，结余分配</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万元，年末结转和结余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万元。支出总计</w:t>
      </w:r>
      <w:r>
        <w:rPr>
          <w:rFonts w:hint="eastAsia" w:ascii="仿宋_GB2312" w:hAnsi="Times New Roman" w:eastAsia="仿宋_GB2312" w:cs="仿宋_GB2312"/>
          <w:kern w:val="0"/>
          <w:sz w:val="32"/>
          <w:szCs w:val="32"/>
        </w:rPr>
        <w:t>与上年相比，减少703.32万元，下降22.08%，主要原因是：</w:t>
      </w:r>
      <w:r>
        <w:rPr>
          <w:rFonts w:hint="eastAsia" w:ascii="仿宋_GB2312" w:hAnsi="Times New Roman" w:eastAsia="仿宋_GB2312" w:cs="仿宋_GB2312"/>
          <w:sz w:val="32"/>
          <w:szCs w:val="32"/>
          <w:lang w:val="en-US" w:eastAsia="zh-CN"/>
        </w:rPr>
        <w:t>本年门诊部未开放</w:t>
      </w:r>
      <w:r>
        <w:rPr>
          <w:rFonts w:hint="eastAsia" w:ascii="仿宋_GB2312" w:hAnsi="Times New Roman" w:eastAsia="仿宋_GB2312" w:cs="仿宋_GB2312"/>
          <w:sz w:val="32"/>
          <w:szCs w:val="32"/>
        </w:rPr>
        <w:t>，药品材料等各类医疗物资</w:t>
      </w:r>
      <w:r>
        <w:rPr>
          <w:rFonts w:hint="eastAsia" w:ascii="仿宋_GB2312" w:hAnsi="Times New Roman" w:eastAsia="仿宋_GB2312" w:cs="仿宋_GB2312"/>
          <w:sz w:val="32"/>
          <w:szCs w:val="32"/>
          <w:lang w:val="en-US" w:eastAsia="zh-CN"/>
        </w:rPr>
        <w:t>资金减少，减少</w:t>
      </w:r>
      <w:r>
        <w:rPr>
          <w:rFonts w:hint="eastAsia" w:ascii="仿宋_GB2312" w:hAnsi="Times New Roman" w:eastAsia="仿宋_GB2312" w:cs="仿宋_GB2312"/>
          <w:sz w:val="32"/>
          <w:szCs w:val="32"/>
        </w:rPr>
        <w:t>米东区矿业医院财政补助资金</w:t>
      </w:r>
      <w:r>
        <w:rPr>
          <w:rFonts w:hint="eastAsia" w:ascii="仿宋_GB2312" w:hAnsi="Times New Roman" w:eastAsia="仿宋_GB2312" w:cs="仿宋_GB2312"/>
          <w:sz w:val="32"/>
          <w:szCs w:val="32"/>
          <w:lang w:eastAsia="zh-CN"/>
        </w:rPr>
        <w:t>，</w:t>
      </w:r>
      <w:r>
        <w:rPr>
          <w:rFonts w:hint="eastAsia" w:ascii="仿宋_GB2312" w:hAnsi="Times New Roman" w:eastAsia="仿宋_GB2312" w:cs="仿宋_GB2312"/>
          <w:sz w:val="32"/>
          <w:szCs w:val="32"/>
          <w:lang w:val="en-US" w:eastAsia="zh-CN"/>
        </w:rPr>
        <w:t>支出减少</w:t>
      </w:r>
      <w:r>
        <w:rPr>
          <w:rFonts w:hint="eastAsia" w:ascii="仿宋_GB2312" w:hAnsi="Times New Roman" w:eastAsia="仿宋_GB2312" w:cs="仿宋_GB2312"/>
          <w:kern w:val="0"/>
          <w:sz w:val="32"/>
          <w:szCs w:val="32"/>
        </w:rPr>
        <w:t>。</w:t>
      </w:r>
    </w:p>
    <w:p>
      <w:pPr>
        <w:autoSpaceDE w:val="0"/>
        <w:autoSpaceDN w:val="0"/>
        <w:adjustRightInd w:val="0"/>
        <w:spacing w:line="360" w:lineRule="auto"/>
        <w:ind w:firstLine="640"/>
        <w:outlineLvl w:val="1"/>
        <w:rPr>
          <w:rFonts w:hint="default" w:ascii="Times New Roman" w:hAnsi="Times New Roman" w:eastAsia="黑体"/>
          <w:sz w:val="32"/>
          <w:szCs w:val="32"/>
        </w:rPr>
      </w:pPr>
      <w:r>
        <w:rPr>
          <w:rFonts w:hint="eastAsia" w:ascii="黑体" w:hAnsi="Times New Roman" w:eastAsia="黑体" w:cs="黑体"/>
          <w:sz w:val="32"/>
          <w:szCs w:val="32"/>
          <w:lang w:val="zh-CN"/>
        </w:rPr>
        <w:t>二、收入决算情况说明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收入2,047.11万元，其中：财政拨款收入519.75万元，占25.39%；上级补助收入0.00万元，占0.00%；事业收入1,410.07万元，占68.88%；经营收入0.00万元，占0.00%；附属单位上缴收入0.00万元，占0.00%；其他收入117.29万元，占5.73%。</w:t>
      </w:r>
    </w:p>
    <w:p>
      <w:pPr>
        <w:autoSpaceDE w:val="0"/>
        <w:autoSpaceDN w:val="0"/>
        <w:adjustRightInd w:val="0"/>
        <w:spacing w:line="360" w:lineRule="auto"/>
        <w:ind w:firstLine="640"/>
        <w:outlineLvl w:val="1"/>
        <w:rPr>
          <w:rFonts w:hint="default" w:ascii="Times New Roman" w:hAnsi="Times New Roman" w:eastAsia="黑体"/>
          <w:sz w:val="32"/>
          <w:szCs w:val="32"/>
        </w:rPr>
      </w:pPr>
      <w:r>
        <w:rPr>
          <w:rFonts w:hint="eastAsia" w:ascii="黑体" w:hAnsi="Times New Roman" w:eastAsia="黑体" w:cs="黑体"/>
          <w:sz w:val="32"/>
          <w:szCs w:val="32"/>
          <w:lang w:val="zh-CN"/>
        </w:rPr>
        <w:t>三、支出决算情况说明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2022年度本年支出2,481.92万元，其中：基本支出2,481.92万元，占100.00%；项目支出0.00万元，占0.00%；上缴上级支出0.00万元，占0.00%；经营支出0.00万元，占0.00%；对附属单位补助支出0.00万元，占0.00%。</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四、财政拨款收入支出决算总体情况说明</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2022年度财政拨款收入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519.75万元，</w:t>
      </w:r>
      <w:r>
        <w:rPr>
          <w:rFonts w:hint="eastAsia" w:ascii="仿宋_GB2312" w:hAnsi="Times New Roman" w:eastAsia="仿宋_GB2312" w:cs="仿宋_GB2312"/>
          <w:sz w:val="32"/>
          <w:szCs w:val="32"/>
        </w:rPr>
        <w:t>其中：年初财政拨款结转和结余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万元，财政拨款本年收入</w:t>
      </w:r>
      <w:r>
        <w:rPr>
          <w:rFonts w:hint="eastAsia" w:ascii="仿宋_GB2312" w:hAnsi="Times New Roman" w:eastAsia="仿宋_GB2312" w:cs="仿宋_GB2312"/>
          <w:kern w:val="0"/>
          <w:sz w:val="32"/>
          <w:szCs w:val="32"/>
        </w:rPr>
        <w:t>519.75</w:t>
      </w:r>
      <w:r>
        <w:rPr>
          <w:rFonts w:hint="eastAsia" w:ascii="仿宋_GB2312" w:hAnsi="Times New Roman" w:eastAsia="仿宋_GB2312" w:cs="仿宋_GB2312"/>
          <w:sz w:val="32"/>
          <w:szCs w:val="32"/>
        </w:rPr>
        <w:t>万元。财政拨款收入总计</w:t>
      </w:r>
      <w:r>
        <w:rPr>
          <w:rFonts w:hint="eastAsia" w:ascii="仿宋_GB2312" w:hAnsi="Times New Roman" w:eastAsia="仿宋_GB2312" w:cs="仿宋_GB2312"/>
          <w:kern w:val="0"/>
          <w:sz w:val="32"/>
          <w:szCs w:val="32"/>
        </w:rPr>
        <w:t>与上年相比，减少89.85万元，下降14.74%，主要原因是：</w:t>
      </w:r>
      <w:r>
        <w:rPr>
          <w:rFonts w:hint="eastAsia" w:ascii="仿宋_GB2312" w:hAnsi="Times New Roman" w:eastAsia="仿宋_GB2312" w:cs="仿宋_GB2312"/>
          <w:sz w:val="32"/>
          <w:szCs w:val="32"/>
          <w:lang w:val="en-US" w:eastAsia="zh-CN"/>
        </w:rPr>
        <w:t>本年门诊部未开放</w:t>
      </w:r>
      <w:r>
        <w:rPr>
          <w:rFonts w:hint="eastAsia" w:ascii="仿宋_GB2312" w:hAnsi="Times New Roman" w:eastAsia="仿宋_GB2312" w:cs="仿宋_GB2312"/>
          <w:sz w:val="32"/>
          <w:szCs w:val="32"/>
        </w:rPr>
        <w:t>，药品材料等各类医疗物资</w:t>
      </w:r>
      <w:r>
        <w:rPr>
          <w:rFonts w:hint="eastAsia" w:ascii="仿宋_GB2312" w:hAnsi="Times New Roman" w:eastAsia="仿宋_GB2312" w:cs="仿宋_GB2312"/>
          <w:sz w:val="32"/>
          <w:szCs w:val="32"/>
          <w:lang w:val="en-US" w:eastAsia="zh-CN"/>
        </w:rPr>
        <w:t>资金减少，减少</w:t>
      </w:r>
      <w:r>
        <w:rPr>
          <w:rFonts w:hint="eastAsia" w:ascii="仿宋_GB2312" w:hAnsi="Times New Roman" w:eastAsia="仿宋_GB2312" w:cs="仿宋_GB2312"/>
          <w:sz w:val="32"/>
          <w:szCs w:val="32"/>
        </w:rPr>
        <w:t>米东区矿业医院财政补助资金</w:t>
      </w:r>
      <w:r>
        <w:rPr>
          <w:rFonts w:hint="eastAsia" w:ascii="仿宋_GB2312" w:hAnsi="Times New Roman" w:eastAsia="仿宋_GB2312" w:cs="仿宋_GB2312"/>
          <w:sz w:val="32"/>
          <w:szCs w:val="32"/>
          <w:lang w:eastAsia="zh-CN"/>
        </w:rPr>
        <w:t>，</w:t>
      </w:r>
      <w:r>
        <w:rPr>
          <w:rFonts w:hint="eastAsia" w:ascii="仿宋_GB2312" w:hAnsi="Times New Roman" w:eastAsia="仿宋_GB2312" w:cs="仿宋_GB2312"/>
          <w:sz w:val="32"/>
          <w:szCs w:val="32"/>
          <w:lang w:val="en-US" w:eastAsia="zh-CN"/>
        </w:rPr>
        <w:t>收入较上年减少</w:t>
      </w:r>
      <w:r>
        <w:rPr>
          <w:rFonts w:hint="eastAsia" w:ascii="仿宋_GB2312" w:hAnsi="Times New Roman" w:eastAsia="仿宋_GB2312" w:cs="仿宋_GB2312"/>
          <w:kern w:val="0"/>
          <w:sz w:val="32"/>
          <w:szCs w:val="32"/>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财政拨款支出</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519.75万元，</w:t>
      </w:r>
      <w:r>
        <w:rPr>
          <w:rFonts w:hint="eastAsia" w:ascii="仿宋_GB2312" w:hAnsi="Times New Roman" w:eastAsia="仿宋_GB2312" w:cs="仿宋_GB2312"/>
          <w:sz w:val="32"/>
          <w:szCs w:val="32"/>
        </w:rPr>
        <w:t>其中：年末财政拨款结转和结余</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万元，财政拨款本年支出</w:t>
      </w:r>
      <w:r>
        <w:rPr>
          <w:rFonts w:hint="eastAsia" w:ascii="仿宋_GB2312" w:hAnsi="Times New Roman" w:eastAsia="仿宋_GB2312" w:cs="仿宋_GB2312"/>
          <w:kern w:val="0"/>
          <w:sz w:val="32"/>
          <w:szCs w:val="32"/>
        </w:rPr>
        <w:t>519.75</w:t>
      </w:r>
      <w:r>
        <w:rPr>
          <w:rFonts w:hint="eastAsia" w:ascii="仿宋_GB2312" w:hAnsi="Times New Roman" w:eastAsia="仿宋_GB2312" w:cs="仿宋_GB2312"/>
          <w:sz w:val="32"/>
          <w:szCs w:val="32"/>
        </w:rPr>
        <w:t>万元。财政拨款支出总计</w:t>
      </w:r>
      <w:r>
        <w:rPr>
          <w:rFonts w:hint="eastAsia" w:ascii="仿宋_GB2312" w:hAnsi="Times New Roman" w:eastAsia="仿宋_GB2312" w:cs="仿宋_GB2312"/>
          <w:kern w:val="0"/>
          <w:sz w:val="32"/>
          <w:szCs w:val="32"/>
        </w:rPr>
        <w:t>与上年相比，减少89.85万元，下降14.74%，主要原因是：</w:t>
      </w:r>
      <w:r>
        <w:rPr>
          <w:rFonts w:hint="eastAsia" w:ascii="仿宋_GB2312" w:hAnsi="Times New Roman" w:eastAsia="仿宋_GB2312" w:cs="仿宋_GB2312"/>
          <w:sz w:val="32"/>
          <w:szCs w:val="32"/>
          <w:lang w:val="en-US" w:eastAsia="zh-CN"/>
        </w:rPr>
        <w:t>本年门诊部未开放</w:t>
      </w:r>
      <w:r>
        <w:rPr>
          <w:rFonts w:hint="eastAsia" w:ascii="仿宋_GB2312" w:hAnsi="Times New Roman" w:eastAsia="仿宋_GB2312" w:cs="仿宋_GB2312"/>
          <w:sz w:val="32"/>
          <w:szCs w:val="32"/>
        </w:rPr>
        <w:t>，药品材料等各类医疗物资</w:t>
      </w:r>
      <w:r>
        <w:rPr>
          <w:rFonts w:hint="eastAsia" w:ascii="仿宋_GB2312" w:hAnsi="Times New Roman" w:eastAsia="仿宋_GB2312" w:cs="仿宋_GB2312"/>
          <w:sz w:val="32"/>
          <w:szCs w:val="32"/>
          <w:lang w:val="en-US" w:eastAsia="zh-CN"/>
        </w:rPr>
        <w:t>资金减少，减少</w:t>
      </w:r>
      <w:r>
        <w:rPr>
          <w:rFonts w:hint="eastAsia" w:ascii="仿宋_GB2312" w:hAnsi="Times New Roman" w:eastAsia="仿宋_GB2312" w:cs="仿宋_GB2312"/>
          <w:sz w:val="32"/>
          <w:szCs w:val="32"/>
        </w:rPr>
        <w:t>米东区矿业医院财政补助资金</w:t>
      </w:r>
      <w:r>
        <w:rPr>
          <w:rFonts w:hint="eastAsia" w:ascii="仿宋_GB2312" w:hAnsi="Times New Roman" w:eastAsia="仿宋_GB2312" w:cs="仿宋_GB2312"/>
          <w:sz w:val="32"/>
          <w:szCs w:val="32"/>
          <w:lang w:eastAsia="zh-CN"/>
        </w:rPr>
        <w:t>，</w:t>
      </w:r>
      <w:r>
        <w:rPr>
          <w:rFonts w:hint="eastAsia" w:ascii="仿宋_GB2312" w:hAnsi="Times New Roman" w:eastAsia="仿宋_GB2312" w:cs="仿宋_GB2312"/>
          <w:sz w:val="32"/>
          <w:szCs w:val="32"/>
          <w:lang w:val="en-US" w:eastAsia="zh-CN"/>
        </w:rPr>
        <w:t>支出较上年减少</w:t>
      </w:r>
      <w:r>
        <w:rPr>
          <w:rFonts w:hint="eastAsia" w:ascii="仿宋_GB2312" w:hAnsi="Times New Roman" w:eastAsia="仿宋_GB2312" w:cs="仿宋_GB2312"/>
          <w:kern w:val="0"/>
          <w:sz w:val="32"/>
          <w:szCs w:val="32"/>
        </w:rPr>
        <w:t>。</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与年初预算数相比情况：财政拨款收入</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年初预算数343.75万元，决算数519.75万元，预决算差异率51.20%，主要原因是：我单位</w:t>
      </w:r>
      <w:r>
        <w:rPr>
          <w:rFonts w:hint="eastAsia" w:ascii="仿宋_GB2312" w:hAnsi="Times New Roman" w:eastAsia="仿宋_GB2312" w:cs="仿宋_GB2312"/>
          <w:kern w:val="0"/>
          <w:sz w:val="32"/>
          <w:szCs w:val="32"/>
          <w:lang w:val="en-US" w:eastAsia="zh-CN"/>
        </w:rPr>
        <w:t>本年追加生活补助和其他对个人家庭的补助，导致预决算有差异</w:t>
      </w:r>
      <w:r>
        <w:rPr>
          <w:rFonts w:hint="eastAsia" w:ascii="仿宋_GB2312" w:hAnsi="Times New Roman" w:eastAsia="仿宋_GB2312" w:cs="仿宋_GB2312"/>
          <w:kern w:val="0"/>
          <w:sz w:val="32"/>
          <w:szCs w:val="32"/>
        </w:rPr>
        <w:t>。财政拨款支出</w:t>
      </w:r>
      <w:r>
        <w:rPr>
          <w:rFonts w:hint="eastAsia" w:ascii="仿宋_GB2312" w:hAnsi="Times New Roman" w:eastAsia="仿宋_GB2312" w:cs="仿宋_GB2312"/>
          <w:sz w:val="32"/>
          <w:szCs w:val="32"/>
        </w:rPr>
        <w:t>总计</w:t>
      </w:r>
      <w:r>
        <w:rPr>
          <w:rFonts w:hint="eastAsia" w:ascii="仿宋_GB2312" w:hAnsi="Times New Roman" w:eastAsia="仿宋_GB2312" w:cs="仿宋_GB2312"/>
          <w:kern w:val="0"/>
          <w:sz w:val="32"/>
          <w:szCs w:val="32"/>
        </w:rPr>
        <w:t>年初预算数343.75万元，决算数519.75万元，预决算差异率51.20%，主要原因是：我单位2022年自治区专项经费（其他企业改革发展补助支出-对个人和家庭补助）资金为</w:t>
      </w:r>
      <w:r>
        <w:rPr>
          <w:rFonts w:hint="eastAsia" w:ascii="仿宋_GB2312" w:hAnsi="Times New Roman" w:eastAsia="仿宋_GB2312" w:cs="仿宋_GB2312"/>
          <w:kern w:val="0"/>
          <w:sz w:val="32"/>
          <w:szCs w:val="32"/>
          <w:lang w:val="en-US" w:eastAsia="zh-CN"/>
        </w:rPr>
        <w:t>本年年终追加经费</w:t>
      </w:r>
      <w:r>
        <w:rPr>
          <w:rFonts w:hint="eastAsia" w:ascii="仿宋_GB2312" w:hAnsi="Times New Roman" w:eastAsia="仿宋_GB2312" w:cs="仿宋_GB2312"/>
          <w:kern w:val="0"/>
          <w:sz w:val="32"/>
          <w:szCs w:val="32"/>
        </w:rPr>
        <w:t>，</w:t>
      </w:r>
      <w:r>
        <w:rPr>
          <w:rFonts w:hint="eastAsia" w:ascii="仿宋_GB2312" w:hAnsi="Times New Roman" w:eastAsia="仿宋_GB2312" w:cs="仿宋_GB2312"/>
          <w:kern w:val="0"/>
          <w:sz w:val="32"/>
          <w:szCs w:val="32"/>
          <w:lang w:val="en-US" w:eastAsia="zh-CN"/>
        </w:rPr>
        <w:t>且追加生活补助，支出增加，导致预决算有差异</w:t>
      </w:r>
      <w:r>
        <w:rPr>
          <w:rFonts w:hint="eastAsia" w:ascii="仿宋_GB2312" w:hAnsi="Times New Roman" w:eastAsia="仿宋_GB2312" w:cs="仿宋_GB2312"/>
          <w:kern w:val="0"/>
          <w:sz w:val="32"/>
          <w:szCs w:val="32"/>
        </w:rPr>
        <w:t>。</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五、一般公共预算财政拨款支出决算情况说明</w:t>
      </w:r>
    </w:p>
    <w:p>
      <w:pPr>
        <w:autoSpaceDE w:val="0"/>
        <w:autoSpaceDN w:val="0"/>
        <w:adjustRightInd w:val="0"/>
        <w:ind w:firstLine="640"/>
        <w:outlineLvl w:val="2"/>
        <w:rPr>
          <w:rFonts w:hint="default" w:ascii="Times New Roman" w:hAnsi="Times New Roman" w:eastAsia="黑体"/>
          <w:sz w:val="32"/>
          <w:szCs w:val="32"/>
        </w:rPr>
      </w:pPr>
      <w:r>
        <w:rPr>
          <w:rFonts w:hint="eastAsia" w:ascii="黑体" w:hAnsi="Times New Roman" w:eastAsia="黑体" w:cs="黑体"/>
          <w:sz w:val="32"/>
          <w:szCs w:val="32"/>
        </w:rPr>
        <w:t>（一）一般公共预算财政拨款支出决算总体情况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sz w:val="32"/>
          <w:szCs w:val="32"/>
        </w:rPr>
        <w:t>2022年度一般公共预算财政拨款支出</w:t>
      </w:r>
      <w:r>
        <w:rPr>
          <w:rFonts w:hint="eastAsia" w:ascii="仿宋_GB2312" w:hAnsi="Times New Roman" w:eastAsia="仿宋_GB2312" w:cs="仿宋_GB2312"/>
          <w:kern w:val="0"/>
          <w:sz w:val="32"/>
          <w:szCs w:val="32"/>
        </w:rPr>
        <w:t>519.75</w:t>
      </w:r>
      <w:r>
        <w:rPr>
          <w:rFonts w:hint="eastAsia" w:ascii="仿宋_GB2312" w:hAnsi="Times New Roman" w:eastAsia="仿宋_GB2312" w:cs="仿宋_GB2312"/>
          <w:sz w:val="32"/>
          <w:szCs w:val="32"/>
        </w:rPr>
        <w:t>万元，占本年支出合计的</w:t>
      </w:r>
      <w:r>
        <w:rPr>
          <w:rFonts w:hint="eastAsia" w:ascii="仿宋_GB2312" w:hAnsi="Times New Roman" w:eastAsia="仿宋_GB2312" w:cs="仿宋_GB2312"/>
          <w:kern w:val="0"/>
          <w:sz w:val="32"/>
          <w:szCs w:val="32"/>
        </w:rPr>
        <w:t>100.00%</w:t>
      </w:r>
      <w:r>
        <w:rPr>
          <w:rFonts w:hint="eastAsia" w:ascii="仿宋_GB2312" w:hAnsi="Times New Roman" w:eastAsia="仿宋_GB2312" w:cs="仿宋_GB2312"/>
          <w:sz w:val="32"/>
          <w:szCs w:val="32"/>
        </w:rPr>
        <w:t>，与上年相比，</w:t>
      </w:r>
      <w:r>
        <w:rPr>
          <w:rFonts w:hint="eastAsia" w:ascii="仿宋_GB2312" w:hAnsi="Times New Roman" w:eastAsia="仿宋_GB2312" w:cs="仿宋_GB2312"/>
          <w:kern w:val="0"/>
          <w:sz w:val="32"/>
          <w:szCs w:val="32"/>
        </w:rPr>
        <w:t>增加265.10万元，增长104.10%，主要原因是：</w:t>
      </w:r>
      <w:r>
        <w:rPr>
          <w:rFonts w:hint="eastAsia" w:ascii="仿宋_GB2312" w:hAnsi="Times New Roman" w:eastAsia="仿宋_GB2312" w:cs="仿宋_GB2312"/>
          <w:kern w:val="0"/>
          <w:sz w:val="32"/>
          <w:szCs w:val="32"/>
          <w:lang w:val="en-US" w:eastAsia="zh-CN"/>
        </w:rPr>
        <w:t>本年临聘人员减少，相关劳务费减少</w:t>
      </w:r>
      <w:r>
        <w:rPr>
          <w:rFonts w:hint="eastAsia" w:ascii="仿宋_GB2312" w:hAnsi="Times New Roman" w:eastAsia="仿宋_GB2312" w:cs="仿宋_GB2312"/>
          <w:kern w:val="0"/>
          <w:sz w:val="32"/>
          <w:szCs w:val="32"/>
        </w:rPr>
        <w:t>。</w:t>
      </w:r>
    </w:p>
    <w:p>
      <w:pPr>
        <w:autoSpaceDE w:val="0"/>
        <w:autoSpaceDN w:val="0"/>
        <w:adjustRightInd w:val="0"/>
        <w:ind w:firstLine="640"/>
        <w:outlineLvl w:val="2"/>
        <w:rPr>
          <w:rFonts w:hint="default" w:ascii="Times New Roman" w:hAnsi="Times New Roman" w:eastAsia="黑体"/>
          <w:sz w:val="32"/>
          <w:szCs w:val="32"/>
        </w:rPr>
      </w:pPr>
      <w:r>
        <w:rPr>
          <w:rFonts w:hint="eastAsia" w:ascii="黑体" w:hAnsi="Times New Roman" w:eastAsia="黑体" w:cs="黑体"/>
          <w:sz w:val="32"/>
          <w:szCs w:val="32"/>
        </w:rPr>
        <w:t>（二）一般公共预算财政拨款支出决算结构情况</w:t>
      </w:r>
    </w:p>
    <w:p>
      <w:pPr>
        <w:autoSpaceDE w:val="0"/>
        <w:autoSpaceDN w:val="0"/>
        <w:adjustRightInd w:val="0"/>
        <w:spacing w:line="600" w:lineRule="exact"/>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1.社会保障和就业支出（类）324.26万元，占62.39%；</w:t>
      </w:r>
    </w:p>
    <w:p>
      <w:pPr>
        <w:autoSpaceDE w:val="0"/>
        <w:autoSpaceDN w:val="0"/>
        <w:adjustRightInd w:val="0"/>
        <w:spacing w:line="600" w:lineRule="exact"/>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2.卫生健康支出（类）195.49万元，占37.61%。</w:t>
      </w:r>
    </w:p>
    <w:p>
      <w:pPr>
        <w:autoSpaceDE w:val="0"/>
        <w:autoSpaceDN w:val="0"/>
        <w:adjustRightInd w:val="0"/>
        <w:ind w:firstLine="640"/>
        <w:outlineLvl w:val="2"/>
        <w:rPr>
          <w:rFonts w:hint="default" w:ascii="Times New Roman" w:hAnsi="Times New Roman" w:eastAsia="黑体"/>
          <w:sz w:val="32"/>
          <w:szCs w:val="32"/>
        </w:rPr>
      </w:pPr>
      <w:r>
        <w:rPr>
          <w:rFonts w:hint="eastAsia" w:ascii="黑体" w:hAnsi="Times New Roman" w:eastAsia="黑体" w:cs="黑体"/>
          <w:sz w:val="32"/>
          <w:szCs w:val="32"/>
        </w:rPr>
        <w:t>（三）一般公共预算财政拨款支出决算具体情况</w:t>
      </w:r>
    </w:p>
    <w:p>
      <w:pPr>
        <w:autoSpaceDE w:val="0"/>
        <w:autoSpaceDN w:val="0"/>
        <w:adjustRightInd w:val="0"/>
        <w:spacing w:line="360" w:lineRule="auto"/>
        <w:ind w:firstLine="64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1.社会保障和就业支出（类）民政管理事务（款）基层政权建设和社区治理（项）:支出决算数为0.00万元，比上年决算减少0.90万元，下降100.00%，主要原因是：本年单位未支出访惠聚为民办实事经费；</w:t>
      </w:r>
    </w:p>
    <w:p>
      <w:pPr>
        <w:autoSpaceDE w:val="0"/>
        <w:autoSpaceDN w:val="0"/>
        <w:adjustRightInd w:val="0"/>
        <w:spacing w:line="360" w:lineRule="auto"/>
        <w:ind w:firstLine="64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2.社会保障和就业支出（类）行政事业单位养老支出（款）机关事业单位基本养老保险缴费支出（项）:支出决算数为35.01万元，比上年决算减少3.77万元，下降9.72%，主要原因是：本年退休3人，</w:t>
      </w:r>
      <w:r>
        <w:rPr>
          <w:rFonts w:hint="eastAsia" w:ascii="仿宋_GB2312" w:hAnsi="Times New Roman" w:eastAsia="仿宋_GB2312" w:cs="仿宋_GB2312"/>
          <w:sz w:val="32"/>
          <w:szCs w:val="32"/>
          <w:lang w:val="en-US" w:eastAsia="zh-CN"/>
        </w:rPr>
        <w:t>养老保险缴费减少</w:t>
      </w:r>
      <w:r>
        <w:rPr>
          <w:rFonts w:hint="eastAsia" w:ascii="仿宋_GB2312" w:hAnsi="Times New Roman" w:eastAsia="仿宋_GB2312" w:cs="仿宋_GB2312"/>
          <w:sz w:val="32"/>
          <w:szCs w:val="32"/>
        </w:rPr>
        <w:t>；</w:t>
      </w:r>
    </w:p>
    <w:p>
      <w:pPr>
        <w:autoSpaceDE w:val="0"/>
        <w:autoSpaceDN w:val="0"/>
        <w:adjustRightInd w:val="0"/>
        <w:spacing w:line="360" w:lineRule="auto"/>
        <w:ind w:firstLine="64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3.社会保障和就业支出（类）行政事业单位养老支出（款）机关事业单位职业年金缴费支出（项）:支出决算数为10.38万元，比上年决算减少9.01万元，下降46.47%，主要原因是：</w:t>
      </w:r>
      <w:r>
        <w:rPr>
          <w:rFonts w:hint="eastAsia" w:ascii="仿宋_GB2312" w:hAnsi="Times New Roman" w:eastAsia="仿宋_GB2312" w:cs="仿宋_GB2312"/>
          <w:sz w:val="32"/>
          <w:szCs w:val="32"/>
          <w:lang w:val="en-US" w:eastAsia="zh-CN"/>
        </w:rPr>
        <w:t>部分职业年金缴费调入2100201列支，此功能科目支出减少</w:t>
      </w:r>
      <w:r>
        <w:rPr>
          <w:rFonts w:hint="eastAsia" w:ascii="仿宋_GB2312" w:hAnsi="Times New Roman" w:eastAsia="仿宋_GB2312" w:cs="仿宋_GB2312"/>
          <w:sz w:val="32"/>
          <w:szCs w:val="32"/>
        </w:rPr>
        <w:t>；</w:t>
      </w:r>
    </w:p>
    <w:p>
      <w:pPr>
        <w:autoSpaceDE w:val="0"/>
        <w:autoSpaceDN w:val="0"/>
        <w:adjustRightInd w:val="0"/>
        <w:spacing w:line="360" w:lineRule="auto"/>
        <w:ind w:firstLine="64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4.社会保障和就业支出（类）企业改革补助（款）其他企业改革发展补助（项）:支出决算数为278.87万元，比上年决算增加137.05万元，增长96.64%，主要原因是：</w:t>
      </w:r>
      <w:r>
        <w:rPr>
          <w:rFonts w:hint="eastAsia" w:ascii="仿宋_GB2312" w:hAnsi="Times New Roman" w:eastAsia="仿宋_GB2312" w:cs="仿宋_GB2312"/>
          <w:kern w:val="0"/>
          <w:sz w:val="32"/>
          <w:szCs w:val="32"/>
          <w:lang w:val="en-US" w:eastAsia="zh-CN"/>
        </w:rPr>
        <w:t>本年生活补助较上年大幅增加，此项支出增加</w:t>
      </w:r>
      <w:r>
        <w:rPr>
          <w:rFonts w:hint="eastAsia" w:ascii="仿宋_GB2312" w:hAnsi="Times New Roman" w:eastAsia="仿宋_GB2312" w:cs="仿宋_GB2312"/>
          <w:sz w:val="32"/>
          <w:szCs w:val="32"/>
        </w:rPr>
        <w:t>；</w:t>
      </w:r>
    </w:p>
    <w:p>
      <w:pPr>
        <w:autoSpaceDE w:val="0"/>
        <w:autoSpaceDN w:val="0"/>
        <w:adjustRightInd w:val="0"/>
        <w:spacing w:line="360" w:lineRule="auto"/>
        <w:ind w:firstLine="64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5.卫生健康支出（类）公立医院（款）综合医院（项）:支出决算数为195.49万元，比上年决算增加141.73万元，增长263.63%，主要原因是：</w:t>
      </w:r>
      <w:r>
        <w:rPr>
          <w:rFonts w:hint="eastAsia" w:ascii="仿宋_GB2312" w:hAnsi="Times New Roman" w:eastAsia="仿宋_GB2312" w:cs="仿宋_GB2312"/>
          <w:kern w:val="0"/>
          <w:sz w:val="32"/>
          <w:szCs w:val="32"/>
          <w:lang w:val="en-US" w:eastAsia="zh-CN"/>
        </w:rPr>
        <w:t>本年生活补助较上年大幅增加，此项支出增加</w:t>
      </w:r>
      <w:r>
        <w:rPr>
          <w:rFonts w:hint="eastAsia" w:ascii="仿宋_GB2312" w:hAnsi="Times New Roman" w:eastAsia="仿宋_GB2312" w:cs="仿宋_GB2312"/>
          <w:sz w:val="32"/>
          <w:szCs w:val="32"/>
        </w:rPr>
        <w:t>。</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六、一般公共预算财政拨款基本支出决算情况说明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2022年度一般公共预算财政拨款基本支出519.75万元，其中：</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人员经费519.75万元，包括：基本工资、津贴补贴、奖金、机关事业单位基本养老保险缴费、职业年金缴费、职工基本医疗保险缴费、公务员医疗补助缴费、生活补助、奖励金。</w:t>
      </w:r>
    </w:p>
    <w:p>
      <w:pPr>
        <w:autoSpaceDE w:val="0"/>
        <w:autoSpaceDN w:val="0"/>
        <w:adjustRightInd w:val="0"/>
        <w:spacing w:line="360" w:lineRule="auto"/>
        <w:ind w:firstLine="640"/>
        <w:rPr>
          <w:rFonts w:hint="eastAsia" w:ascii="仿宋_GB2312" w:hAnsi="Times New Roman" w:eastAsia="仿宋_GB2312" w:cs="仿宋_GB2312"/>
          <w:kern w:val="0"/>
          <w:sz w:val="32"/>
          <w:szCs w:val="32"/>
        </w:rPr>
      </w:pPr>
      <w:r>
        <w:rPr>
          <w:rFonts w:hint="eastAsia" w:ascii="仿宋_GB2312" w:hAnsi="Times New Roman" w:eastAsia="仿宋_GB2312" w:cs="仿宋_GB2312"/>
          <w:kern w:val="0"/>
          <w:sz w:val="32"/>
          <w:szCs w:val="32"/>
        </w:rPr>
        <w:t>公用经费0.00万元。</w:t>
      </w:r>
    </w:p>
    <w:p>
      <w:pPr>
        <w:autoSpaceDE w:val="0"/>
        <w:autoSpaceDN w:val="0"/>
        <w:adjustRightInd w:val="0"/>
        <w:spacing w:line="360" w:lineRule="auto"/>
        <w:ind w:firstLine="640"/>
        <w:outlineLvl w:val="1"/>
        <w:rPr>
          <w:rFonts w:hint="default" w:ascii="Times New Roman" w:hAnsi="Times New Roman" w:eastAsia="黑体"/>
          <w:sz w:val="32"/>
          <w:szCs w:val="32"/>
        </w:rPr>
      </w:pPr>
      <w:r>
        <w:rPr>
          <w:rFonts w:hint="eastAsia" w:ascii="黑体" w:hAnsi="Times New Roman" w:eastAsia="黑体" w:cs="黑体"/>
          <w:sz w:val="32"/>
          <w:szCs w:val="32"/>
          <w:lang w:val="zh-CN"/>
        </w:rPr>
        <w:t>七、财政拨款</w:t>
      </w:r>
      <w:r>
        <w:rPr>
          <w:rFonts w:hint="default" w:ascii="Times New Roman" w:hAnsi="Times New Roman" w:eastAsia="黑体" w:cs="黑体"/>
          <w:kern w:val="0"/>
          <w:sz w:val="32"/>
          <w:szCs w:val="32"/>
        </w:rPr>
        <w:t>“</w:t>
      </w:r>
      <w:r>
        <w:rPr>
          <w:rFonts w:hint="eastAsia" w:ascii="黑体" w:hAnsi="Times New Roman" w:eastAsia="黑体" w:cs="黑体"/>
          <w:kern w:val="0"/>
          <w:sz w:val="32"/>
          <w:szCs w:val="32"/>
        </w:rPr>
        <w:t>三公</w:t>
      </w:r>
      <w:r>
        <w:rPr>
          <w:rFonts w:hint="default" w:ascii="Times New Roman" w:hAnsi="Times New Roman" w:eastAsia="黑体" w:cs="黑体"/>
          <w:kern w:val="0"/>
          <w:sz w:val="32"/>
          <w:szCs w:val="32"/>
        </w:rPr>
        <w:t>”</w:t>
      </w:r>
      <w:r>
        <w:rPr>
          <w:rFonts w:hint="eastAsia" w:ascii="黑体" w:hAnsi="Times New Roman" w:eastAsia="黑体" w:cs="黑体"/>
          <w:sz w:val="32"/>
          <w:szCs w:val="32"/>
          <w:lang w:val="zh-CN"/>
        </w:rPr>
        <w:t>经费支出决算情况说明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w:t>
      </w:r>
      <w:r>
        <w:rPr>
          <w:rFonts w:hint="eastAsia" w:ascii="仿宋_GB2312" w:hAnsi="Times New Roman" w:eastAsia="仿宋_GB2312" w:cs="仿宋_GB2312"/>
          <w:sz w:val="32"/>
          <w:szCs w:val="32"/>
        </w:rPr>
        <w:t>财政拨款</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三公</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经费支出决算0.00万元，比上年增加0.00万元，增长0.00%，主要原因是：本年单位无</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三公</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经费支出。其中：因公出国（境）费支出0.00万元，占0.00%，比上年增加0.00万元，增长0.00%，主要原因是：本年单位无因公出国（境）费支出；公务用车购置及运行维护费支出0.00万元，占0.00%，比上年增加0.00万元，增长0.00%，主要原因是：本年单位无公务用车购置及运行维护费支出；公务接待费支出0.00万元，占0.00%，比上年增加0.00万元，增长0.00%，主要原因是：本年单位无公务接待费支出。具体情况如下：</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因公出国（境）费支出0.00万元，开支内容包括本年单位无因公出国（境）费支出。单位全年安排的因公出国（境）团组0个，因公出国（境）0人次。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公务用车购置及运行维护费0.00万元，其中：公务用车购置费0.00万元，公务用车运行维护费0.00万元。公务用车运行维护费开支内容包括</w:t>
      </w:r>
      <w:r>
        <w:rPr>
          <w:rFonts w:hint="eastAsia" w:ascii="仿宋_GB2312" w:hAnsi="Times New Roman" w:eastAsia="仿宋_GB2312" w:cs="仿宋_GB2312"/>
          <w:kern w:val="0"/>
          <w:sz w:val="32"/>
          <w:szCs w:val="32"/>
          <w:lang w:val="en-US" w:eastAsia="zh-CN"/>
        </w:rPr>
        <w:t>本年单位无此项支出</w:t>
      </w:r>
      <w:r>
        <w:rPr>
          <w:rFonts w:hint="eastAsia" w:ascii="仿宋_GB2312" w:hAnsi="Times New Roman" w:eastAsia="仿宋_GB2312" w:cs="仿宋_GB2312"/>
          <w:kern w:val="0"/>
          <w:sz w:val="32"/>
          <w:szCs w:val="32"/>
        </w:rPr>
        <w:t>。公务用车购置数0辆，公务用车保有量0辆。</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公务接待费0.00万元，开支内容包括本年单位无公务接待费。单位全年安排的国内公务接待0批次，0人次。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与</w:t>
      </w:r>
      <w:r>
        <w:rPr>
          <w:rFonts w:hint="eastAsia" w:ascii="仿宋_GB2312" w:hAnsi="Times New Roman" w:eastAsia="仿宋_GB2312" w:cs="仿宋_GB2312"/>
          <w:sz w:val="32"/>
          <w:szCs w:val="32"/>
        </w:rPr>
        <w:t>全年</w:t>
      </w:r>
      <w:r>
        <w:rPr>
          <w:rFonts w:hint="eastAsia" w:ascii="仿宋_GB2312" w:hAnsi="Times New Roman" w:eastAsia="仿宋_GB2312" w:cs="仿宋_GB2312"/>
          <w:kern w:val="0"/>
          <w:sz w:val="32"/>
          <w:szCs w:val="32"/>
        </w:rPr>
        <w:t>预算</w:t>
      </w:r>
      <w:r>
        <w:rPr>
          <w:rFonts w:hint="eastAsia" w:ascii="仿宋_GB2312" w:hAnsi="Times New Roman" w:eastAsia="仿宋_GB2312" w:cs="仿宋_GB2312"/>
          <w:kern w:val="0"/>
          <w:sz w:val="32"/>
          <w:szCs w:val="32"/>
          <w:lang w:val="zh-CN"/>
        </w:rPr>
        <w:t>数</w:t>
      </w:r>
      <w:r>
        <w:rPr>
          <w:rFonts w:hint="eastAsia" w:ascii="仿宋_GB2312" w:hAnsi="Times New Roman" w:eastAsia="仿宋_GB2312" w:cs="仿宋_GB2312"/>
          <w:kern w:val="0"/>
          <w:sz w:val="32"/>
          <w:szCs w:val="32"/>
        </w:rPr>
        <w:t>相比情况</w:t>
      </w:r>
      <w:r>
        <w:rPr>
          <w:rFonts w:hint="eastAsia" w:ascii="仿宋_GB2312" w:hAnsi="Times New Roman" w:eastAsia="仿宋_GB2312" w:cs="仿宋_GB2312"/>
          <w:sz w:val="32"/>
          <w:szCs w:val="32"/>
        </w:rPr>
        <w:t>：</w:t>
      </w:r>
      <w:r>
        <w:rPr>
          <w:rFonts w:hint="default" w:ascii="Times New Roman" w:hAnsi="Times New Roman" w:eastAsia="仿宋_GB2312"/>
          <w:kern w:val="0"/>
          <w:sz w:val="32"/>
          <w:szCs w:val="32"/>
        </w:rPr>
        <w:t>“</w:t>
      </w:r>
      <w:r>
        <w:rPr>
          <w:rFonts w:hint="eastAsia" w:ascii="仿宋_GB2312" w:hAnsi="Times New Roman" w:eastAsia="仿宋_GB2312" w:cs="仿宋_GB2312"/>
          <w:kern w:val="0"/>
          <w:sz w:val="32"/>
          <w:szCs w:val="32"/>
        </w:rPr>
        <w:t>三公</w:t>
      </w:r>
      <w:r>
        <w:rPr>
          <w:rFonts w:hint="default" w:ascii="Times New Roman" w:hAnsi="Times New Roman" w:eastAsia="仿宋_GB2312"/>
          <w:kern w:val="0"/>
          <w:sz w:val="32"/>
          <w:szCs w:val="32"/>
        </w:rPr>
        <w:t>”</w:t>
      </w:r>
      <w:r>
        <w:rPr>
          <w:rFonts w:hint="eastAsia" w:ascii="仿宋_GB2312" w:hAnsi="Times New Roman" w:eastAsia="仿宋_GB2312" w:cs="仿宋_GB2312"/>
          <w:kern w:val="0"/>
          <w:sz w:val="32"/>
          <w:szCs w:val="32"/>
        </w:rPr>
        <w:t>经费支出</w:t>
      </w:r>
      <w:r>
        <w:rPr>
          <w:rFonts w:hint="eastAsia" w:ascii="仿宋_GB2312" w:hAnsi="Times New Roman" w:eastAsia="仿宋_GB2312" w:cs="仿宋_GB2312"/>
          <w:sz w:val="32"/>
          <w:szCs w:val="32"/>
        </w:rPr>
        <w:t>全年预算数</w:t>
      </w:r>
      <w:r>
        <w:rPr>
          <w:rFonts w:hint="eastAsia" w:ascii="仿宋_GB2312" w:hAnsi="Times New Roman" w:eastAsia="仿宋_GB2312" w:cs="仿宋_GB2312"/>
          <w:kern w:val="0"/>
          <w:sz w:val="32"/>
          <w:szCs w:val="32"/>
        </w:rPr>
        <w:t>0.00万元，决算数0.00万元，预决算差异率0.00%，主要原因是：本年单位无</w:t>
      </w:r>
      <w:r>
        <w:rPr>
          <w:rFonts w:hint="default" w:ascii="Times New Roman" w:hAnsi="Times New Roman" w:eastAsia="仿宋_GB2312"/>
          <w:kern w:val="0"/>
          <w:sz w:val="32"/>
          <w:szCs w:val="32"/>
        </w:rPr>
        <w:t>“</w:t>
      </w:r>
      <w:r>
        <w:rPr>
          <w:rFonts w:hint="eastAsia" w:ascii="仿宋_GB2312" w:hAnsi="Times New Roman" w:eastAsia="仿宋_GB2312" w:cs="仿宋_GB2312"/>
          <w:kern w:val="0"/>
          <w:sz w:val="32"/>
          <w:szCs w:val="32"/>
        </w:rPr>
        <w:t>三公</w:t>
      </w:r>
      <w:r>
        <w:rPr>
          <w:rFonts w:hint="default" w:ascii="Times New Roman" w:hAnsi="Times New Roman" w:eastAsia="仿宋_GB2312"/>
          <w:kern w:val="0"/>
          <w:sz w:val="32"/>
          <w:szCs w:val="32"/>
        </w:rPr>
        <w:t>”</w:t>
      </w:r>
      <w:r>
        <w:rPr>
          <w:rFonts w:hint="eastAsia" w:ascii="仿宋_GB2312" w:hAnsi="Times New Roman" w:eastAsia="仿宋_GB2312" w:cs="仿宋_GB2312"/>
          <w:kern w:val="0"/>
          <w:sz w:val="32"/>
          <w:szCs w:val="32"/>
        </w:rPr>
        <w:t>经费支出。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Times New Roman" w:eastAsia="仿宋_GB2312" w:cs="仿宋_GB2312"/>
          <w:kern w:val="0"/>
          <w:sz w:val="36"/>
          <w:szCs w:val="36"/>
        </w:rPr>
        <w:t>本年单位无</w:t>
      </w:r>
      <w:r>
        <w:rPr>
          <w:rFonts w:hint="eastAsia" w:ascii="仿宋_GB2312" w:hAnsi="Times New Roman" w:eastAsia="仿宋_GB2312" w:cs="仿宋_GB2312"/>
          <w:kern w:val="0"/>
          <w:sz w:val="32"/>
          <w:szCs w:val="32"/>
        </w:rPr>
        <w:t>公务用车购置费；公务用车运行费全年预算数0.00万元，决算数0.00万元，预决算差异率0.00%，主要原因是：本年单位无公务用车运行费；公务接待费全年预算数0.00万元，决算数0.00万元，预决算差异率0.00%，主要原因是：本年单位无公务接待费。</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八、政府性基金预算财政拨款收入支出决算情况说明</w:t>
      </w:r>
    </w:p>
    <w:p>
      <w:pPr>
        <w:shd w:val="clear" w:color="auto" w:fill="FFFFFF"/>
        <w:autoSpaceDE w:val="0"/>
        <w:autoSpaceDN w:val="0"/>
        <w:adjustRightInd w:val="0"/>
        <w:spacing w:line="360" w:lineRule="auto"/>
        <w:ind w:firstLine="640"/>
        <w:rPr>
          <w:rFonts w:hint="eastAsia" w:ascii="仿宋_GB2312" w:hAnsi="Times New Roman" w:eastAsia="仿宋_GB2312" w:cs="仿宋_GB2312"/>
          <w:kern w:val="0"/>
          <w:sz w:val="32"/>
          <w:szCs w:val="32"/>
          <w:highlight w:val="yellow"/>
        </w:rPr>
      </w:pPr>
      <w:r>
        <w:rPr>
          <w:rFonts w:hint="eastAsia" w:ascii="仿宋_GB2312" w:hAnsi="Times New Roman" w:eastAsia="仿宋_GB2312" w:cs="仿宋_GB2312"/>
          <w:kern w:val="0"/>
          <w:sz w:val="32"/>
          <w:szCs w:val="32"/>
        </w:rPr>
        <w:t>我单位本年度无政府性基金预算财政拨款收入、支出及结转和结余，政府性基金预算财政拨款收入支出决算表为空表。</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九、国有资本经营预算财政拨款收入支出决算情况说明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我单位本年度无国有资本经营预算财政拨款收入、支出及结转和结余，国有资本经营预算财政拨款收入支出决算表为空表。</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十、其他重要事项的情况说明</w:t>
      </w:r>
    </w:p>
    <w:p>
      <w:pPr>
        <w:autoSpaceDE w:val="0"/>
        <w:autoSpaceDN w:val="0"/>
        <w:adjustRightInd w:val="0"/>
        <w:spacing w:line="360" w:lineRule="auto"/>
        <w:ind w:firstLine="640"/>
        <w:outlineLvl w:val="2"/>
        <w:rPr>
          <w:rFonts w:hint="default" w:ascii="Times New Roman" w:hAnsi="Times New Roman" w:eastAsia="黑体"/>
          <w:sz w:val="32"/>
          <w:szCs w:val="32"/>
          <w:lang w:val="zh-CN"/>
        </w:rPr>
      </w:pPr>
      <w:r>
        <w:rPr>
          <w:rFonts w:hint="eastAsia" w:ascii="黑体" w:hAnsi="Times New Roman" w:eastAsia="黑体" w:cs="黑体"/>
          <w:sz w:val="32"/>
          <w:szCs w:val="32"/>
          <w:lang w:val="zh-CN"/>
        </w:rPr>
        <w:t>（一）机关运行经费支出情况</w:t>
      </w:r>
    </w:p>
    <w:p>
      <w:pPr>
        <w:autoSpaceDE w:val="0"/>
        <w:autoSpaceDN w:val="0"/>
        <w:adjustRightInd w:val="0"/>
        <w:spacing w:line="360" w:lineRule="auto"/>
        <w:ind w:firstLine="640"/>
        <w:rPr>
          <w:rFonts w:hint="default" w:ascii="Times New Roman" w:hAnsi="Times New Roman" w:eastAsia="仿宋_GB2312"/>
          <w:kern w:val="0"/>
          <w:sz w:val="32"/>
          <w:szCs w:val="32"/>
          <w:highlight w:val="yellow"/>
        </w:rPr>
      </w:pPr>
      <w:r>
        <w:rPr>
          <w:rFonts w:hint="eastAsia" w:ascii="仿宋_GB2312" w:hAnsi="Times New Roman" w:eastAsia="仿宋_GB2312" w:cs="仿宋_GB2312"/>
          <w:kern w:val="0"/>
          <w:sz w:val="32"/>
          <w:szCs w:val="32"/>
        </w:rPr>
        <w:t>2022年度乌鲁木齐市米东区矿业医院单位公用经费0.00万元，比上年减少153.89万元，下降100.00%，主要原因是：</w:t>
      </w:r>
      <w:r>
        <w:rPr>
          <w:rFonts w:hint="eastAsia" w:ascii="仿宋_GB2312" w:hAnsi="Times New Roman" w:eastAsia="仿宋_GB2312" w:cs="仿宋_GB2312"/>
          <w:kern w:val="0"/>
          <w:sz w:val="32"/>
          <w:szCs w:val="32"/>
          <w:lang w:val="en-US" w:eastAsia="zh-CN"/>
        </w:rPr>
        <w:t>本年单位无此项支出</w:t>
      </w:r>
      <w:r>
        <w:rPr>
          <w:rFonts w:hint="eastAsia" w:ascii="仿宋_GB2312" w:hAnsi="Times New Roman" w:eastAsia="仿宋_GB2312" w:cs="仿宋_GB2312"/>
          <w:kern w:val="0"/>
          <w:sz w:val="32"/>
          <w:szCs w:val="32"/>
        </w:rPr>
        <w:t>。</w:t>
      </w:r>
    </w:p>
    <w:p>
      <w:pPr>
        <w:autoSpaceDE w:val="0"/>
        <w:autoSpaceDN w:val="0"/>
        <w:adjustRightInd w:val="0"/>
        <w:spacing w:line="360" w:lineRule="auto"/>
        <w:ind w:firstLine="640"/>
        <w:outlineLvl w:val="2"/>
        <w:rPr>
          <w:rFonts w:hint="default" w:ascii="Times New Roman" w:hAnsi="Times New Roman" w:eastAsia="黑体"/>
          <w:sz w:val="32"/>
          <w:szCs w:val="32"/>
        </w:rPr>
      </w:pPr>
      <w:r>
        <w:rPr>
          <w:rFonts w:hint="eastAsia" w:ascii="黑体" w:hAnsi="Times New Roman" w:eastAsia="黑体" w:cs="黑体"/>
          <w:sz w:val="32"/>
          <w:szCs w:val="32"/>
        </w:rPr>
        <w:t>（</w:t>
      </w:r>
      <w:r>
        <w:rPr>
          <w:rFonts w:hint="eastAsia" w:ascii="黑体" w:hAnsi="Times New Roman" w:eastAsia="黑体" w:cs="黑体"/>
          <w:sz w:val="32"/>
          <w:szCs w:val="32"/>
          <w:lang w:val="zh-CN"/>
        </w:rPr>
        <w:t>二</w:t>
      </w:r>
      <w:r>
        <w:rPr>
          <w:rFonts w:hint="eastAsia" w:ascii="黑体" w:hAnsi="Times New Roman" w:eastAsia="黑体" w:cs="黑体"/>
          <w:sz w:val="32"/>
          <w:szCs w:val="32"/>
        </w:rPr>
        <w:t>）</w:t>
      </w:r>
      <w:r>
        <w:rPr>
          <w:rFonts w:hint="eastAsia" w:ascii="黑体" w:hAnsi="Times New Roman" w:eastAsia="黑体" w:cs="黑体"/>
          <w:sz w:val="32"/>
          <w:szCs w:val="32"/>
          <w:lang w:val="zh-CN"/>
        </w:rPr>
        <w:t>政府采购情况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2022年度政府采购支出总额0.00万元，其中：政府采购货物支出0.00万元、政府采购工程支出0.00万元、政府采购服务支出0.00万元。</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授予中小企业合同金额0.00万元，占政府采购支出总额的0.00%，其中：授予小微企业合同金额0.00万元，占政府采购支出总额的0.00%。</w:t>
      </w:r>
    </w:p>
    <w:p>
      <w:pPr>
        <w:autoSpaceDE w:val="0"/>
        <w:autoSpaceDN w:val="0"/>
        <w:adjustRightInd w:val="0"/>
        <w:spacing w:line="360" w:lineRule="auto"/>
        <w:ind w:firstLine="640"/>
        <w:outlineLvl w:val="2"/>
        <w:rPr>
          <w:rFonts w:hint="default" w:ascii="Times New Roman" w:hAnsi="Times New Roman" w:eastAsia="黑体"/>
          <w:sz w:val="32"/>
          <w:szCs w:val="32"/>
          <w:lang w:val="zh-CN"/>
        </w:rPr>
      </w:pPr>
      <w:r>
        <w:rPr>
          <w:rFonts w:hint="eastAsia" w:ascii="黑体" w:hAnsi="Times New Roman" w:eastAsia="黑体" w:cs="黑体"/>
          <w:sz w:val="32"/>
          <w:szCs w:val="32"/>
          <w:lang w:val="zh-CN"/>
        </w:rPr>
        <w:t>（三）国有资产占用情况说明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截止2022年12月31日，</w:t>
      </w:r>
      <w:r>
        <w:rPr>
          <w:rFonts w:hint="eastAsia" w:ascii="仿宋_GB2312" w:hAnsi="Times New Roman" w:eastAsia="仿宋_GB2312" w:cs="仿宋_GB2312"/>
          <w:sz w:val="32"/>
          <w:szCs w:val="32"/>
        </w:rPr>
        <w:t>固定资产原值</w:t>
      </w:r>
      <w:r>
        <w:rPr>
          <w:rFonts w:hint="eastAsia" w:ascii="仿宋_GB2312" w:hAnsi="Times New Roman" w:eastAsia="仿宋_GB2312" w:cs="仿宋_GB2312"/>
          <w:kern w:val="0"/>
          <w:sz w:val="32"/>
          <w:szCs w:val="32"/>
        </w:rPr>
        <w:t>1,549.64</w:t>
      </w:r>
      <w:r>
        <w:rPr>
          <w:rFonts w:hint="eastAsia" w:ascii="仿宋_GB2312" w:hAnsi="Times New Roman" w:eastAsia="仿宋_GB2312" w:cs="仿宋_GB2312"/>
          <w:sz w:val="32"/>
          <w:szCs w:val="32"/>
        </w:rPr>
        <w:t>万元，</w:t>
      </w:r>
      <w:r>
        <w:rPr>
          <w:rFonts w:hint="eastAsia" w:ascii="仿宋_GB2312" w:hAnsi="Times New Roman" w:eastAsia="仿宋_GB2312" w:cs="仿宋_GB2312"/>
          <w:kern w:val="0"/>
          <w:sz w:val="32"/>
          <w:szCs w:val="32"/>
        </w:rPr>
        <w:t>房屋2,237.87平方米，价值53.66万元。车辆5辆，价值99.71万元，其中：副部（省）级及以上领导用车0辆、主要领导干部用车0辆、机要通信用车0辆、应急保障用车0辆、执法执勤用车0辆、特种专业技术用车4辆、离退休干部用车0辆、其他用车1辆，其他用车主要是：医院开展工作用车；单价100</w:t>
      </w:r>
      <w:r>
        <w:rPr>
          <w:rFonts w:hint="eastAsia" w:ascii="仿宋_GB2312" w:hAnsi="Times New Roman" w:eastAsia="仿宋_GB2312" w:cs="仿宋_GB2312"/>
          <w:sz w:val="32"/>
          <w:szCs w:val="32"/>
        </w:rPr>
        <w:t>万元（含）以上设备（不含车辆）</w:t>
      </w:r>
      <w:r>
        <w:rPr>
          <w:rFonts w:hint="eastAsia" w:ascii="仿宋_GB2312" w:hAnsi="Times New Roman" w:eastAsia="仿宋_GB2312" w:cs="仿宋_GB2312"/>
          <w:kern w:val="0"/>
          <w:sz w:val="32"/>
          <w:szCs w:val="32"/>
        </w:rPr>
        <w:t>1台（套）。</w:t>
      </w:r>
    </w:p>
    <w:p>
      <w:pPr>
        <w:autoSpaceDE w:val="0"/>
        <w:autoSpaceDN w:val="0"/>
        <w:adjustRightInd w:val="0"/>
        <w:spacing w:line="360" w:lineRule="auto"/>
        <w:ind w:firstLine="640"/>
        <w:outlineLvl w:val="1"/>
        <w:rPr>
          <w:rFonts w:hint="default" w:ascii="Times New Roman" w:hAnsi="Times New Roman" w:eastAsia="黑体"/>
          <w:sz w:val="32"/>
          <w:szCs w:val="32"/>
          <w:lang w:val="zh-CN"/>
        </w:rPr>
      </w:pPr>
      <w:r>
        <w:rPr>
          <w:rFonts w:hint="eastAsia" w:ascii="黑体" w:hAnsi="Times New Roman" w:eastAsia="黑体" w:cs="黑体"/>
          <w:sz w:val="32"/>
          <w:szCs w:val="32"/>
          <w:lang w:val="zh-CN"/>
        </w:rPr>
        <w:t>十一、预算绩效的情况说明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根据预算绩效管理要求，我单位2022年度开展预算绩效评价项目0个，</w:t>
      </w:r>
      <w:r>
        <w:rPr>
          <w:rFonts w:hint="eastAsia" w:ascii="仿宋_GB2312" w:hAnsi="Times New Roman" w:eastAsia="仿宋_GB2312" w:cs="仿宋_GB2312"/>
          <w:sz w:val="32"/>
          <w:szCs w:val="32"/>
        </w:rPr>
        <w:t>全年预算数</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万元，全年执行数</w:t>
      </w:r>
      <w:r>
        <w:rPr>
          <w:rFonts w:hint="eastAsia" w:ascii="仿宋_GB2312" w:hAnsi="Times New Roman" w:eastAsia="仿宋_GB2312" w:cs="仿宋_GB2312"/>
          <w:kern w:val="0"/>
          <w:sz w:val="32"/>
          <w:szCs w:val="32"/>
        </w:rPr>
        <w:t>0.00</w:t>
      </w:r>
      <w:r>
        <w:rPr>
          <w:rFonts w:hint="eastAsia" w:ascii="仿宋_GB2312" w:hAnsi="Times New Roman" w:eastAsia="仿宋_GB2312" w:cs="仿宋_GB2312"/>
          <w:sz w:val="32"/>
          <w:szCs w:val="32"/>
        </w:rPr>
        <w:t>万元。</w:t>
      </w:r>
      <w:r>
        <w:rPr>
          <w:rFonts w:hint="eastAsia" w:ascii="仿宋_GB2312" w:hAnsi="Times New Roman" w:eastAsia="仿宋_GB2312" w:cs="仿宋_GB2312"/>
          <w:kern w:val="0"/>
          <w:sz w:val="32"/>
          <w:szCs w:val="32"/>
        </w:rPr>
        <w:t>预算绩效管理取得的成效：</w:t>
      </w:r>
      <w:r>
        <w:rPr>
          <w:rFonts w:hint="default" w:ascii="仿宋_GB2312" w:eastAsia="仿宋_GB2312"/>
          <w:sz w:val="32"/>
          <w:szCs w:val="32"/>
        </w:rPr>
        <w:t>我单位2022年度无预算绩效项目</w:t>
      </w:r>
      <w:r>
        <w:rPr>
          <w:rFonts w:hint="eastAsia" w:ascii="仿宋_GB2312" w:hAnsi="Times New Roman" w:eastAsia="仿宋_GB2312" w:cs="仿宋_GB2312"/>
          <w:kern w:val="0"/>
          <w:sz w:val="32"/>
          <w:szCs w:val="32"/>
        </w:rPr>
        <w:t>。发现的问题及原因：</w:t>
      </w:r>
      <w:r>
        <w:rPr>
          <w:rFonts w:hint="default" w:ascii="仿宋_GB2312" w:eastAsia="仿宋_GB2312"/>
          <w:sz w:val="32"/>
          <w:szCs w:val="32"/>
        </w:rPr>
        <w:t>我单位2022年度无预算绩效项目</w:t>
      </w:r>
      <w:r>
        <w:rPr>
          <w:rFonts w:hint="eastAsia" w:ascii="仿宋_GB2312" w:hAnsi="Times New Roman" w:eastAsia="仿宋_GB2312" w:cs="仿宋_GB2312"/>
          <w:kern w:val="0"/>
          <w:sz w:val="32"/>
          <w:szCs w:val="32"/>
        </w:rPr>
        <w:t>。下一步改进措施：</w:t>
      </w:r>
      <w:r>
        <w:rPr>
          <w:rFonts w:hint="default" w:ascii="仿宋_GB2312" w:eastAsia="仿宋_GB2312"/>
          <w:sz w:val="32"/>
          <w:szCs w:val="32"/>
        </w:rPr>
        <w:t>我单位2022年度无预算绩效项目</w:t>
      </w:r>
      <w:r>
        <w:rPr>
          <w:rFonts w:hint="eastAsia" w:ascii="仿宋_GB2312" w:hAnsi="Times New Roman" w:eastAsia="仿宋_GB2312" w:cs="仿宋_GB2312"/>
          <w:kern w:val="0"/>
          <w:sz w:val="32"/>
          <w:szCs w:val="32"/>
        </w:rPr>
        <w:t>。具体项目自评情况附项目支出绩效自评表。</w:t>
      </w:r>
    </w:p>
    <w:p>
      <w:pPr>
        <w:shd w:val="clear" w:color="auto" w:fill="FFFFFF"/>
        <w:autoSpaceDE w:val="0"/>
        <w:autoSpaceDN w:val="0"/>
        <w:adjustRightInd w:val="0"/>
        <w:spacing w:before="100" w:after="240"/>
        <w:jc w:val="center"/>
        <w:outlineLvl w:val="0"/>
        <w:rPr>
          <w:rFonts w:hint="default" w:ascii="Times New Roman" w:hAnsi="Times New Roman" w:eastAsia="黑体"/>
          <w:b/>
          <w:kern w:val="0"/>
          <w:sz w:val="28"/>
          <w:szCs w:val="28"/>
        </w:rPr>
      </w:pPr>
      <w:r>
        <w:rPr>
          <w:rFonts w:hint="eastAsia" w:ascii="黑体" w:hAnsi="Times New Roman" w:eastAsia="黑体" w:cs="黑体"/>
          <w:kern w:val="0"/>
          <w:sz w:val="32"/>
          <w:szCs w:val="32"/>
        </w:rPr>
        <w:t>第三部分 专业名词解释</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财政拨款收入：指同级财政当年拨付的资金。</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上级补助收入：指事业单位从主管部门和上级单位取得的非财政补助收入。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事业收入：指事业单位开展专业业务活动及其辅助活动所取得的收入。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经营收入：指事业单位在专业业务活动及其辅助活动之外开展非独立核算经营活动取得的收入。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附属单位上缴收入：指事业单位附属的独立核算单位按有关规定上缴的收入。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其他收入：指除上述</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财政拨款收入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事业收入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经营收入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附属单位上缴收入</w:t>
      </w:r>
      <w:r>
        <w:rPr>
          <w:rFonts w:hint="default" w:ascii="Times New Roman" w:hAnsi="Times New Roman" w:eastAsia="仿宋_GB2312" w:cs="仿宋_GB2312"/>
          <w:kern w:val="0"/>
          <w:sz w:val="32"/>
          <w:szCs w:val="32"/>
        </w:rPr>
        <w:t>”</w:t>
      </w:r>
      <w:r>
        <w:rPr>
          <w:rFonts w:hint="eastAsia" w:ascii="仿宋_GB2312" w:hAnsi="Times New Roman" w:eastAsia="仿宋_GB2312" w:cs="仿宋_GB2312"/>
          <w:kern w:val="0"/>
          <w:sz w:val="32"/>
          <w:szCs w:val="32"/>
        </w:rPr>
        <w:t>等之外取得的收入。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基本支出：指为保障机构正常运转、完成日常工作任务而发生的人员支出和公用支出。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项目支出：指在基本支出之外为完成特定行政任务和事业发展目标所发生的支出。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经营支出：指事业单位在专业业务活动及其辅助活动之外开展非独立核算经营活动发生的支出。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hint="eastAsia" w:ascii="仿宋_GB2312" w:hAnsi="Times New Roman" w:eastAsia="仿宋_GB2312" w:cs="仿宋_GB2312"/>
          <w:kern w:val="0"/>
          <w:sz w:val="32"/>
          <w:szCs w:val="32"/>
        </w:rPr>
        <w:t>对附属单位补助支出：指事业单位发生的用非财政预算资金对附属单位的补助支出。</w:t>
      </w:r>
    </w:p>
    <w:p>
      <w:pPr>
        <w:autoSpaceDE w:val="0"/>
        <w:autoSpaceDN w:val="0"/>
        <w:adjustRightInd w:val="0"/>
        <w:spacing w:line="360" w:lineRule="auto"/>
        <w:ind w:firstLine="640"/>
        <w:rPr>
          <w:rFonts w:hint="default" w:ascii="Times New Roman" w:hAnsi="Times New Roman" w:eastAsia="仿宋_GB2312"/>
          <w:sz w:val="32"/>
          <w:szCs w:val="32"/>
        </w:rPr>
      </w:pP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hint="eastAsia" w:ascii="仿宋_GB2312" w:hAnsi="Times New Roman" w:eastAsia="仿宋_GB2312"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adjustRightInd w:val="0"/>
        <w:spacing w:line="360" w:lineRule="auto"/>
        <w:ind w:firstLine="64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机关运行经费：行政单位和参照公务员法管理的事业单位财政拨款基本支出中的公用经费支出。</w:t>
      </w:r>
    </w:p>
    <w:p>
      <w:pPr>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br w:type="page"/>
      </w:r>
    </w:p>
    <w:p>
      <w:pPr>
        <w:autoSpaceDE w:val="0"/>
        <w:autoSpaceDN w:val="0"/>
        <w:adjustRightInd w:val="0"/>
        <w:spacing w:line="360" w:lineRule="auto"/>
        <w:ind w:firstLine="640"/>
        <w:rPr>
          <w:rFonts w:hint="default" w:ascii="仿宋_GB2312" w:hAnsi="Times New Roman" w:eastAsia="仿宋_GB2312" w:cs="仿宋_GB2312"/>
          <w:sz w:val="32"/>
          <w:szCs w:val="32"/>
        </w:rPr>
      </w:pPr>
      <w:bookmarkStart w:id="0" w:name="_GoBack"/>
      <w:bookmarkEnd w:id="0"/>
    </w:p>
    <w:p>
      <w:pPr>
        <w:shd w:val="clear" w:color="auto" w:fill="FFFFFF"/>
        <w:autoSpaceDE w:val="0"/>
        <w:autoSpaceDN w:val="0"/>
        <w:adjustRightInd w:val="0"/>
        <w:spacing w:before="100" w:after="240"/>
        <w:jc w:val="center"/>
        <w:outlineLvl w:val="0"/>
        <w:rPr>
          <w:rFonts w:hint="default" w:ascii="Times New Roman" w:hAnsi="Times New Roman" w:eastAsia="黑体"/>
          <w:kern w:val="0"/>
          <w:sz w:val="32"/>
          <w:szCs w:val="32"/>
        </w:rPr>
      </w:pPr>
      <w:r>
        <w:rPr>
          <w:rFonts w:hint="eastAsia" w:ascii="黑体" w:hAnsi="Times New Roman" w:eastAsia="黑体" w:cs="黑体"/>
          <w:kern w:val="0"/>
          <w:sz w:val="32"/>
          <w:szCs w:val="32"/>
        </w:rPr>
        <w:t>第四部分 部门决算报表（见附表）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一、《收入支出决算总表》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二、《收入决算表》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三、《支出决算表》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四、《财政拨款收入支出决算总表》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五、《一般公共预算财政拨款支出决算表》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六、《一般公共预算财政拨款基本支出决算表》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hint="eastAsia" w:ascii="黑体" w:hAnsi="Times New Roman" w:eastAsia="黑体" w:cs="黑体"/>
          <w:sz w:val="32"/>
          <w:szCs w:val="32"/>
        </w:rPr>
        <w:t>七、《财政拨款</w:t>
      </w:r>
      <w:r>
        <w:rPr>
          <w:rFonts w:hint="default" w:ascii="Times New Roman" w:hAnsi="Times New Roman" w:eastAsia="黑体" w:cs="黑体"/>
          <w:sz w:val="32"/>
          <w:szCs w:val="32"/>
        </w:rPr>
        <w:t>“</w:t>
      </w:r>
      <w:r>
        <w:rPr>
          <w:rFonts w:hint="eastAsia" w:ascii="黑体" w:hAnsi="Times New Roman" w:eastAsia="黑体" w:cs="黑体"/>
          <w:sz w:val="32"/>
          <w:szCs w:val="32"/>
        </w:rPr>
        <w:t>三公</w:t>
      </w:r>
      <w:r>
        <w:rPr>
          <w:rFonts w:hint="default" w:ascii="Times New Roman" w:hAnsi="Times New Roman" w:eastAsia="黑体" w:cs="黑体"/>
          <w:sz w:val="32"/>
          <w:szCs w:val="32"/>
        </w:rPr>
        <w:t>”</w:t>
      </w:r>
      <w:r>
        <w:rPr>
          <w:rFonts w:hint="eastAsia" w:ascii="黑体" w:hAnsi="Times New Roman" w:eastAsia="黑体" w:cs="黑体"/>
          <w:sz w:val="32"/>
          <w:szCs w:val="32"/>
        </w:rPr>
        <w:t>经费支出决算表》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rPr>
        <w:t>八、《政府性基金预算财政拨款收入支出决算表》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hint="eastAsia" w:ascii="黑体" w:hAnsi="Times New Roman" w:eastAsia="黑体" w:cs="黑体"/>
          <w:sz w:val="32"/>
          <w:szCs w:val="32"/>
          <w:lang w:val="zh-CN"/>
        </w:rPr>
        <w:t>九</w:t>
      </w:r>
      <w:r>
        <w:rPr>
          <w:rFonts w:hint="eastAsia" w:ascii="黑体" w:hAnsi="Times New Roman" w:eastAsia="黑体" w:cs="黑体"/>
          <w:sz w:val="32"/>
          <w:szCs w:val="32"/>
        </w:rPr>
        <w:t>、《国有资本经营预算财政拨款收入支出决算表》</w:t>
      </w: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 w:val="21"/>
          <w:szCs w:val="21"/>
        </w:rPr>
      </w:pP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 w:val="21"/>
          <w:szCs w:val="21"/>
        </w:rPr>
      </w:pPr>
    </w:p>
    <w:p>
      <w:pPr>
        <w:autoSpaceDE w:val="0"/>
        <w:autoSpaceDN w:val="0"/>
        <w:adjustRightInd w:val="0"/>
        <w:jc w:val="left"/>
        <w:rPr>
          <w:rFonts w:hint="default" w:ascii="Times New Roman" w:hAnsi="Times New Roman" w:eastAsia="黑体"/>
          <w:kern w:val="36"/>
          <w:sz w:val="40"/>
          <w:szCs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3E2A4F85"/>
    <w:rsid w:val="60DC5BE2"/>
    <w:rsid w:val="76D36481"/>
    <w:rsid w:val="7E3E2C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3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hint="eastAsia" w:ascii="等线" w:hAnsi="等线" w:eastAsia="等线" w:cs="Times New Roman"/>
      <w:kern w:val="2"/>
      <w:sz w:val="21"/>
      <w:szCs w:val="22"/>
      <w:lang w:val="en-US" w:eastAsia="zh-CN" w:bidi="ar-SA"/>
    </w:rPr>
  </w:style>
  <w:style w:type="character" w:default="1" w:styleId="3">
    <w:name w:val="Default Paragraph Font"/>
    <w:unhideWhenUsed/>
    <w:uiPriority w:val="1"/>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5029</Words>
  <Characters>5666</Characters>
  <TotalTime>6</TotalTime>
  <ScaleCrop>false</ScaleCrop>
  <LinksUpToDate>false</LinksUpToDate>
  <CharactersWithSpaces>5676</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2023-08-28T08:33:00Z</dcterms:created>
  <dc:creator>asus</dc:creator>
  <cp:lastModifiedBy>逐梦令</cp:lastModifiedBy>
  <dcterms:modified xsi:type="dcterms:W3CDTF">2023-09-01T13:29:48Z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7CAB9BCDAA8948C18E518E5BCEC4D0B9_13</vt:lpwstr>
  </property>
</Properties>
</file>