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自治区科技计划专项资金</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米东区科技局机关</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米东区科技局机关</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赵建军</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2023年05月29日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（一）项目概况 ：</w:t>
        <w:br/>
        <w:t>按照《关于乌鲁木齐国家农业科技园米东马场湖核心区建设项目立项的批复》（米经发字[2017]419号）文件，自治区科技计划专项资金项目于2015年8月，通过公开招标，委托北京农林科学院和新疆佳联城 建规划设计研究院启动了马场湖核心区修建性规划编制工作；2016 年 4 月，完成规划编制，规划用地面积 1360 亩，预留发展区 770 亩。该规划经米东区规划和土地管理领导小组第一次会议研究，同意按程序报批。2016年 10 月通过市规委办专家评审，市规划局批复了“互联网+”农业加工集散区和启动区设计总平图；2017 年，区规划局完成建筑设计红线图的审批；2019 年“互联网+”农业加工集散区农业用地改建设用地手续批复完成，可以按规条件办理出让、划拨供地手续。2021年6月园区建设纳入自治区地方债券项目；2021 年 9 月，马场湖核心区农业科技研发孵化中心动工建设。</w:t>
        <w:br/>
        <w:t>园区与新疆农科院南繁基地合作，在米东区建设完成了南繁基地米东区试验基地，与新疆畜科院建设完成了牛羊养殖试验基地、与农业大学马业学院建立了饲料加工基地等多个示范基地，有力地促进米东区农业发展。</w:t>
        <w:br/>
        <w:t xml:space="preserve">该项目23万元资金主要用于科研孵化基地科技创新平台建设，针对新农应用的特点，运用现代信息技术：物联网、云计算、人工智能算法等技术，促进园区信息化建设，打造高科技、智慧农业园区，经乌财科教2022年62号文件批准， 项目系2022年自治区资金，共安排预算23万元，于2022年年中追加，资金已全部到位且已支付完成，年中未对资金进行调增、调减。 </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（二）项目绩效目标 ：</w:t>
        <w:b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 xml:space="preserve">该项目绩效目标设置横跨项目期三年，为总体绩效目标，预计在三年建设期间，该项目23万元资金主要用于科研孵化基地科技创新平台建设，针对新农应用的特点，运用现代信息技术：物联网、云计算、人工智能算法等技术，促进园区信息化建设，打造高科技、智慧农业园区，同时，通过新技术降低成本，提高效率，扩大服务的覆盖面和受益面，更加贴合地为新型农业康养、农业文旅等创新农业服务。运用大数据技术及人工智能技术，进一步提升园区内部的政务管理能力和服务水平，提升办事效率，增强入园的新农企业、人民群众的用户体验。 </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 ：自治区科技计划专项资金项目 </w:t>
        <w:br/>
        <w:t>（2）绩效评价范围：</w:t>
        <w:br/>
        <w:t>1.项目范围：自治区科技计划专项资金项目的完成情况、资金投入的运行情况、项目实施后产生的绩效及影响效果。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根据本项目（自治区科技计划专项资金项目） 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（三）绩效评价工作过程</w:t>
        <w:b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2022年自治区科技计划专项资金项目进行客观评价，最终评分结果为：总分为94.6分，绩效评级为“优” 。</w:t>
        <w:br/>
        <w:t>（二）主要绩效 </w:t>
        <w:br/>
        <w:t>该项目资金区财政及时拨付，单位在此次评价期间内，有序完成设定目标的工作任务，该项目23万元资金主要用于科研孵化基地科技创新平台建设，针对新农应用的特点，运用现代信息技术：物联网、云计算、人工智能算法等技术，促进园区信息化建设，打造高科技、智慧农业园区，同时，通过新技术降低成本，提高效率，扩大服务的覆盖面和受益面，更加贴合地为新型农业康养、农业文旅等创新农业服务。运用大数据技术及人工智能技术，进一步提升园区内部的政务管理能力和服务水平，提升办事效率，增强入园的新农企业、人民群众的用户体验。</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（一）项目决策情况</w:t>
        <w:br/>
        <w:t>项目决算指标由3个二级指标和6个三级指标构成，权重为20分，实际得分20分。</w:t>
        <w:br/>
        <w:t>1.项目立项 </w:t>
        <w:br/>
        <w:t>立项依据充分性：项目立项符合国家法律法规、政策要求。同时，项目与部门职责范围相符，属于部门履职所需。此外，本项目属于公共财政支持范围，符合中央、地方事权支出责任划分原则。因此，立项依据充分，得4分。</w:t>
        <w:br/>
        <w:t>立项程序规范性: 项目按照规定的程序申请设立，审批文件、材料符合相关要求，故立项程序规范，得4分。</w:t>
        <w:br/>
        <w:t>综上，该指标满分8分，得分8分。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该项目23万元资金主要用于科研孵化基地科技创新平台建设，针对新农应用的特点，运用现代信息技术：物联网、云计算、人工智能算法等技术，促进园区信息化建设，打造高科技、智慧农业园区，同时，通过新技术降低成本，提高效率，扩大服务的覆盖面和受益面，更加贴合地为新型农业康养、农业文旅等创新农业服务。运用大数据技术及人工智能技术，进一步提升园区内部的政务管理能力和服务水平，提升办事效率，增强入园的新农企业、人民群众的用户体验。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</w:t>
        <w:br/>
        <w:t>综上，该指标满分6分，得分6分。</w:t>
        <w:br/>
        <w:t>3.资金投入</w:t>
        <w:br/>
        <w:t>预算编制科学性 ：财政预算拨款收入反映财政拨给行政单位的经费数额及用途，拨入的专项经费要在财政预算拨款收入项下单列反映；根据机构编制主管部门核定的单位编制和财政部门核定的定额，结合行政工作任务需要和财力可能，逐项计算编列。故预算编制科学性指标得分3分。 </w:t>
        <w:br/>
        <w:t>资金分配合理性  ：行政单位支出预算包括经常性支出、专项支出和自筹基本建设支出等项内容。支出预算要在合理分类的基础上根据要求分别编列。故资金分配合理性指标得分3分。</w:t>
        <w:br/>
        <w:t>综上，该指标满分6分，得分6分。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（二）项目过程情况</w:t>
        <w:br/>
        <w:t>项目过程指标由2个二级指标和5个三级指标构成，权重为20分，实际得分为20分。</w:t>
        <w:br/>
        <w:t>1.资金管理</w:t>
        <w:br/>
        <w:t>资金到位率  ：该项目资金23万元，由米东区财政局在12月份一次性直接支付给供应商。资金到位率为100%，故资金到位率指标得分5分。 </w:t>
        <w:br/>
        <w:t>预算执行率 ：该项目资金23万元，由米东区财政局在12月份一次性直接支付给供应商。故预算执行率得分为5分。</w:t>
        <w:br/>
        <w:t>资金使用合规性 ：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</w:t>
        <w:br/>
        <w:t>综上，该指标满分13分，得分13分。</w:t>
        <w:br/>
        <w:t>2.组织实施</w:t>
        <w:br/>
        <w:t>管理制度健全性：乌鲁木齐市米东区科学技术局已制定相应的财务和业务管理制度，且制度合法、合规、完整，为项目顺利实施提供重要保障。故管理制度健全性得分为3分。</w:t>
        <w:br/>
        <w:t>制度执行有效性：根据现场调研和资料抽查情况，乌鲁木齐市米东区科学技术局严格遵守相关法律法规和相关管理规定，项目调整及支出调整手续完备，整体管理合理有序，项目完成后，及时将会计凭证、固定资产入库单等相关资料分类归档 ，制度执行有效。故制度执行有效性指标得分4分。</w:t>
        <w:br/>
        <w:t>综上，该指标满分7分，得分7分。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（三）项目产出情况 </w:t>
        <w:br/>
        <w:t>1.产出数量</w:t>
        <w:br/>
        <w:t>科研孵化基地科技创新平台：目标值是15平方米，2022年度我单位实际完成10平方米，原因是受疫情影响，部分工程未完工。指标得分为3.6分。</w:t>
        <w:br/>
        <w:t></w:t>
        <w:br/>
        <w:t>科数据交换机：目标值为1套，实际完成值为1套， 故指标得分为5分。</w:t>
        <w:br/>
        <w:t>2.产出质量</w:t>
        <w:br/>
        <w:t>资金使用合规率：目标值=100%，实际完成值100%。本项目资金拨付及使用未出现违规情况，故指标率得分为10分。</w:t>
        <w:br/>
        <w:t>3.产出时效</w:t>
        <w:br/>
        <w:t>项目执行完成时间： </w:t>
        <w:br/>
        <w:t>目标值为3年,实际完成值为3年，指标完成率100%，指标得分为10分。</w:t>
        <w:br/>
        <w:t>4.产出成本</w:t>
        <w:br/>
        <w:t>项目预算控制率，依据乌鲁木齐市米东区科学技术局2022年收入支出决算总表，本项目预算控制率为100%，故得分为10分。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（四）项目效益情况</w:t>
        <w:br/>
        <w:t>项目效益指标由1个二级指标和2个三级指标构成，权重为20分，实际得分20分 。 </w:t>
        <w:br/>
        <w:t>1.项目效益</w:t>
        <w:br/>
        <w:t>（1）实施效益 </w:t>
        <w:br/>
        <w:t>经济效益指标：不适用。 </w:t>
        <w:br/>
        <w:t>社会效益指标：评价指标“园区产业发展带动周边农民就业”，指标值：持续带动，实际完成值：完全达到预期效果。本项目的实施需要大量管理人员、技术人员和农民从事生产经营活动，可以为周边农民提供大量工作岗位，实现农民转移就业，促进农民增收。</w:t>
        <w:br/>
        <w:t>生态效益指标：评价指标“智慧农业发展资源利用能力及环境优化效果”，指标值：不断提升，实际完成值：完全达到预期效果。直接生态效益：首先农业本身是生态产业，不但可以提供优质农产品，而且通过增加绿化面积净化、美化了园区及周边地区环境，具有保持水土、调节小气候、吸收二氧化碳、提供新鲜空气等环境效益。其次通过发展智慧农业，实现资源的高效利用，减少农业向系统外输出污染物和减少碳排放，同时实现生产成本降低、产品增值、产业增效，使经济系统和自然生态系统的物质和谐循环；大力发展生态循环农业，通过循环将废弃物转化为肥料，实现废物减量化、资源化和无害化，通过测土配方施肥和有机肥的使用，极大减少化肥、农药、兽药等农用物资的投入，减少环境污染，具有高于一般农田的生态价值。另外，通过露地农业景观建设，营造优美的生态艺术环境，创造更高的生态效益。</w:t>
        <w:br/>
        <w:t>可持续影响指标：不适用</w:t>
        <w:br/>
        <w:t>综上，该指标满分10分，得分10分。</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2. 满意度指标完成情况分析</w:t>
        <w:br/>
        <w:t>（1）满意度指标 </w:t>
        <w:br/>
        <w:t>服务对象满意度：评价指标“服务对象满意度”，指标值：≥90%，实际完成值：90%。通过设置问卷调查的方式进行考评评价，共计调查样本总量为20个样本，有效调查问卷20份。其中，统计“满意”的平均值为90%。故满意度指标得分为10分。</w:t>
        <w:br/>
        <w:t>综上，该指标满分10分，得分10分。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本项目预算执行率为100%，指标总体完成率为96.22%，二者之间的偏差值为3.88%，小于20%。因此，本项目较好地完成了年度总体目标，财政资金使用效益和效率较高。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1 . 一是领导重视，及时认真开展绩效自评工作。绩效评价工作是一项对部门预算时明确的绩效目标完成情况进行客观、公正的评价工作，对改进管理措施、分析存在问题、增强绩效管理责任、完善工作机制，有效提高资金管理水平和使用效益具有重大意义。我单位及时认真开展绩效自评工作。</w:t>
        <w:br/>
        <w:t>二是采取先进行项目自评后进行整体支出绩效评价的方法。对我单位项目进行绩效自评，在此基础上综合各项目自评情况，进行总结分析，再开展整体支出绩效评价。</w:t>
        <w:br/>
        <w:t>三是以问题为导向开展绩效评价。绩效评价的目的是有效提高资金管理水平和使用效益，因此在评价过程中一方面要总结好的经验，同时还要分析存在的问题，以问题为导向，查找在资金管理和项目管理中存在的问题，只有把问题找准才能有效的制定整改措施。</w:t>
        <w:br/>
        <w:t>（二）存在的问题及原因分析</w:t>
        <w:br/>
        <w:t>一是部门职能不明确，个别工作分工不清晰，且人员培训和绩效考核制度不够完善，考核方案部分内容和人员名单更新滞后；  </w:t>
        <w:br/>
        <w:t>二是预算编制科学性的问题。首先预算编制之合理性相对不足，主要表现在预算调整数较大，年度目标与长期规划衔接的紧密程度需要增强。</w:t>
        <w:br/>
        <w:t>三是对于固定资产处理监管还存在一定缺失。</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