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乌鲁木齐市米东区第100中学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乌鲁木齐市第100中学于2003年建校</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原名米泉市实验学校，位于揽胜东街163号，是一所九年一贯制汉语系学校，学校占地总面积63280平方米，建筑面积19643平方米，绿化面积9000平方米。有教学楼2幢，田径运动场1个，篮球场4个，排球场3个。学校有直录播教室、图书室、阅览室</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音乐室、舞蹈室、美术活动室、档案室、财务室、卫生保健室、心理咨询室等功能室。校园广播系统、安全监控系统设施和安防报警系统设施齐全，校园网络畅通，教学手段先进。</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乌鲁木齐市第100中学主要职能如下</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3.配合各级人民政府依法动员、组织适龄少年入学，严格控制辍学，推进普及义务教育。</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8.建立健全学生学籍管理制度，按国家教育部颁布的规定管理学生学籍。</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9.在上级党委、政府和教育行政部门的领导下，积极开展学校的安全管理，不断提高安全管理水平，努力营造安全和谐的校园环境。</w:t>
      </w:r>
    </w:p>
    <w:p>
      <w:pPr>
        <w:shd w:val="clear" w:color="auto" w:fill="FFFFFF"/>
        <w:spacing w:beforeLines="0" w:afterLines="0" w:line="360" w:lineRule="auto"/>
        <w:ind w:firstLine="640"/>
        <w:rPr>
          <w:rFonts w:hint="default" w:eastAsia="Times New Roman"/>
          <w:sz w:val="32"/>
          <w:szCs w:val="24"/>
        </w:rPr>
      </w:pPr>
      <w:r>
        <w:rPr>
          <w:rFonts w:hint="eastAsia" w:ascii="仿宋_GB2312" w:hAns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乌鲁木齐市米东区第100中学2022年度，实有人数170人，其中：在职人员148人，离休人员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人，退休人员22人。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从部门决算单位构成看，乌鲁木齐市米东区第100中学部门决算包括：乌鲁木齐市米东区第100中学</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rPr>
        <w:t>13</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rPr>
        <w:t>党政办、行政办、中学教务处、小学教务处、中学德育处、小学德育处、中学教科室、小学教科室、安全办、总务处、少先大队处、工会办、信息办</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3,178.37万元，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3,173.79</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4.58</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与上年相比，增加275.41万元，增长9.49%，主要原因是：2022年度人员工资调整造成人员经费增加，</w:t>
      </w:r>
      <w:r>
        <w:rPr>
          <w:rFonts w:hint="eastAsia" w:ascii="仿宋_GB2312" w:hAnsi="仿宋_GB2312" w:eastAsia="仿宋_GB2312"/>
          <w:kern w:val="0"/>
          <w:sz w:val="32"/>
          <w:szCs w:val="24"/>
          <w:lang w:val="en-US" w:eastAsia="zh-CN"/>
        </w:rPr>
        <w:t>追加</w:t>
      </w:r>
      <w:r>
        <w:rPr>
          <w:rFonts w:hint="eastAsia" w:ascii="仿宋_GB2312" w:hAnsi="仿宋_GB2312" w:eastAsia="仿宋_GB2312"/>
          <w:kern w:val="0"/>
          <w:sz w:val="32"/>
          <w:szCs w:val="24"/>
        </w:rPr>
        <w:t>部分上年人员经费，2022年度课后托管费收入增加。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3,178.37万元，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3,067.82</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110.55</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与上年相比，增加275.41万元，增长9.49%，主要原因是：2022年度人员工资调整造成人员经费支出增加，部分2021年未拨付人员经费在2022年度列支，2022年度课后托管费支出增加。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2022年度本年收入3,173.79万元，其中：财政拨款收入2,981.86万元，占93.95%；上级补助收入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万元，占0.00%；其他收入191.93万元，占6.05%。</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2022年度本年支出3,067.82万元，其中：基本支出2,921.58万元，占95.23%；项目支出146.24万元，占4.77%；上缴上级支出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2,984.72万元，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2.86</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2,981.86</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与上年相比，增加83.48万元，增长2.88%，主要原因是：2022年度人员工资调整造成人员经费收入增加，</w:t>
      </w:r>
      <w:r>
        <w:rPr>
          <w:rFonts w:hint="eastAsia" w:ascii="仿宋_GB2312" w:hAnsi="仿宋_GB2312" w:eastAsia="仿宋_GB2312"/>
          <w:kern w:val="0"/>
          <w:sz w:val="32"/>
          <w:szCs w:val="24"/>
          <w:lang w:val="en-US" w:eastAsia="zh-CN"/>
        </w:rPr>
        <w:t>追加</w:t>
      </w:r>
      <w:r>
        <w:rPr>
          <w:rFonts w:hint="eastAsia" w:ascii="仿宋_GB2312" w:hAnsi="仿宋_GB2312" w:eastAsia="仿宋_GB2312"/>
          <w:kern w:val="0"/>
          <w:sz w:val="32"/>
          <w:szCs w:val="24"/>
        </w:rPr>
        <w:t>部分上年人员经费。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2,984.72万元，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11.96</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2,972.76</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与上年相比，增加83.48万元，增长2.88%，主要原因是：2022年度人员工资调整造成人员经费支出增加，支付部分上年人员经费。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年初预算数2,984.11万元，决算数2,984.72万元，预决算差异率0.02%，主要原因是：2022年度人员工资调整，追加人员经费收入，导致预决算存在差异。财政拨款支出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年初预算数2,984.11万元，决算数2,984.72万元，预决算差异率0.02%，主要原因是：2022年度人员工资调整，追加人员经费支出，导致预决算存在差异。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2,972.76</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增加74.38万元，增长2.57%，主要原因是：2022年度人员工资调整造成人员经费</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增加，</w:t>
      </w:r>
      <w:r>
        <w:rPr>
          <w:rFonts w:hint="eastAsia" w:ascii="仿宋_GB2312" w:hAnsi="仿宋_GB2312" w:eastAsia="仿宋_GB2312"/>
          <w:kern w:val="0"/>
          <w:sz w:val="32"/>
          <w:szCs w:val="24"/>
          <w:lang w:val="en-US" w:eastAsia="zh-CN"/>
        </w:rPr>
        <w:t>追加</w:t>
      </w:r>
      <w:r>
        <w:rPr>
          <w:rFonts w:hint="eastAsia" w:ascii="仿宋_GB2312" w:hAnsi="仿宋_GB2312" w:eastAsia="仿宋_GB2312"/>
          <w:kern w:val="0"/>
          <w:sz w:val="32"/>
          <w:szCs w:val="24"/>
        </w:rPr>
        <w:t>部分上年人员经费</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收入增加</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1.教育支出（类）2,972.76万元，占100.00%。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1.教育支出（类）普通教育（款）小学教育（项）:支出决算数为1,271.44万元，比上年决算增加63.03万元，增长5.22%，主要原因是：2022年度人员工资调整造成人员经费</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增加，拨付部分上年人员经费。</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2.教育支出（类）普通教育（款）初中教育（项）:支出决算数为1,701.32万元，比上年决算增加229.32万元，增长15.58%，主要原因是：</w:t>
      </w:r>
      <w:r>
        <w:rPr>
          <w:rFonts w:hint="eastAsia" w:ascii="仿宋_GB2312" w:hAnsi="仿宋_GB2312" w:eastAsia="仿宋_GB2312"/>
          <w:kern w:val="0"/>
          <w:sz w:val="32"/>
          <w:szCs w:val="24"/>
          <w:lang w:val="en-US" w:eastAsia="zh-CN"/>
        </w:rPr>
        <w:t>本年增加</w:t>
      </w:r>
      <w:r>
        <w:rPr>
          <w:rFonts w:hint="eastAsia" w:ascii="仿宋_GB2312" w:hAnsi="仿宋_GB2312" w:eastAsia="仿宋_GB2312"/>
          <w:kern w:val="0"/>
          <w:sz w:val="32"/>
          <w:szCs w:val="24"/>
        </w:rPr>
        <w:t>课后托管服务费</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且临聘人员增加，劳务费增加，此项支出增加</w:t>
      </w:r>
      <w:r>
        <w:rPr>
          <w:rFonts w:hint="eastAsia" w:ascii="仿宋_GB2312" w:hAnsi="仿宋_GB2312" w:eastAsia="仿宋_GB2312"/>
          <w:kern w:val="0"/>
          <w:sz w:val="32"/>
          <w:szCs w:val="24"/>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3.社会保障和就业支出（类）民政管理事务（款）基层政权建设和社区治理（项）:支出决算数为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万元，比上年决算减少2.52万元，下降100.00%，主要原因是：本年此功能科目未支出。</w:t>
      </w:r>
    </w:p>
    <w:p>
      <w:pPr>
        <w:spacing w:beforeLines="0" w:afterLines="0" w:line="600" w:lineRule="exact"/>
        <w:ind w:firstLine="640"/>
        <w:rPr>
          <w:rFonts w:hint="default" w:eastAsia="等线"/>
          <w:kern w:val="0"/>
          <w:sz w:val="32"/>
          <w:szCs w:val="24"/>
        </w:rPr>
      </w:pPr>
      <w:r>
        <w:rPr>
          <w:rFonts w:hint="eastAsia" w:ascii="仿宋_GB2312" w:hAnsi="仿宋_GB2312" w:eastAsia="仿宋_GB2312"/>
          <w:kern w:val="0"/>
          <w:sz w:val="32"/>
          <w:szCs w:val="24"/>
        </w:rPr>
        <w:t>4.社会保障和就业支出（类）行政事业单位养老支出（款）机关事业单位基本养老保险缴费支出（项）:支出决算数为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万元，比上年决算减少215.45万元，下降100.00%，主要原因是：2022年度养老支出不在2080505款中列支，改为2050202、2050203款项列支。</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2022年度一般公共预算财政拨款基本支出2,921.57万元，其中：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2,777.10万元，包括：基本工资、津贴补贴、奖金、绩效工资、机关事业单位基本养老保险缴费、职业年金缴费、职工基本医疗保险缴费、公务员医疗补助缴费、其他社会保障缴费、住房公积金、退休费、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公用经费144.47万元，包括：水费、电费、劳务费、工会经费。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2022年度乌鲁木齐市米东区第100中学单位公用经费144.48万元，比上年增加29.72万元，增长25.90%，主要原因是：本年电费、劳务费等经费支出较上年增加。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5,394.39</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房屋23,157.00平方米，价值3,935.35万元。车辆1辆，价值3.73万元，其中：副部（省）级及以上领导用车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辆、其他用车1辆，其他用车主要是：校园警务车；单价100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根据预算绩效管理要求，我单位2022年度开展预算绩效评价项目3个，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261.01</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51.19</w:t>
      </w:r>
      <w:r>
        <w:rPr>
          <w:rFonts w:hint="eastAsia" w:ascii="仿宋_GB2312" w:hAnsi="仿宋_GB2312" w:eastAsia="仿宋_GB2312"/>
          <w:sz w:val="32"/>
          <w:szCs w:val="24"/>
        </w:rPr>
        <w:t>万元。</w:t>
      </w:r>
      <w:r>
        <w:rPr>
          <w:rFonts w:hint="eastAsia" w:ascii="仿宋_GB2312" w:hAnsi="仿宋_GB2312" w:eastAsia="仿宋_GB2312"/>
          <w:kern w:val="0"/>
          <w:sz w:val="32"/>
          <w:szCs w:val="24"/>
        </w:rPr>
        <w:t>根据预算绩效管理要求，我单位2022年度开展预算绩效评价项目3个，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261.01</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51.19</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加大了学校经费的投入力度；二是进一步保障了学校正常有序的开展工作。发现的问题及原因：一是预算执行力度有待加强；二是项目资金更加合理的分配有待提高。下一步改进措施：一是提高预算执行力度；二是合理分配项目资金，更好的服务广大师生。具体项目自评情况附项目支出绩效自评表。</w:t>
      </w:r>
    </w:p>
    <w:tbl>
      <w:tblPr>
        <w:tblStyle w:val="2"/>
        <w:tblW w:w="4853" w:type="pct"/>
        <w:tblInd w:w="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5"/>
        <w:gridCol w:w="684"/>
        <w:gridCol w:w="804"/>
        <w:gridCol w:w="751"/>
        <w:gridCol w:w="1150"/>
        <w:gridCol w:w="199"/>
        <w:gridCol w:w="1035"/>
        <w:gridCol w:w="888"/>
        <w:gridCol w:w="595"/>
        <w:gridCol w:w="73"/>
        <w:gridCol w:w="756"/>
        <w:gridCol w:w="21"/>
        <w:gridCol w:w="626"/>
        <w:gridCol w:w="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25"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公用经费-关于下达2022年城乡义务教育项目直达资金（乌财教科【2022】23号、乌财教科【2021】96号、乌财教科【2021】120号）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29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17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7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3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3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7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199.79</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35.21</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17.62%</w:t>
            </w:r>
          </w:p>
        </w:tc>
        <w:tc>
          <w:tcPr>
            <w:tcW w:w="3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7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199.79</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35.21</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 xml:space="preserve">  其他资金</w:t>
            </w:r>
          </w:p>
        </w:tc>
        <w:tc>
          <w:tcPr>
            <w:tcW w:w="6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1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688"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035"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688"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本项目通过缴纳本年度水电费支出，支付学校安保服务费，维修学校设施，可改善我校办学硬件设施，有效改善校园环境，明显提高办学条件，推动义务教育均衡化发展。</w:t>
            </w:r>
          </w:p>
        </w:tc>
        <w:tc>
          <w:tcPr>
            <w:tcW w:w="2035"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保障学校本年度水电费的正常支出，学校安保服务费的正常支付，定期维修学校公共设施，改善了学校办学条件的硬件设施，有效改善校园环境，提高办学条件。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6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221"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0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1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8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5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67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1"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在校学生人数</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&gt;=2708人</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2708人</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保安人数</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&gt;=9个</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9个</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公共设施维修次数</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&gt;=1次</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2次</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公共设施日常维修改造质量达标率</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保安全年正常上岗率</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学校校舍、公共设施日常维修及时性</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项目预算控制率</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&lt;=100%</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17.62%</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财政未拨付项目资金，导致预算控制率偏差较大。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提升学生综合素质</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有效提升</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基本达到预期效果</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22.5</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项目资金拨付不到位，影响项目预期效果。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7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22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受益对象满意度</w:t>
            </w:r>
          </w:p>
        </w:tc>
        <w:tc>
          <w:tcPr>
            <w:tcW w:w="6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1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8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84.26分</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2"/>
        <w:tblW w:w="4846" w:type="pct"/>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9"/>
        <w:gridCol w:w="630"/>
        <w:gridCol w:w="665"/>
        <w:gridCol w:w="960"/>
        <w:gridCol w:w="878"/>
        <w:gridCol w:w="920"/>
        <w:gridCol w:w="33"/>
        <w:gridCol w:w="1238"/>
        <w:gridCol w:w="366"/>
        <w:gridCol w:w="488"/>
        <w:gridCol w:w="474"/>
        <w:gridCol w:w="420"/>
        <w:gridCol w:w="441"/>
        <w:gridCol w:w="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24"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乌财教科【2022】45号-关于拨付中小学和幼儿园自聘教师补助资金的通知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993"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77"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3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55.66</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12.30</w:t>
            </w:r>
          </w:p>
        </w:tc>
        <w:tc>
          <w:tcPr>
            <w:tcW w:w="5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22.10%</w:t>
            </w:r>
          </w:p>
        </w:tc>
        <w:tc>
          <w:tcPr>
            <w:tcW w:w="3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2.21分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55.66</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12.30</w:t>
            </w:r>
          </w:p>
        </w:tc>
        <w:tc>
          <w:tcPr>
            <w:tcW w:w="5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53"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6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33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36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聘用同工同酬教师15人，聘用教师8人，有效缓解学校现有师资力量的不足，保证了学校正常教学工作的完成，提高教师工作效率，保障了聘用教师的工资、社保等各项基本待遇。</w:t>
            </w:r>
          </w:p>
        </w:tc>
        <w:tc>
          <w:tcPr>
            <w:tcW w:w="233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保障了学校聘用教师的工资待遇，保证了学校正常教育教学工作。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7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5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72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9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2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7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7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2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6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同工同酬教师人数</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&gt;=15人</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15人</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代课教师人数</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&gt;=8人</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8人</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聘用教师工作完成率</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补助资金发放覆盖率</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补助发放及时性</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83.33%</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财政资金紧张，未能按时拨付资金。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代课教师月工资</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=4550元/月</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4550元/月</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解决学校师资不足及均衡问题</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有效解决</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自聘教师满意度</w:t>
            </w:r>
          </w:p>
        </w:tc>
        <w:tc>
          <w:tcPr>
            <w:tcW w:w="5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72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09"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9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87.21分</w:t>
            </w:r>
          </w:p>
        </w:tc>
        <w:tc>
          <w:tcPr>
            <w:tcW w:w="5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2"/>
        <w:tblW w:w="4861" w:type="pct"/>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5"/>
        <w:gridCol w:w="675"/>
        <w:gridCol w:w="705"/>
        <w:gridCol w:w="465"/>
        <w:gridCol w:w="1307"/>
        <w:gridCol w:w="639"/>
        <w:gridCol w:w="438"/>
        <w:gridCol w:w="586"/>
        <w:gridCol w:w="437"/>
        <w:gridCol w:w="695"/>
        <w:gridCol w:w="878"/>
        <w:gridCol w:w="90"/>
        <w:gridCol w:w="13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9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学生补助-提前下达2022城乡义务教育直达资金（乌财教科【2021】96号、【2021】120号）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43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232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第100中学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6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6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81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7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5.56</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3.68</w:t>
            </w:r>
          </w:p>
        </w:tc>
        <w:tc>
          <w:tcPr>
            <w:tcW w:w="6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66.19%</w:t>
            </w:r>
          </w:p>
        </w:tc>
        <w:tc>
          <w:tcPr>
            <w:tcW w:w="81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6.62分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7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5.56</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3.68</w:t>
            </w:r>
          </w:p>
        </w:tc>
        <w:tc>
          <w:tcPr>
            <w:tcW w:w="6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1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7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1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75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1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183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95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3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我校贫困生资助管理专干根据贫困生资助管理平台，提供人数小学52人，初中53人，预计2022年的实际需求，非寄宿生家庭困难生活补助标准，小学每生312.5元/学期，初中375元/学期，支付全年贫困生生活补助，可改善贫困生家庭经济条件，帮助贫困生顺利完成学业。</w:t>
            </w:r>
          </w:p>
        </w:tc>
        <w:tc>
          <w:tcPr>
            <w:tcW w:w="2951"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根据德育处提供人员名单，保障学校全年贫困生生活补助按照小学每生312.5元/学期，初中375元/学期，改善了贫困生家庭经济条件，帮助贫困是顺利完成学业。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0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2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2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9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0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6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6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2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9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资助学生人数</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&gt;=105人</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105人</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资助学生涉及班级数</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&gt;=52个</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52个</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非寄宿生贫困学生覆盖率</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资助标准达标率</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享受补助时长</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=2个学期</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1个学期</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财政未能按时拨付资金，秋季补助未能发放。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初中生享受补助标准</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&lt;=375元/生/学期</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375元/生/学期</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小学生享受补助标准</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&lt;=312.50元/人/学期</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312.5元/人/学期</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保障贫困生享受合理的补助，减少学生流失率</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有所保障</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2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受益对象满意度</w:t>
            </w:r>
          </w:p>
        </w:tc>
        <w:tc>
          <w:tcPr>
            <w:tcW w:w="62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9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67"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0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91.62分</w:t>
            </w:r>
          </w:p>
        </w:tc>
        <w:tc>
          <w:tcPr>
            <w:tcW w:w="7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Lines="0" w:afterLines="0" w:line="360" w:lineRule="auto"/>
        <w:ind w:firstLine="640"/>
        <w:rPr>
          <w:rFonts w:hint="default" w:eastAsia="Times New Roman"/>
          <w:kern w:val="0"/>
          <w:sz w:val="24"/>
          <w:szCs w:val="24"/>
        </w:rPr>
      </w:pPr>
    </w:p>
    <w:p>
      <w:pPr>
        <w:shd w:val="clear" w:color="auto" w:fill="FFFFFF"/>
        <w:spacing w:beforeLines="0" w:afterLines="0" w:line="360" w:lineRule="auto"/>
        <w:ind w:firstLine="640"/>
        <w:rPr>
          <w:rFonts w:hint="default" w:eastAsia="Times New Roman"/>
          <w:kern w:val="0"/>
          <w:sz w:val="24"/>
          <w:szCs w:val="24"/>
        </w:rPr>
      </w:pPr>
    </w:p>
    <w:p>
      <w:pPr>
        <w:shd w:val="clear" w:color="auto" w:fill="FFFFFF"/>
        <w:spacing w:beforeLines="0" w:afterLines="0" w:line="360" w:lineRule="auto"/>
        <w:ind w:firstLine="640"/>
        <w:rPr>
          <w:rFonts w:hint="default" w:eastAsia="Times New Roman"/>
          <w:kern w:val="0"/>
          <w:sz w:val="24"/>
          <w:szCs w:val="24"/>
        </w:rPr>
      </w:pPr>
    </w:p>
    <w:p>
      <w:pPr>
        <w:shd w:val="clear" w:color="auto" w:fill="FFFFFF"/>
        <w:spacing w:beforeLines="0" w:afterLines="0" w:line="360" w:lineRule="auto"/>
        <w:ind w:firstLine="640"/>
        <w:rPr>
          <w:rFonts w:hint="default" w:eastAsia="Times New Roman"/>
          <w:kern w:val="0"/>
          <w:sz w:val="24"/>
          <w:szCs w:val="24"/>
        </w:rPr>
      </w:pPr>
    </w:p>
    <w:p>
      <w:pPr>
        <w:shd w:val="clear" w:color="auto" w:fill="FFFFFF"/>
        <w:spacing w:beforeLines="0" w:afterLines="0" w:line="360" w:lineRule="auto"/>
        <w:ind w:firstLine="640"/>
        <w:rPr>
          <w:rFonts w:hint="default" w:eastAsia="Times New Roman"/>
          <w:kern w:val="0"/>
          <w:sz w:val="24"/>
          <w:szCs w:val="24"/>
        </w:rPr>
      </w:pPr>
      <w:bookmarkStart w:id="0" w:name="_GoBack"/>
      <w:bookmarkEnd w:id="0"/>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CFD1AD2"/>
    <w:rsid w:val="0F304CD9"/>
    <w:rsid w:val="144E045D"/>
    <w:rsid w:val="7ACE33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name="header"/>
    <w:lsdException w:qFormat="1" w:uiPriority="99"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7225</Words>
  <Characters>8296</Characters>
  <TotalTime>9</TotalTime>
  <ScaleCrop>false</ScaleCrop>
  <LinksUpToDate>false</LinksUpToDate>
  <CharactersWithSpaces>8309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2023-08-24T03:31:00Z</dcterms:created>
  <dc:creator>asus</dc:creator>
  <cp:lastModifiedBy>逐梦令</cp:lastModifiedBy>
  <dcterms:modified xsi:type="dcterms:W3CDTF">2023-09-01T00:30:17Z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DB9D6C029B7C4DFF81EE0285018D3620_13</vt:lpwstr>
  </property>
</Properties>
</file>