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乌鲁木齐市米东区第101中学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1．宣传贯彻执行党和国家的教育方针、政策、法律法规等，坚持依法治教、依法治学，贯彻执行上级教育部门的行政规章制度。</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2．配合上级教育部门制定符合党的教育方针和国家教育法律法规以及本校实际的教育发展规划和学校布局调整规划，并抓好组织实施和落实工作。</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3．配合各级人民政府依法动员、组织适龄少年入学，严格控制辍学，推进普及义务教育。</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4．组织开展本校的教育教学科研和教育教学改革，科研兴教，科研兴校。负责对本校教育教学业务的具体管理，负责教育教学管理及教研教改工作。</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5．按照干部和教师的职数、编制和管理权限，制定切实可行的学校工作规章制度，以提高教育教学质量为目的，负责本校教师人事管理、继续教育、考核考评等工作。</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6．负责本校财务和基建管理，筹措资金，改善办学条件等工作，为师生提供优美和谐的学习和工作环境。核算和发放教职工工资</w:t>
      </w:r>
      <w:r>
        <w:rPr>
          <w:rFonts w:hint="default" w:ascii="仿宋_GB2312" w:eastAsia="仿宋_GB2312"/>
          <w:kern w:val="0"/>
          <w:sz w:val="32"/>
          <w:szCs w:val="24"/>
        </w:rPr>
        <w:t>,</w:t>
      </w:r>
      <w:r>
        <w:rPr>
          <w:rFonts w:hint="eastAsia" w:ascii="仿宋_GB2312" w:eastAsia="仿宋_GB2312"/>
          <w:kern w:val="0"/>
          <w:sz w:val="32"/>
          <w:szCs w:val="24"/>
        </w:rPr>
        <w:t>维护教职工利益，保障教职工合法权益。</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7．指导、管理、检查、评价本校的教育教学工作，提高办学质量和办学效益。按照义务教育课程计划，开齐课程，开足课时，认真教育教学管理，全面提高教育教学质量。</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8.建立健全学生学籍管理制度，按国家教育部颁布的规定管理学生学籍。</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9.在上级党委、政府和教育行政部门的领导下，积极开展学校的安全管理，不断提高安全管理水平，努力营造安全和谐的校园环境。</w:t>
      </w:r>
    </w:p>
    <w:p>
      <w:pPr>
        <w:shd w:val="clear" w:color="auto" w:fill="FFFFFF"/>
        <w:autoSpaceDE w:val="0"/>
        <w:autoSpaceDN w:val="0"/>
        <w:adjustRightInd w:val="0"/>
        <w:spacing w:beforeLines="0" w:afterLines="0" w:line="360" w:lineRule="auto"/>
        <w:ind w:firstLine="640"/>
        <w:rPr>
          <w:rFonts w:hint="default" w:ascii="仿宋_GB2312" w:eastAsia="仿宋_GB2312"/>
          <w:kern w:val="0"/>
          <w:sz w:val="32"/>
          <w:szCs w:val="24"/>
        </w:rPr>
      </w:pPr>
      <w:r>
        <w:rPr>
          <w:rFonts w:hint="eastAsia" w:ascii="仿宋_GB2312" w:eastAsia="仿宋_GB2312"/>
          <w:kern w:val="0"/>
          <w:sz w:val="32"/>
          <w:szCs w:val="24"/>
        </w:rPr>
        <w:t>10．在上级教育部门的领导下，谋划布局，全面推进义务教育均衡发展。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乌鲁木齐市米东区第101中学2022年度，实有人数523人，其中：在职人员322人，离休人员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人，退休人员201人。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从部门决算单位构成看，乌鲁木齐市米东区第101中学部门决算包括：乌鲁木齐市米东区第101中学决算。单位无下属预算单位，下设5个科室，分别是：德育处、教务处、总务处、教研室、校办。</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7,055.27万元，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6,935.19</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120.08</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与上年相比，减少181.68万元，下降2.51%，主要原因是：本年</w:t>
      </w:r>
      <w:r>
        <w:rPr>
          <w:rFonts w:hint="eastAsia" w:ascii="仿宋_GB2312" w:hAnsi="仿宋_GB2312" w:eastAsia="仿宋_GB2312"/>
          <w:kern w:val="0"/>
          <w:sz w:val="32"/>
          <w:szCs w:val="24"/>
          <w:lang w:val="en-US" w:eastAsia="zh-CN"/>
        </w:rPr>
        <w:t>减少部分</w:t>
      </w:r>
      <w:r>
        <w:rPr>
          <w:rFonts w:hint="eastAsia" w:ascii="仿宋_GB2312" w:hAnsi="仿宋_GB2312" w:eastAsia="仿宋_GB2312"/>
          <w:kern w:val="0"/>
          <w:sz w:val="32"/>
          <w:szCs w:val="24"/>
        </w:rPr>
        <w:t>福利费、工会经费、退休活动经费、研究生补助、独生子女费、独生子女奖励金、职工个人取暖费及取暖费等公用经费，导致收入较上年减少。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7,055.27万元，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7,031.91</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23.36</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减少181.68万元，下降2.51%，主要原因是：本年福利费、工会经费、退休活动经费、研究生补助、独生子女费、独生子女奖励金、职工个人取暖费及取暖费等公用经费部分未支付，导致支出较上年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2022年度本年收入6,935.19万元，其中：财政拨款收入6,935.19万元，占100.00%；上级补助收入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2022年度本年支出7,031.91万元，其中：基本支出6,806.61万元，占96.80%；项目支出225.30万元，占3.20%；上缴上级支出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7,055.27万元，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120.08</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6,935.19</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与上年相比，减少181.68万元，下降2.51%，主要原因是：本年</w:t>
      </w:r>
      <w:r>
        <w:rPr>
          <w:rFonts w:hint="eastAsia" w:ascii="仿宋_GB2312" w:hAnsi="仿宋_GB2312" w:eastAsia="仿宋_GB2312"/>
          <w:kern w:val="0"/>
          <w:sz w:val="32"/>
          <w:szCs w:val="24"/>
          <w:lang w:val="en-US" w:eastAsia="zh-CN"/>
        </w:rPr>
        <w:t>减少部分</w:t>
      </w:r>
      <w:r>
        <w:rPr>
          <w:rFonts w:hint="eastAsia" w:ascii="仿宋_GB2312" w:hAnsi="仿宋_GB2312" w:eastAsia="仿宋_GB2312"/>
          <w:kern w:val="0"/>
          <w:sz w:val="32"/>
          <w:szCs w:val="24"/>
        </w:rPr>
        <w:t>福利费、工会经费、退休活动经费、研究生补助、独生子女费、独生子女奖励金、职工个人取暖费及取暖费等公用经费，导致财政拨款收入较上年减少。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7,055.27万元，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23.36</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7,031.91</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减少181.68万元，下降2.51%，主要原因是：本年福利费、工会经费、退休活动经费、研究生补助、独生子女费、独生子女奖励金、职工个人取暖费及取暖费等公用经费部分未支付，导致财政拨款支出较上年减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7,306.90万元，决算数7,055.27万元，预决算差异率-3.44%，主要原因是：年中调减部分福利费、工会经费、退休活动经费、研究生补助、独生子女费、独生子女奖励金、职工个人取暖费及取暖费等公用经费收入，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7,306.90万元，决算数7,055.27万元，预决算差异率-3.44%，主要原因是：年中调减部分福利费、工会经费、退休活动经费、研究生补助、独生子女费、独生子女奖励金、职工个人取暖费及取暖费等公用经费支出，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7,031.91</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减少84.96万元，下降1.19%，主要原因是：本年福利费、工会经费、退休活动经费、研究生补助、独生子女费、独生子女奖励金、职工个人取暖费及取暖费等公用经费部分未支付，导致财政拨款支出较上年减少。</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1.教育支出（类）6,981.08万元，占99.28%；</w:t>
      </w:r>
    </w:p>
    <w:p>
      <w:pPr>
        <w:spacing w:beforeLines="0" w:afterLines="0" w:line="600" w:lineRule="exact"/>
        <w:ind w:firstLine="640"/>
        <w:rPr>
          <w:rFonts w:hint="default" w:eastAsia="仿宋_GB2312"/>
          <w:kern w:val="0"/>
          <w:sz w:val="32"/>
          <w:szCs w:val="24"/>
        </w:rPr>
      </w:pPr>
      <w:r>
        <w:rPr>
          <w:rFonts w:hint="eastAsia" w:ascii="仿宋_GB2312" w:hAnsi="仿宋_GB2312" w:eastAsia="仿宋_GB2312"/>
          <w:kern w:val="0"/>
          <w:sz w:val="32"/>
          <w:szCs w:val="24"/>
        </w:rPr>
        <w:t>2.社会保障和就业支出（类）50.83万元，占0.72%。</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1.教育支出（类）普通教育（款）高中教育（项）:支出决算数为6,959.23万元，比上年决算增加490.41万元，增长7.58%，主要原因是：本年机关事业单位基本养老保险从2080505款调整到此款项，导致本年支出增加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2.教育支出（类）普通教育（款）其他普通教育支出（项）:支出决算数为9.48万元，比上年决算减少129.32万元，下降93.17%，主要原因是：本年乌财科教（2021）87号关于下达2021年学生资助补助直达资金项目支出减少，导致本年支出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eastAsia="仿宋_GB2312"/>
          <w:sz w:val="32"/>
          <w:szCs w:val="24"/>
          <w:lang w:eastAsia="zh-CN"/>
        </w:rPr>
      </w:pPr>
      <w:r>
        <w:rPr>
          <w:rFonts w:hint="eastAsia" w:ascii="仿宋_GB2312" w:hAnsi="仿宋_GB2312" w:eastAsia="仿宋_GB2312"/>
          <w:kern w:val="0"/>
          <w:sz w:val="32"/>
          <w:szCs w:val="24"/>
        </w:rPr>
        <w:t>3.教育支出（类）教育费附加安排的支出（款）城市中小学教学设施（项）:支出决算数为12.37万元，比上年决算增加4.74万元，增长62.12%，主要原因是：本年乌财科教（2021）59号关于体育与传统项目建设补助资金项目支出增加，导致本年支出增加</w:t>
      </w:r>
      <w:r>
        <w:rPr>
          <w:rFonts w:hint="eastAsia" w:ascii="仿宋_GB2312" w:hAnsi="仿宋_GB2312" w:eastAsia="仿宋_GB2312"/>
          <w:kern w:val="0"/>
          <w:sz w:val="32"/>
          <w:szCs w:val="24"/>
          <w:lang w:eastAsia="zh-CN"/>
        </w:rPr>
        <w:t>；</w:t>
      </w:r>
    </w:p>
    <w:p>
      <w:pPr>
        <w:spacing w:beforeLines="0" w:afterLines="0" w:line="600" w:lineRule="exact"/>
        <w:ind w:firstLine="640"/>
        <w:rPr>
          <w:rFonts w:hint="eastAsia" w:ascii="仿宋_GB2312" w:hAnsi="仿宋_GB2312" w:eastAsia="仿宋_GB2312"/>
          <w:kern w:val="0"/>
          <w:sz w:val="32"/>
          <w:szCs w:val="24"/>
          <w:lang w:eastAsia="zh-CN"/>
        </w:rPr>
      </w:pPr>
      <w:r>
        <w:rPr>
          <w:rFonts w:hint="eastAsia" w:ascii="仿宋_GB2312" w:hAnsi="仿宋_GB2312" w:eastAsia="仿宋_GB2312"/>
          <w:kern w:val="0"/>
          <w:sz w:val="32"/>
          <w:szCs w:val="24"/>
        </w:rPr>
        <w:t>4.社会保障和就业支出（类）民政管理事务（款）基层政权建设和社区治理（项）:支出决算数为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万元，比上年决算减少5.40万元，下降100.00%，主要原因是：本年社会保障和就业支出（类）民政管理事务（款）基层政权建设和社区治理（项）未支出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5.社会保障和就业支出（类）行政事业单位养老支出（款）机关事业单位基本养老保险缴费支出（项）:支出决算数为50.83万元，比上年决算减少445.39万元，下降89.76%，主要原因是：本年部分机关事业单位基本养老保险缴费支出调整至2050204及2050299款中。</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2022年度一般公共预算财政拨款基本支出6,806.61万元，其中：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6,370.03万元，包括：基本工资、津贴补贴、奖金、绩效工资、机关事业单位基本养老保险缴费、职业年金缴费、职工基本医疗保险缴费、公务员医疗补助缴费、其他社会保障缴费、住房公积金、退休费、抚恤金、生活补助、助学金、其他对个人和家庭的补助。</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436.58万元，包括：办公费、印刷费、手续费、水费、电费、邮电费、物业管理费、差旅费、维修（护）费、租赁费、培训费、专用材料费、劳务费、福利费、公务用车运行维护费、其他交通费用、其他商品和服务支出、办公设备购置。</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“三公”经费支出决算3.08万元，比上年减少4.42万元，下降58.93%，主要原因是：本年</w:t>
      </w:r>
      <w:r>
        <w:rPr>
          <w:rFonts w:hint="eastAsia" w:ascii="仿宋_GB2312" w:hAnsi="仿宋_GB2312" w:eastAsia="仿宋_GB2312"/>
          <w:kern w:val="0"/>
          <w:sz w:val="32"/>
          <w:szCs w:val="24"/>
          <w:lang w:val="en-US" w:eastAsia="zh-CN"/>
        </w:rPr>
        <w:t>车辆出行次数减少，</w:t>
      </w:r>
      <w:r>
        <w:rPr>
          <w:rFonts w:hint="eastAsia" w:ascii="仿宋_GB2312" w:hAnsi="仿宋_GB2312" w:eastAsia="仿宋_GB2312"/>
          <w:kern w:val="0"/>
          <w:sz w:val="32"/>
          <w:szCs w:val="24"/>
        </w:rPr>
        <w:t>车辆维修及燃油费</w:t>
      </w:r>
      <w:r>
        <w:rPr>
          <w:rFonts w:hint="eastAsia" w:ascii="仿宋_GB2312" w:hAnsi="仿宋_GB2312" w:eastAsia="仿宋_GB2312"/>
          <w:kern w:val="0"/>
          <w:sz w:val="32"/>
          <w:szCs w:val="24"/>
          <w:lang w:val="en-US" w:eastAsia="zh-CN"/>
        </w:rPr>
        <w:t>减少</w:t>
      </w:r>
      <w:r>
        <w:rPr>
          <w:rFonts w:hint="eastAsia" w:ascii="仿宋_GB2312" w:hAnsi="仿宋_GB2312" w:eastAsia="仿宋_GB2312"/>
          <w:kern w:val="0"/>
          <w:sz w:val="32"/>
          <w:szCs w:val="24"/>
        </w:rPr>
        <w:t>。其中：因公出国（境）费支出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万元，增长0.00%，主要原因是：本年单位无因公出国（境）费支出；公务用车购置及运行维护费支出3.08万元，占100.00%，比上年减少4.42万元，下降58.93%，主要原因是：本年</w:t>
      </w:r>
      <w:r>
        <w:rPr>
          <w:rFonts w:hint="eastAsia" w:ascii="仿宋_GB2312" w:hAnsi="仿宋_GB2312" w:eastAsia="仿宋_GB2312"/>
          <w:kern w:val="0"/>
          <w:sz w:val="32"/>
          <w:szCs w:val="24"/>
          <w:lang w:val="en-US" w:eastAsia="zh-CN"/>
        </w:rPr>
        <w:t>车辆出行次数减少，</w:t>
      </w:r>
      <w:r>
        <w:rPr>
          <w:rFonts w:hint="eastAsia" w:ascii="仿宋_GB2312" w:hAnsi="仿宋_GB2312" w:eastAsia="仿宋_GB2312"/>
          <w:kern w:val="0"/>
          <w:sz w:val="32"/>
          <w:szCs w:val="24"/>
        </w:rPr>
        <w:t>车辆维修及燃油费</w:t>
      </w:r>
      <w:r>
        <w:rPr>
          <w:rFonts w:hint="eastAsia" w:ascii="仿宋_GB2312" w:hAnsi="仿宋_GB2312" w:eastAsia="仿宋_GB2312"/>
          <w:kern w:val="0"/>
          <w:sz w:val="32"/>
          <w:szCs w:val="24"/>
          <w:lang w:val="en-US" w:eastAsia="zh-CN"/>
        </w:rPr>
        <w:t>减少</w:t>
      </w:r>
      <w:r>
        <w:rPr>
          <w:rFonts w:hint="eastAsia" w:ascii="仿宋_GB2312" w:hAnsi="仿宋_GB2312" w:eastAsia="仿宋_GB2312"/>
          <w:kern w:val="0"/>
          <w:sz w:val="32"/>
          <w:szCs w:val="24"/>
        </w:rPr>
        <w:t>；公务接待费支出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万元，增长0.00%，主要原因是：本年单位无此项支出。具体情况如下：</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公务用车购置及运行维护费3.08万元，其中：公务用车购置费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万元，公务用车运行维护费3.08万元。公务用车运行维护费开支内容包括公务用车燃油费、车辆维修维护费、保险费、过路费等。公务用车购置数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辆，公务用车保有量4辆。</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万元，开支内容包括本年单位无此项支出。单位全年安排的国内公务接待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default" w:eastAsia="Times New Roman"/>
          <w:kern w:val="0"/>
          <w:sz w:val="32"/>
          <w:szCs w:val="24"/>
        </w:rPr>
        <w:t>“</w:t>
      </w:r>
      <w:r>
        <w:rPr>
          <w:rFonts w:hint="eastAsia" w:ascii="仿宋_GB2312" w:hAnsi="仿宋_GB2312" w:eastAsia="仿宋_GB2312"/>
          <w:kern w:val="0"/>
          <w:sz w:val="32"/>
          <w:szCs w:val="24"/>
        </w:rPr>
        <w:t>三公</w:t>
      </w:r>
      <w:r>
        <w:rPr>
          <w:rFonts w:hint="default" w:eastAsia="Times New Roman"/>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rPr>
        <w:t>3.08万元，决算数3.08万元，预决算差异率0.00%，主要原因是：</w:t>
      </w:r>
      <w:bookmarkStart w:id="0" w:name="_Hlk110848692"/>
      <w:r>
        <w:rPr>
          <w:rFonts w:hint="eastAsia" w:ascii="仿宋_GB2312" w:eastAsia="仿宋_GB2312" w:cs="仿宋_GB2312"/>
          <w:kern w:val="0"/>
          <w:sz w:val="32"/>
          <w:szCs w:val="32"/>
        </w:rPr>
        <w:t>单位严格执行“三公”经费支出标准，未超预算</w:t>
      </w:r>
      <w:bookmarkEnd w:id="0"/>
      <w:r>
        <w:rPr>
          <w:rFonts w:hint="eastAsia" w:ascii="仿宋_GB2312" w:hAnsi="仿宋_GB2312" w:eastAsia="仿宋_GB2312"/>
          <w:kern w:val="0"/>
          <w:sz w:val="32"/>
          <w:szCs w:val="24"/>
        </w:rPr>
        <w:t>。其中：因公出国（境）费全年预算数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万元，预决算差异率0.00%，主要原因是：本年单位无此项支出；公务用车运行费全年预算数3.08万元，决算数3.08万元，预决算差异率0.00%，主要原因是：</w:t>
      </w:r>
      <w:r>
        <w:rPr>
          <w:rFonts w:hint="eastAsia" w:ascii="仿宋_GB2312" w:eastAsia="仿宋_GB2312" w:cs="仿宋_GB2312"/>
          <w:kern w:val="0"/>
          <w:sz w:val="32"/>
          <w:szCs w:val="32"/>
        </w:rPr>
        <w:t>单位严格执行“三公”经费支出标准，未超预算</w:t>
      </w:r>
      <w:r>
        <w:rPr>
          <w:rFonts w:hint="eastAsia" w:ascii="仿宋_GB2312" w:hAnsi="仿宋_GB2312" w:eastAsia="仿宋_GB2312"/>
          <w:kern w:val="0"/>
          <w:sz w:val="32"/>
          <w:szCs w:val="24"/>
        </w:rPr>
        <w:t>；公务接待费全年预算数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万元，预决算差异率0.00%，主要原因是：本年单位无此项支出。</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乌鲁木齐市米东区第101中学单位公用经费436.59万元，比上年减少695.41万元，下降61.43%，主要原因是：本年办公费、印刷费、电费、取暖费、物业管理费、专用材料费、劳务费、工会经费、福利费等经费支出较上年减少。</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万元，其中：政府采购货物支出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万元，占政府采购支出总额的0.00%，其中：授予小微企业合同金额</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万元，占政府采购支出总额的0.00%。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13,223.86</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房屋87,308.65平方米，价值9,944.25万元。车辆4辆，价值70.90万元，其中：副部（省）级及以上领导用车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辆、主要领导干部用车1辆、机要通信用车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辆、其他用车3辆，其他用车主要是：单位业务用车；单价100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hd w:val="clear" w:color="auto" w:fill="FFFFFF"/>
        <w:spacing w:beforeLines="0" w:afterLines="0" w:line="360" w:lineRule="auto"/>
        <w:ind w:firstLine="641"/>
        <w:rPr>
          <w:rFonts w:hint="eastAsia" w:ascii="仿宋_GB2312" w:hAnsi="仿宋_GB2312" w:eastAsia="仿宋_GB2312"/>
          <w:kern w:val="0"/>
          <w:sz w:val="32"/>
          <w:szCs w:val="24"/>
        </w:rPr>
      </w:pPr>
      <w:r>
        <w:rPr>
          <w:rFonts w:hint="eastAsia" w:ascii="仿宋_GB2312" w:hAnsi="仿宋_GB2312" w:eastAsia="仿宋_GB2312"/>
          <w:kern w:val="0"/>
          <w:sz w:val="32"/>
          <w:szCs w:val="24"/>
        </w:rPr>
        <w:t>根据预算绩效管理要求，我单位2022年度开展预算绩效评价项目2个，全年预算数</w:t>
      </w:r>
      <w:r>
        <w:rPr>
          <w:rFonts w:hint="eastAsia" w:ascii="仿宋_GB2312" w:hAnsi="仿宋_GB2312" w:eastAsia="仿宋_GB2312"/>
          <w:kern w:val="0"/>
          <w:sz w:val="32"/>
          <w:szCs w:val="24"/>
          <w:lang w:val="en-US" w:eastAsia="zh-CN"/>
        </w:rPr>
        <w:t>818.28</w:t>
      </w:r>
      <w:r>
        <w:rPr>
          <w:rFonts w:hint="eastAsia" w:ascii="仿宋_GB2312" w:hAnsi="仿宋_GB2312" w:eastAsia="仿宋_GB2312"/>
          <w:kern w:val="0"/>
          <w:sz w:val="32"/>
          <w:szCs w:val="24"/>
        </w:rPr>
        <w:t>万元，全年执行数203.4</w:t>
      </w:r>
      <w:r>
        <w:rPr>
          <w:rFonts w:hint="eastAsia" w:ascii="仿宋_GB2312" w:hAnsi="仿宋_GB2312" w:eastAsia="仿宋_GB2312"/>
          <w:kern w:val="0"/>
          <w:sz w:val="32"/>
          <w:szCs w:val="24"/>
          <w:lang w:val="en-US" w:eastAsia="zh-CN"/>
        </w:rPr>
        <w:t>4</w:t>
      </w:r>
      <w:r>
        <w:rPr>
          <w:rFonts w:hint="eastAsia" w:ascii="仿宋_GB2312" w:hAnsi="仿宋_GB2312" w:eastAsia="仿宋_GB2312"/>
          <w:kern w:val="0"/>
          <w:sz w:val="32"/>
          <w:szCs w:val="24"/>
        </w:rPr>
        <w:t>万元。预算绩效管理取得的成效：一是在项目支出方面强化预算约束意识和项目主体责任意识，各项支出做到专款专用；二是制定了详细的项目支出计划，完善了相互制约的内控机制。发现的问题及原因：一是学校对绩效评价还未建立全员参与的意识，项目负责人都不会填写，对绩效目标部分概念模糊，全部由财务人员填报；二是部分绩效目标无法量化。下一步改进措施：一是单位各部门全员参与，相互协调。二是进一步提高绩效目标评价意识和方法，细化财务管理。具体项目自评情况附项目支出绩效自评表。</w:t>
      </w:r>
    </w:p>
    <w:p>
      <w:pPr>
        <w:shd w:val="clear" w:color="auto" w:fill="FFFFFF"/>
        <w:spacing w:beforeLines="0" w:afterLines="0" w:line="360" w:lineRule="auto"/>
        <w:ind w:firstLine="641"/>
        <w:rPr>
          <w:rFonts w:hint="eastAsia" w:ascii="仿宋_GB2312" w:hAnsi="仿宋_GB2312" w:eastAsia="仿宋_GB2312"/>
          <w:kern w:val="0"/>
          <w:sz w:val="32"/>
          <w:szCs w:val="24"/>
        </w:rPr>
      </w:pPr>
    </w:p>
    <w:p>
      <w:pPr>
        <w:shd w:val="clear" w:color="auto" w:fill="FFFFFF"/>
        <w:spacing w:beforeLines="0" w:afterLines="0" w:line="360" w:lineRule="auto"/>
        <w:ind w:firstLine="641"/>
        <w:rPr>
          <w:rFonts w:hint="default" w:ascii="仿宋_GB2312" w:hAnsi="仿宋_GB2312" w:eastAsia="仿宋_GB2312"/>
          <w:kern w:val="0"/>
          <w:sz w:val="32"/>
          <w:szCs w:val="24"/>
        </w:rPr>
      </w:pPr>
    </w:p>
    <w:tbl>
      <w:tblPr>
        <w:tblStyle w:val="2"/>
        <w:tblW w:w="4869" w:type="pct"/>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8"/>
        <w:gridCol w:w="702"/>
        <w:gridCol w:w="849"/>
        <w:gridCol w:w="777"/>
        <w:gridCol w:w="1233"/>
        <w:gridCol w:w="76"/>
        <w:gridCol w:w="1159"/>
        <w:gridCol w:w="1149"/>
        <w:gridCol w:w="133"/>
        <w:gridCol w:w="523"/>
        <w:gridCol w:w="63"/>
        <w:gridCol w:w="546"/>
        <w:gridCol w:w="341"/>
        <w:gridCol w:w="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356"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关于提前下达2022年改善普通高中学校办学条件补助资金预算的通知（乌财科教【2021】101号）_转移支付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7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第101中学</w:t>
            </w: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240"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第101中学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4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7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817.00</w:t>
            </w:r>
          </w:p>
        </w:tc>
        <w:tc>
          <w:tcPr>
            <w:tcW w:w="7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817.00</w:t>
            </w: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202.80</w:t>
            </w:r>
          </w:p>
        </w:tc>
        <w:tc>
          <w:tcPr>
            <w:tcW w:w="3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24.82%</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817</w:t>
            </w:r>
            <w:r>
              <w:rPr>
                <w:rFonts w:hint="eastAsia" w:ascii="宋体" w:hAnsi="宋体" w:cs="宋体"/>
                <w:i w:val="0"/>
                <w:iCs w:val="0"/>
                <w:color w:val="000000"/>
                <w:kern w:val="0"/>
                <w:sz w:val="18"/>
                <w:szCs w:val="18"/>
                <w:u w:val="none"/>
                <w:lang w:val="en-US" w:eastAsia="zh-CN" w:bidi="ar"/>
              </w:rPr>
              <w:t>.00</w:t>
            </w:r>
          </w:p>
        </w:tc>
        <w:tc>
          <w:tcPr>
            <w:tcW w:w="7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817</w:t>
            </w:r>
            <w:r>
              <w:rPr>
                <w:rFonts w:hint="eastAsia" w:ascii="宋体" w:hAnsi="宋体" w:cs="宋体"/>
                <w:i w:val="0"/>
                <w:iCs w:val="0"/>
                <w:color w:val="000000"/>
                <w:kern w:val="0"/>
                <w:sz w:val="18"/>
                <w:szCs w:val="18"/>
                <w:u w:val="none"/>
                <w:lang w:val="en-US" w:eastAsia="zh-CN" w:bidi="ar"/>
              </w:rPr>
              <w:t>.00</w:t>
            </w: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202.8</w:t>
            </w:r>
            <w:r>
              <w:rPr>
                <w:rFonts w:hint="eastAsia" w:ascii="宋体" w:hAnsi="宋体" w:cs="宋体"/>
                <w:i w:val="0"/>
                <w:iCs w:val="0"/>
                <w:color w:val="000000"/>
                <w:kern w:val="0"/>
                <w:sz w:val="18"/>
                <w:szCs w:val="18"/>
                <w:u w:val="none"/>
                <w:lang w:val="en-US" w:eastAsia="zh-CN" w:bidi="ar"/>
              </w:rPr>
              <w:t>0</w:t>
            </w:r>
          </w:p>
        </w:tc>
        <w:tc>
          <w:tcPr>
            <w:tcW w:w="3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64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64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7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1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4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78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198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78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1、着力教育改革，推进资源配置最优化。</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2、持续加大学校建设力度。</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3、全面改善高中学校办学条件，进一步提升高中阶段教育教学水平。</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4、为学生提供更好的学习生活环境，帮助他们健康成长。</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5、运动场地硬化约2.3万平方米，计划投资350万元；信息化设备购置包括96套标准化考点设备购置227万元及图书购置70000册，计划投资240万元。</w:t>
            </w:r>
          </w:p>
        </w:tc>
        <w:tc>
          <w:tcPr>
            <w:tcW w:w="1983"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运动场地硬化约2.3万平方，计划投资350万元，该项目已经完成，实际支付96.9万元。2、信息化设备购置96套标准化考点设备，该项目已经完成，实际支付33.9万元。3、图书购置计划投资240万元，该项目已经完成，实际支出72万元。4、全面改善普通高中办学条件，全面提升高中阶段教育教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9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09"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6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8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35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58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209"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7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8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运动场升级改造面积</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&gt;=23000平方米</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23000平方米</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信息化设备购置</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=96套</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96套</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购置图书数量（册）</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&gt;=70000册</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70000册</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图书购置完成率</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运动场地完成率</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信息化设备购置完成率</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资金按期到位率</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24.82%</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财政没钱无法支付。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运动场建设总成本</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&lt;=350万元</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96.9万元</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财政没钱无法支付。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信息化设备购置成本</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&lt;=2.40万元</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2.4万元</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图书每册成本</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&lt;=35元</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35元</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改善学校办学条件，提升教育教学水平</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有所提升</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提高学生学习生活环境</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持续提高</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9"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67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6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682"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8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88.72分</w:t>
            </w:r>
          </w:p>
        </w:tc>
        <w:tc>
          <w:tcPr>
            <w:tcW w:w="58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line="360" w:lineRule="auto"/>
        <w:ind w:firstLine="640"/>
        <w:rPr>
          <w:rFonts w:hint="default" w:ascii="仿宋_GB2312" w:hAnsi="仿宋_GB2312" w:eastAsia="仿宋_GB2312"/>
          <w:color w:val="auto"/>
          <w:kern w:val="0"/>
          <w:sz w:val="32"/>
          <w:szCs w:val="24"/>
          <w:lang w:val="en-US"/>
        </w:rPr>
      </w:pPr>
    </w:p>
    <w:tbl>
      <w:tblPr>
        <w:tblStyle w:val="2"/>
        <w:tblW w:w="4869" w:type="pct"/>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0"/>
        <w:gridCol w:w="560"/>
        <w:gridCol w:w="775"/>
        <w:gridCol w:w="1020"/>
        <w:gridCol w:w="1518"/>
        <w:gridCol w:w="832"/>
        <w:gridCol w:w="140"/>
        <w:gridCol w:w="815"/>
        <w:gridCol w:w="518"/>
        <w:gridCol w:w="572"/>
        <w:gridCol w:w="505"/>
        <w:gridCol w:w="191"/>
        <w:gridCol w:w="7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49"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关于提前下达2022年学生资助补助直达资金的通知（乌财科教【2021】95号）_转移支付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484"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第101中学</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192"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第101中学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4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0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8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0.64</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8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5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0.64</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8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4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88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7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808"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196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808"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1、该项目用于资助建档立卡学生免学费补助，每生每学年1430元，工12870元。高中阶段教育各项资助按规定落实到位。2、教育公平显著提升，满足建档立卡学生基本生活学习需要。3、补充学校高中免学费补助。</w:t>
            </w:r>
          </w:p>
        </w:tc>
        <w:tc>
          <w:tcPr>
            <w:tcW w:w="1965"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该项目用于资助建档立卡学生免学费补助，每生每学年1430元，财政分两次拨款，一次2570元，一次10300元，合计12870元。2、由于高中学校实行免费教育，按主管部门要求，该项目资金用于弥补学校公用经费，改善学生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4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47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8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5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0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2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56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47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8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0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建档立卡学生受助人数</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=9人</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9人</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学生资助补助发放到位率</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补助资金发放及时率</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每生每学年资助补助发生金额</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=1430元</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1430元</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帮助建档立卡学生接受高中教育，提高受助学生教育质量</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保障建档立卡学生完成学业</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持续保障</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2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4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71"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学生满意度</w:t>
            </w:r>
          </w:p>
        </w:tc>
        <w:tc>
          <w:tcPr>
            <w:tcW w:w="48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5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07"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2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95.00分</w:t>
            </w:r>
          </w:p>
        </w:tc>
        <w:tc>
          <w:tcPr>
            <w:tcW w:w="56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Lines="0" w:afterLines="0" w:line="360" w:lineRule="auto"/>
        <w:ind w:firstLine="641"/>
        <w:rPr>
          <w:rFonts w:hint="default" w:ascii="仿宋_GB2312" w:hAnsi="仿宋_GB2312" w:eastAsia="仿宋_GB2312"/>
          <w:kern w:val="0"/>
          <w:sz w:val="32"/>
          <w:szCs w:val="24"/>
        </w:rPr>
      </w:pPr>
    </w:p>
    <w:p>
      <w:pPr>
        <w:keepNext w:val="0"/>
        <w:keepLines w:val="0"/>
        <w:pageBreakBefore w:val="0"/>
        <w:widowControl/>
        <w:shd w:val="clear" w:color="auto" w:fill="FFFFFF"/>
        <w:kinsoku/>
        <w:wordWrap/>
        <w:overflowPunct/>
        <w:topLinePunct w:val="0"/>
        <w:autoSpaceDE/>
        <w:autoSpaceDN/>
        <w:bidi w:val="0"/>
        <w:adjustRightInd/>
        <w:snapToGrid/>
        <w:spacing w:beforeLines="0" w:afterLines="0" w:line="360" w:lineRule="auto"/>
        <w:ind w:firstLine="0"/>
        <w:jc w:val="center"/>
        <w:textAlignment w:val="auto"/>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ascii="仿宋_GB2312" w:hAnsi="仿宋_GB2312" w:eastAsia="仿宋_GB2312"/>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bookmarkStart w:id="1" w:name="_GoBack"/>
      <w:bookmarkEnd w:id="1"/>
    </w:p>
    <w:p>
      <w:pPr>
        <w:shd w:val="clear" w:color="auto" w:fill="FFFFFF"/>
        <w:spacing w:before="100" w:beforeLines="0" w:after="240" w:afterLines="0"/>
        <w:jc w:val="center"/>
        <w:rPr>
          <w:rFonts w:hint="default" w:eastAsia="Times New Roman"/>
          <w:kern w:val="0"/>
          <w:sz w:val="32"/>
          <w:szCs w:val="24"/>
        </w:rPr>
      </w:pP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26606A23"/>
    <w:rsid w:val="34560862"/>
    <w:rsid w:val="399532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name="header"/>
    <w:lsdException w:qFormat="1" w:uiPriority="99"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qFormat="1"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3">
    <w:name w:val="Default Paragraph Font"/>
    <w:unhideWhenUsed/>
    <w:qFormat/>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7234</Words>
  <Characters>8201</Characters>
  <TotalTime>1</TotalTime>
  <ScaleCrop>false</ScaleCrop>
  <LinksUpToDate>false</LinksUpToDate>
  <CharactersWithSpaces>8212</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2023-08-24T04:05:00Z</dcterms:created>
  <dc:creator>asus</dc:creator>
  <cp:lastModifiedBy>逐梦令</cp:lastModifiedBy>
  <dcterms:modified xsi:type="dcterms:W3CDTF">2023-09-01T00:50:35Z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988CF15991274B45ABB5C11112A10057_13</vt:lpwstr>
  </property>
</Properties>
</file>