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乌鲁木齐市米东区第101小学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autoSpaceDE w:val="0"/>
        <w:autoSpaceDN w:val="0"/>
        <w:adjustRightInd w:val="0"/>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1．宣传贯彻执行党和国家的教育方针、政策、法律法规等，坚持依法治教、依法治学，贯彻执行上级教育部门的行政规章制度。</w:t>
      </w:r>
    </w:p>
    <w:p>
      <w:pPr>
        <w:shd w:val="clear" w:color="auto" w:fill="FFFFFF"/>
        <w:autoSpaceDE w:val="0"/>
        <w:autoSpaceDN w:val="0"/>
        <w:adjustRightInd w:val="0"/>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2．配合上级教育部门制定符合党的教育方针和国家教育法律法规以及本校实际的教育发展规划和学校布局调整规划，并抓好组织实施和落实工作。</w:t>
      </w:r>
    </w:p>
    <w:p>
      <w:pPr>
        <w:shd w:val="clear" w:color="auto" w:fill="FFFFFF"/>
        <w:autoSpaceDE w:val="0"/>
        <w:autoSpaceDN w:val="0"/>
        <w:adjustRightInd w:val="0"/>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3．配合各级人民政府依法动员、组织适龄少年入学，严格控制辍学，推进普及义务教育。</w:t>
      </w:r>
    </w:p>
    <w:p>
      <w:pPr>
        <w:shd w:val="clear" w:color="auto" w:fill="FFFFFF"/>
        <w:autoSpaceDE w:val="0"/>
        <w:autoSpaceDN w:val="0"/>
        <w:adjustRightInd w:val="0"/>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4．组织开展本校的教育教学科研和教育教学改革，科研兴教，科研兴校。负责对本校教育教学业务的具体管理，负责教育教学管理及教研教改工作。</w:t>
      </w:r>
    </w:p>
    <w:p>
      <w:pPr>
        <w:shd w:val="clear" w:color="auto" w:fill="FFFFFF"/>
        <w:autoSpaceDE w:val="0"/>
        <w:autoSpaceDN w:val="0"/>
        <w:adjustRightInd w:val="0"/>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5．按照干部和教师的职数、编制和管理权限，制定切实可行的学校工作规章制度，以提高教育教学质量为目的，负责本校教师人事管理、继续教育、考核考评等工作。</w:t>
      </w:r>
    </w:p>
    <w:p>
      <w:pPr>
        <w:shd w:val="clear" w:color="auto" w:fill="FFFFFF"/>
        <w:autoSpaceDE w:val="0"/>
        <w:autoSpaceDN w:val="0"/>
        <w:adjustRightInd w:val="0"/>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6．负责本校财务和基建管理，筹措资金，改善办学条件等工作，为师生提供优美和谐的学习和工作环境。核算和发放教职工工资</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维护教职工利益，保障教职工合法权益。</w:t>
      </w:r>
    </w:p>
    <w:p>
      <w:pPr>
        <w:shd w:val="clear" w:color="auto" w:fill="FFFFFF"/>
        <w:autoSpaceDE w:val="0"/>
        <w:autoSpaceDN w:val="0"/>
        <w:adjustRightInd w:val="0"/>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7．指导、管理、检查、评价本校的教育教学工作，提高办学质量和办学效益。按照义务教育课程计划，开齐课程，开足课时，认真教育教学管理，全面提高教育教学质量。</w:t>
      </w:r>
    </w:p>
    <w:p>
      <w:pPr>
        <w:shd w:val="clear" w:color="auto" w:fill="FFFFFF"/>
        <w:autoSpaceDE w:val="0"/>
        <w:autoSpaceDN w:val="0"/>
        <w:adjustRightInd w:val="0"/>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8．建立健全学生学籍管理制度，按国家教育部颁布的规定管理学生学籍。</w:t>
      </w:r>
    </w:p>
    <w:p>
      <w:pPr>
        <w:shd w:val="clear" w:color="auto" w:fill="FFFFFF"/>
        <w:autoSpaceDE w:val="0"/>
        <w:autoSpaceDN w:val="0"/>
        <w:adjustRightInd w:val="0"/>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9．在上级党委、政府和教育行政部门的领导下，积极开展学校的安全管理，不断提高安全管理水平，努力营造安全和谐的校园环境。</w:t>
      </w:r>
    </w:p>
    <w:p>
      <w:pPr>
        <w:shd w:val="clear" w:color="auto" w:fill="FFFFFF"/>
        <w:autoSpaceDE w:val="0"/>
        <w:autoSpaceDN w:val="0"/>
        <w:adjustRightInd w:val="0"/>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10．在上级教育部门的领导下，谋划布局，全面推进义务教育均衡发展。</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乌鲁木齐市米东区第101小学2022年度，实有人数30人，其中：在职人员20人，离休人员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人，退休人员10人。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从部门决算单位构成看，乌鲁木齐市米东区第101小学部门决算包括：乌鲁木齐市米东区第101小学</w:t>
      </w:r>
      <w:r>
        <w:rPr>
          <w:rFonts w:hint="eastAsia" w:ascii="仿宋_GB2312" w:hAnsi="仿宋_GB2312" w:eastAsia="仿宋_GB2312"/>
          <w:kern w:val="0"/>
          <w:sz w:val="32"/>
          <w:szCs w:val="24"/>
          <w:lang w:val="zh-CN"/>
        </w:rPr>
        <w:t>决算。单位无下属预算单位，下设</w:t>
      </w:r>
      <w:r>
        <w:rPr>
          <w:rFonts w:hint="eastAsia" w:ascii="仿宋_GB2312" w:eastAsia="仿宋_GB2312"/>
          <w:sz w:val="30"/>
          <w:szCs w:val="24"/>
        </w:rPr>
        <w:t>5</w:t>
      </w:r>
      <w:r>
        <w:rPr>
          <w:rFonts w:hint="eastAsia" w:ascii="仿宋_GB2312" w:hAnsi="仿宋_GB2312" w:eastAsia="仿宋_GB2312"/>
          <w:kern w:val="0"/>
          <w:sz w:val="32"/>
          <w:szCs w:val="24"/>
          <w:lang w:val="zh-CN"/>
        </w:rPr>
        <w:t>个科室，分别是：</w:t>
      </w:r>
      <w:r>
        <w:rPr>
          <w:rFonts w:hint="eastAsia" w:ascii="仿宋_GB2312" w:eastAsia="仿宋_GB2312"/>
          <w:sz w:val="30"/>
          <w:szCs w:val="24"/>
        </w:rPr>
        <w:t>书记校长室、教务处、德育处、总务处、财务室</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355.37万元，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349.87</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5.50</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与上年相比，增加53.32万元，增长17.65%，主要原因是：增加基础绩效奖，补发调标工资，同工同酬教师补发30%绩效，社保基数等收入，增加2021年校车款等收入。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355.37万元，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345.84</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9.53</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与上年相比，增加53.32万元，增长17.65%，主要原因是：增加基础绩效奖，补发调标工资，同工同酬教师补发30%绩效，增加社保基数等支出，支付2021年校车款9.25万元。</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2022年度本年收入349.87万元，其中：财政拨款收入349.87万元，占100.00%；上级补助收入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2022年度本年支出345.84万元，其中：基本支出344.62万元，占99.65%；项目支出1.22万元，占0.35%；上缴上级支出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355.37万元，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5.50</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349.87</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与上年相比，增加53.32万元，增长17.65%，主要原因是：增加基础绩效奖，补发调标工资，同工同酬教师补发30%绩效，社保基数等收入，增加2021年校车款等收入。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355.37万元，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9.53</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345.84</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与上年相比，增加53.32万元，增长17.65%，主要原因是：增加基础绩效奖，补发调标工资，同工同酬教师补发30%绩效，增加社保基数等支出，支付2021年校车款9.25万元。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年初预算数335.93万元，决算数355.37万元，预决算差异率5.79%，主要原因是：追加基础绩效奖，补发调标工资，同工同酬教师补发30%绩效，社保基数等收入</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rPr>
        <w:t>导致预决算存在差异。财政拨款支出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年初预算数335.93万元，决算数355.37万元，预决算差异率5.79%，主要原因是：追加基础绩效奖，补发调标工资，同工同酬教师补发30%绩效，社保基数等支出</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rPr>
        <w:t>导致预决算存在差异。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345.84</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增加49.29万元，增长16.62%，主要原因是：增加基础绩效奖，补发调标工资，同工同酬教师补发30%绩效，增加社保基数等支出，支付2021年校车款9.25万元。</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sz w:val="32"/>
          <w:szCs w:val="24"/>
        </w:rPr>
        <w:t>1.教育支出（类）340.34万元，占98.41%；</w:t>
      </w:r>
    </w:p>
    <w:p>
      <w:pPr>
        <w:spacing w:beforeLines="0" w:afterLines="0" w:line="600" w:lineRule="exact"/>
        <w:ind w:firstLine="640"/>
        <w:rPr>
          <w:rFonts w:hint="default" w:eastAsia="仿宋_GB2312"/>
          <w:kern w:val="0"/>
          <w:sz w:val="32"/>
          <w:szCs w:val="24"/>
        </w:rPr>
      </w:pPr>
      <w:r>
        <w:rPr>
          <w:rFonts w:hint="eastAsia" w:ascii="仿宋_GB2312" w:hAnsi="仿宋_GB2312" w:eastAsia="仿宋_GB2312"/>
          <w:kern w:val="0"/>
          <w:sz w:val="32"/>
          <w:szCs w:val="24"/>
        </w:rPr>
        <w:t>2.社会保障和就业支出（类）5.50万元，占1.59%。</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小学教育（项）:支出决算数为340.34万元，比上年决算增加68.44万元，增长25.17%，主要原因是：增加基础绩效奖，补发调标工资，同工同酬教师补发30%绩效，增加社保基数等支出，支付2021年校车款9.25万元</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2.社会保障和就业支出（类）民政管理事务（款）基层政权建设和社区治理（项）:支出决算数为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万元，比上年决算减少0.36万元，下降100.00%，主要原因是：此款项支出本年调整到2050202款列支</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3.社会保障和就业支出（类）行政事业单位养老支出（款）机关事业单位基本养老保险缴费支出（项）:支出决算数为5.50万元，比上年决算减少18.79万元，下降77.36%，主要原因是：此款项部分支出本年调整到2050202款列支</w:t>
      </w:r>
      <w:r>
        <w:rPr>
          <w:rFonts w:hint="eastAsia" w:ascii="仿宋_GB2312" w:hAnsi="仿宋_GB2312" w:eastAsia="仿宋_GB2312"/>
          <w:kern w:val="0"/>
          <w:sz w:val="32"/>
          <w:szCs w:val="24"/>
          <w:lang w:eastAsia="zh-CN"/>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2022年度一般公共预算财政拨款基本支出344.62万元，其中：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人员经费322.56万元，包括：基本工资、津贴补贴、奖金、绩效工资、机关事业单位基本养老保险缴费、职工基本医疗保险缴费、公务员医疗补助缴费、其他社会保障缴费、住房公积金、生活补助、奖励金。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公用经费22.06万元，包括：劳务费、其他交通费用。</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万元。公务用车运行维护费开支内容包括本年单位无此项支出。公务用车购置数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2022年度乌鲁木齐市米东区第101小学单位公用经费22.05万元，比上年增加12.10万元，增长121.61%，主要原因是：本年劳务费、其他交通费等经费支出较上年增加。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1,356.65</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房屋5,755.97平方米，价值1,108.38万元。车辆1辆，价值3.73万元，其中：副部（省）级及以上领导用车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辆、其他用车1辆，其他用车主要是：单位业务用车；单价100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pacing w:beforeLines="0" w:afterLines="0" w:line="360" w:lineRule="auto"/>
        <w:ind w:firstLine="361" w:firstLineChars="113"/>
        <w:rPr>
          <w:rFonts w:hint="default" w:ascii="仿宋_GB2312" w:hAnsi="仿宋_GB2312" w:eastAsia="仿宋_GB2312"/>
          <w:kern w:val="0"/>
          <w:sz w:val="32"/>
          <w:szCs w:val="24"/>
        </w:rPr>
      </w:pPr>
      <w:r>
        <w:rPr>
          <w:rFonts w:hint="eastAsia" w:ascii="仿宋_GB2312" w:hAnsi="仿宋_GB2312" w:eastAsia="仿宋_GB2312"/>
          <w:kern w:val="0"/>
          <w:sz w:val="32"/>
          <w:szCs w:val="24"/>
        </w:rPr>
        <w:t>根据预算绩效管理要求，我单位2022年度开展预算绩效评价项目1个，全年预算数</w:t>
      </w:r>
      <w:r>
        <w:rPr>
          <w:rFonts w:hint="eastAsia" w:ascii="仿宋_GB2312" w:hAnsi="仿宋_GB2312" w:eastAsia="仿宋_GB2312"/>
          <w:kern w:val="0"/>
          <w:sz w:val="32"/>
          <w:szCs w:val="24"/>
          <w:lang w:val="en-US" w:eastAsia="zh-CN"/>
        </w:rPr>
        <w:t>4.76</w:t>
      </w:r>
      <w:r>
        <w:rPr>
          <w:rFonts w:hint="eastAsia" w:ascii="仿宋_GB2312" w:hAnsi="仿宋_GB2312" w:eastAsia="仿宋_GB2312"/>
          <w:kern w:val="0"/>
          <w:sz w:val="32"/>
          <w:szCs w:val="24"/>
        </w:rPr>
        <w:t>万元，全年执行数1.22万元。预算绩效管理取得的成效：一是提高我校办学硬件设施，校园环境得到有效改善办学条件明显改善。二是为全校师生提供一个温暖舒适的学习生活环境，确保本年度教学楼办公用房温度达标，保障冬季教学工作正常进行。三是乌财教科【2022】45号上级专项资金，主要用于聘用教师同工同酬教师工资补助。城乡义务教育经费保障机制</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非寄宿生生活补助足额发放到位。为了保障这部分学生的学习生活能够有序开展，每生每年625元的生活补助，保障非寄宿生贫困生享受教育资助，平等享受教育资源，达到了预期效果。发现的问题及原因：一是资金执行时间相对较为集中</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金集中在几个时间点支付比较多，不能达到全年资金的均衡使用；二是进度与计划有误差，具有临时性、突发性，是实际计划不能按预算计划进行。下一步改进措施：一是合理计划项目资金的使用，在全年预算计划是考虑到各种情况发生的可能性，在年度内按需进行采购，二是由于项目具有突发性，执行项目时需要掌控全局，需要进一步建立健全工作机制，完善相关的内控制度。具体项目自评情况附项目支出绩效自评表。</w:t>
      </w:r>
    </w:p>
    <w:tbl>
      <w:tblPr>
        <w:tblStyle w:val="4"/>
        <w:tblW w:w="518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5"/>
        <w:gridCol w:w="808"/>
        <w:gridCol w:w="954"/>
        <w:gridCol w:w="387"/>
        <w:gridCol w:w="1809"/>
        <w:gridCol w:w="1104"/>
        <w:gridCol w:w="1146"/>
        <w:gridCol w:w="708"/>
        <w:gridCol w:w="546"/>
        <w:gridCol w:w="384"/>
        <w:gridCol w:w="371"/>
        <w:gridCol w:w="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2"/>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2"/>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5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345"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乌财科教[2022]45号--关于拨付2022年中小学和幼儿园自聘教师补助资金的通知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5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31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第101小学</w:t>
            </w:r>
          </w:p>
        </w:tc>
        <w:tc>
          <w:tcPr>
            <w:tcW w:w="10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021"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第101小学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5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7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0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1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3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5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2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4.76</w:t>
            </w:r>
          </w:p>
        </w:tc>
        <w:tc>
          <w:tcPr>
            <w:tcW w:w="10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25.63%</w:t>
            </w:r>
          </w:p>
        </w:tc>
        <w:tc>
          <w:tcPr>
            <w:tcW w:w="3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5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2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4.76</w:t>
            </w:r>
          </w:p>
        </w:tc>
        <w:tc>
          <w:tcPr>
            <w:tcW w:w="10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1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5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2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1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5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2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9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1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754"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3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754"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聘用同工同酬教师，弥补现有师资力量的不足，保障学校各项正常教学工作的完成；提高教师的工作效率，提高受益对象的满意度。</w:t>
            </w:r>
          </w:p>
        </w:tc>
        <w:tc>
          <w:tcPr>
            <w:tcW w:w="203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聘用同工同酬教师，弥补现有师资力量的不足，保障学校各项正常教学工作的完成；提高教师的工作效率，提高受益对象的满意度。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51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19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0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2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8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0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51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9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0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43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9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同工同酬教师发放人数</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=2人</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2人</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9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资金发放准确性</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9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资金发放及时性</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9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9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项目预算控制率</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194"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19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调动同工同酬教师的工作热情和积极性，提高教学质量</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显著提高</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194"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19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保证教学工作的正常开展</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长期保证</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9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同工同酬教师满意度</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92"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92.56分</w:t>
            </w:r>
          </w:p>
        </w:tc>
        <w:tc>
          <w:tcPr>
            <w:tcW w:w="5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bookmarkStart w:id="0" w:name="_GoBack"/>
      <w:bookmarkEnd w:id="0"/>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243368D"/>
    <w:rsid w:val="6E6C04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99" w:name="Strong"/>
    <w:lsdException w:qFormat="1" w:uiPriority="99" w:name="Emphasis"/>
    <w:lsdException w:qFormat="1" w:uiPriority="99" w:name="Document Map"/>
    <w:lsdException w:qFormat="1" w:uiPriority="99"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qFormat/>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qFormat/>
    <w:uiPriority w:val="99"/>
    <w:rPr>
      <w:rFonts w:hint="default" w:cs="Times New Roman"/>
      <w:sz w:val="18"/>
      <w:szCs w:val="18"/>
    </w:rPr>
  </w:style>
  <w:style w:type="character" w:customStyle="1" w:styleId="7">
    <w:name w:val="页脚 字符"/>
    <w:basedOn w:val="5"/>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5939</Words>
  <Characters>6656</Characters>
  <TotalTime>7</TotalTime>
  <ScaleCrop>false</ScaleCrop>
  <LinksUpToDate>false</LinksUpToDate>
  <CharactersWithSpaces>6667</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2023-08-24T03:37:00Z</dcterms:created>
  <dc:creator>asus</dc:creator>
  <cp:lastModifiedBy>逐梦令</cp:lastModifiedBy>
  <dcterms:modified xsi:type="dcterms:W3CDTF">2023-09-01T00:40:23Z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DBC54FAE0D1D44DA86F81250237D63D4_13</vt:lpwstr>
  </property>
</Properties>
</file>